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7700" cy="5395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39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1"/>
                </w:rPr>
                <w:t>Clark Daniel Emmett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SMFR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Secretary and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SEMA4 HOLDINGS CORP.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07/22/2021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333 LUDLOW ST, NORTH TOWER, 8TH FL.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1,114,504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0.1529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1,114,504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06/19/2027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1,114,504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13,760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13,760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13,760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401,767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401,767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401,767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-2835910</wp:posOffset>
            </wp:positionV>
            <wp:extent cx="28575" cy="2841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4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is fully vested.</w:t>
      </w:r>
    </w:p>
    <w:p>
      <w:pPr>
        <w:spacing w:after="0" w:line="4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3"/>
        <w:spacing w:after="0" w:line="289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business combination between the Issuer (which was formerly known as CM Life Sciences, Inc.) and Mount Sinai Genomics, Inc. d/b/a Sema4 ("Sema4"), each share of Sema4 outstanding common stock was automatically converted into the right to shares of the Issuer's Class A Common Stock based on a 1 to 123.8338 exchange ratio ("Exchange Ratio"). In addition, each outstanding Sema4 equity award was automatically converted into a corresponding equity award of the Issuer based on the Exchange Ratio and with the same terms and vesting conditions as the Sema4 equity awards.</w:t>
      </w:r>
    </w:p>
    <w:p>
      <w:pPr>
        <w:spacing w:after="0" w:line="5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of the total shares underlying the option vest in quarterly installments until fully vested, subject to the Reporting Person's continued service to the Issuer on each vesting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 w:right="380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merger agreement provides that certain former stockholders and equity award holders of Sema4 will receive additional shares of the Issuer's Class A common stock and awards of restricted stock units upon the achievement of certain vesting conditions.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Daniel Clark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07/26/2021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4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2021-07-26T17:42:55Z</dcterms:created>
  <dcterms:modified xsi:type="dcterms:W3CDTF">2021-07-26T17:42:55Z</dcterms:modified>
</cp:coreProperties>
</file>