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333-258467</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4</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5715</wp:posOffset>
            </wp:positionV>
            <wp:extent cx="187706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Sema4 Holdings Corp.</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236,223,401 Shares of Common Stock</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7,236,667 Warrants to Purchase Shares of Common Stock</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21,995,000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156845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right="80" w:firstLine="324"/>
        <w:spacing w:after="0" w:line="259" w:lineRule="auto"/>
        <w:rPr>
          <w:sz w:val="20"/>
          <w:szCs w:val="20"/>
          <w:color w:val="auto"/>
        </w:rPr>
      </w:pPr>
      <w:r>
        <w:rPr>
          <w:rFonts w:ascii="Arial" w:cs="Arial" w:eastAsia="Arial" w:hAnsi="Arial"/>
          <w:sz w:val="18"/>
          <w:szCs w:val="18"/>
          <w:color w:val="auto"/>
        </w:rPr>
        <w:t>This prospectus supplement supplements the prospectus dated August 12, 2021 (the “Prospectus”), which forms a part of our registration statement on Form S-1 (No. 333-258467). This prospectus supplement is being filed to update and supplement the information in the Prospectus with the information contained in our current report on Form 8-K, filed with the Securities and Exchange Commission (the “SEC”) on January 10, 2022 (the “Current Report”). Accordingly, we have attached the Current Report to this prospectus supplement.</w:t>
      </w:r>
    </w:p>
    <w:p>
      <w:pPr>
        <w:spacing w:after="0" w:line="79" w:lineRule="exact"/>
        <w:rPr>
          <w:sz w:val="24"/>
          <w:szCs w:val="24"/>
          <w:color w:val="auto"/>
        </w:rPr>
      </w:pPr>
    </w:p>
    <w:p>
      <w:pPr>
        <w:ind w:firstLine="324"/>
        <w:spacing w:after="0" w:line="287" w:lineRule="auto"/>
        <w:rPr>
          <w:sz w:val="20"/>
          <w:szCs w:val="20"/>
          <w:color w:val="auto"/>
        </w:rPr>
      </w:pPr>
      <w:r>
        <w:rPr>
          <w:rFonts w:ascii="Arial" w:cs="Arial" w:eastAsia="Arial" w:hAnsi="Arial"/>
          <w:sz w:val="16"/>
          <w:szCs w:val="16"/>
          <w:color w:val="auto"/>
        </w:rPr>
        <w:t>The Prospectus and this prospectus supplement relate to the offer and sale from time to time by the selling securityholders named in the Prospectus (the “Selling Securityholders”) of (A) up to 236,223,401 shares of our Class A common stock, par value $0.0001 per share (“Class A common stock” or “common stock”), consisting of (i) up to 35,000,000 shares of our Class A common stock issued in a private placement pursuant to subscription agreements each entered into on February 9, 2021; (ii) up to 11,068,750 shares of our Class A common stock issued in connection with the consummation of the Business Combination (as defined in the Prospectus), in exchange for shares of our Class B common stock originally issued in a private placement to CMLS Holdings LLC (the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Sponsor and certain of the other Initial Stockholders (as defined in the Prospectus).</w:t>
      </w:r>
    </w:p>
    <w:p>
      <w:pPr>
        <w:spacing w:after="0" w:line="168" w:lineRule="exact"/>
        <w:rPr>
          <w:sz w:val="24"/>
          <w:szCs w:val="24"/>
          <w:color w:val="auto"/>
        </w:rPr>
      </w:pPr>
    </w:p>
    <w:p>
      <w:pPr>
        <w:ind w:right="60" w:firstLine="324"/>
        <w:spacing w:after="0" w:line="279" w:lineRule="auto"/>
        <w:rPr>
          <w:sz w:val="20"/>
          <w:szCs w:val="20"/>
          <w:color w:val="auto"/>
        </w:rPr>
      </w:pPr>
      <w:r>
        <w:rPr>
          <w:rFonts w:ascii="Arial" w:cs="Arial" w:eastAsia="Arial" w:hAnsi="Arial"/>
          <w:sz w:val="17"/>
          <w:szCs w:val="17"/>
          <w:color w:val="auto"/>
        </w:rPr>
        <w:t>In addition, the Prospectus and this prospectus supplement relate to the offer and sale of: (i) up to 14,758,333 shares of our Class A common stock that are issuable by us upon the exercise of 14,758,333 warrants (the “public warrants”) originally issued in our initial public offering ;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pacing w:after="0" w:line="171" w:lineRule="exact"/>
        <w:rPr>
          <w:sz w:val="24"/>
          <w:szCs w:val="24"/>
          <w:color w:val="auto"/>
        </w:rPr>
      </w:pPr>
    </w:p>
    <w:p>
      <w:pPr>
        <w:ind w:right="360" w:firstLine="324"/>
        <w:spacing w:after="0" w:line="26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symbols “SMFR” and “SMFRW,” respectively. On January 7, 2022, the last reported sales price of our common stock was $4.11 per share and the last reported sales price of our public warrants was $0.76 per warrant.</w:t>
      </w:r>
    </w:p>
    <w:p>
      <w:pPr>
        <w:spacing w:after="0" w:line="184" w:lineRule="exact"/>
        <w:rPr>
          <w:sz w:val="24"/>
          <w:szCs w:val="24"/>
          <w:color w:val="auto"/>
        </w:rPr>
      </w:pPr>
    </w:p>
    <w:p>
      <w:pPr>
        <w:ind w:right="300" w:firstLine="324"/>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10 of the Prospectus to read about factors you should consider before buying our securities.</w:t>
      </w:r>
    </w:p>
    <w:p>
      <w:pPr>
        <w:spacing w:after="0" w:line="166" w:lineRule="exact"/>
        <w:rPr>
          <w:sz w:val="24"/>
          <w:szCs w:val="24"/>
          <w:color w:val="auto"/>
        </w:rPr>
      </w:pPr>
    </w:p>
    <w:p>
      <w:pPr>
        <w:ind w:right="720" w:firstLine="324"/>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Prospectus is truthful or complete. Any representation to the contrary is a criminal offense.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January 10, 2022</w:t>
      </w:r>
    </w:p>
    <w:p>
      <w:pPr>
        <w:sectPr>
          <w:pgSz w:w="11900" w:h="16838" w:orient="portrait"/>
          <w:cols w:equalWidth="0" w:num="1">
            <w:col w:w="11240"/>
          </w:cols>
          <w:pgMar w:left="320" w:top="87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9"/>
          <w:szCs w:val="29"/>
          <w:b w:val="1"/>
          <w:bCs w:val="1"/>
          <w:color w:val="auto"/>
        </w:rPr>
        <w:t>UNITED STATES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January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10795</wp:posOffset>
            </wp:positionV>
            <wp:extent cx="1877060"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706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001-39482</w:t>
            </w:r>
          </w:p>
        </w:tc>
        <w:tc>
          <w:tcPr>
            <w:tcW w:w="100" w:type="dxa"/>
            <w:vAlign w:val="bottom"/>
          </w:tcPr>
          <w:p>
            <w:pPr>
              <w:spacing w:after="0"/>
              <w:rPr>
                <w:sz w:val="20"/>
                <w:szCs w:val="20"/>
                <w:color w:val="auto"/>
              </w:rPr>
            </w:pPr>
          </w:p>
        </w:tc>
        <w:tc>
          <w:tcPr>
            <w:tcW w:w="4180" w:type="dxa"/>
            <w:vAlign w:val="bottom"/>
          </w:tcPr>
          <w:p>
            <w:pPr>
              <w:jc w:val="right"/>
              <w:ind w:right="1570"/>
              <w:spacing w:after="0"/>
              <w:rPr>
                <w:sz w:val="20"/>
                <w:szCs w:val="20"/>
                <w:color w:val="auto"/>
              </w:rPr>
            </w:pPr>
            <w:r>
              <w:rPr>
                <w:rFonts w:ascii="Arial" w:cs="Arial" w:eastAsia="Arial" w:hAnsi="Arial"/>
                <w:sz w:val="18"/>
                <w:szCs w:val="18"/>
                <w:b w:val="1"/>
                <w:bCs w:val="1"/>
                <w:color w:val="auto"/>
              </w:rPr>
              <w:t>85-1966622</w:t>
            </w:r>
          </w:p>
        </w:tc>
      </w:tr>
      <w:tr>
        <w:trPr>
          <w:trHeight w:val="40"/>
        </w:trPr>
        <w:tc>
          <w:tcPr>
            <w:tcW w:w="4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22"/>
        </w:trPr>
        <w:tc>
          <w:tcPr>
            <w:tcW w:w="422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9"/>
                <w:szCs w:val="19"/>
                <w:color w:val="auto"/>
              </w:rPr>
            </w:pPr>
          </w:p>
        </w:tc>
        <w:tc>
          <w:tcPr>
            <w:tcW w:w="27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2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38"/>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4220" w:type="dxa"/>
            <w:vAlign w:val="bottom"/>
          </w:tcPr>
          <w:p>
            <w:pPr>
              <w:ind w:left="130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jc w:val="right"/>
              <w:ind w:right="1770"/>
              <w:spacing w:after="0"/>
              <w:rPr>
                <w:sz w:val="20"/>
                <w:szCs w:val="20"/>
                <w:color w:val="auto"/>
              </w:rPr>
            </w:pPr>
            <w:r>
              <w:rPr>
                <w:rFonts w:ascii="Arial" w:cs="Arial" w:eastAsia="Arial" w:hAnsi="Arial"/>
                <w:sz w:val="18"/>
                <w:szCs w:val="18"/>
                <w:b w:val="1"/>
                <w:bCs w:val="1"/>
                <w:color w:val="auto"/>
              </w:rPr>
              <w:t>06902</w:t>
            </w:r>
          </w:p>
        </w:tc>
      </w:tr>
      <w:tr>
        <w:trPr>
          <w:trHeight w:val="27"/>
        </w:trPr>
        <w:tc>
          <w:tcPr>
            <w:tcW w:w="4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78"/>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line="236" w:lineRule="auto"/>
        <w:rPr>
          <w:sz w:val="20"/>
          <w:szCs w:val="20"/>
          <w:color w:val="auto"/>
        </w:rPr>
      </w:pPr>
      <w:r>
        <w:rPr>
          <w:rFonts w:ascii="Arial" w:cs="Arial" w:eastAsia="Arial" w:hAnsi="Arial"/>
          <w:sz w:val="18"/>
          <w:szCs w:val="18"/>
          <w:color w:val="auto"/>
        </w:rPr>
        <w:t>Registrant's telephone number, including area code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Class A common stock, par value $0.0001 per share</w:t>
            </w:r>
          </w:p>
        </w:tc>
        <w:tc>
          <w:tcPr>
            <w:tcW w:w="2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SMFR</w:t>
            </w:r>
          </w:p>
        </w:tc>
        <w:tc>
          <w:tcPr>
            <w:tcW w:w="4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229"/>
        </w:trPr>
        <w:tc>
          <w:tcPr>
            <w:tcW w:w="48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SMFRW</w:t>
            </w: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22"/>
        </w:trPr>
        <w:tc>
          <w:tcPr>
            <w:tcW w:w="4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at an exercise price of $11.50 per share</w:t>
            </w:r>
          </w:p>
        </w:tc>
        <w:tc>
          <w:tcPr>
            <w:tcW w:w="2100" w:type="dxa"/>
            <w:vAlign w:val="bottom"/>
            <w:gridSpan w:val="2"/>
            <w:vMerge w:val="continue"/>
          </w:tcPr>
          <w:p>
            <w:pPr>
              <w:spacing w:after="0"/>
              <w:rPr>
                <w:sz w:val="10"/>
                <w:szCs w:val="10"/>
                <w:color w:val="auto"/>
              </w:rPr>
            </w:pPr>
          </w:p>
        </w:tc>
        <w:tc>
          <w:tcPr>
            <w:tcW w:w="4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60" w:type="dxa"/>
            <w:vAlign w:val="bottom"/>
            <w:gridSpan w:val="2"/>
            <w:vMerge w:val="continue"/>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0"/>
          <w:szCs w:val="20"/>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240"/>
          </w:cols>
          <w:pgMar w:left="320" w:top="836" w:right="339" w:bottom="1440" w:gutter="0" w:footer="0" w:header="0"/>
        </w:sectPr>
      </w:pPr>
    </w:p>
    <w:bookmarkStart w:id="2" w:name="page3"/>
    <w:bookmarkEnd w:id="2"/>
    <w:p>
      <w:pPr>
        <w:spacing w:after="0"/>
        <w:tabs>
          <w:tab w:leader="none" w:pos="132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35" w:lineRule="exact"/>
        <w:rPr>
          <w:sz w:val="20"/>
          <w:szCs w:val="20"/>
          <w:color w:val="auto"/>
        </w:rPr>
      </w:pPr>
    </w:p>
    <w:p>
      <w:pPr>
        <w:jc w:val="both"/>
        <w:ind w:right="80"/>
        <w:spacing w:after="0" w:line="237" w:lineRule="auto"/>
        <w:rPr>
          <w:sz w:val="20"/>
          <w:szCs w:val="20"/>
          <w:color w:val="auto"/>
        </w:rPr>
      </w:pPr>
      <w:r>
        <w:rPr>
          <w:rFonts w:ascii="Arial" w:cs="Arial" w:eastAsia="Arial" w:hAnsi="Arial"/>
          <w:sz w:val="20"/>
          <w:szCs w:val="20"/>
          <w:color w:val="auto"/>
        </w:rPr>
        <w:t>On January 10, 2022, Sema4 Holdings Corp. (the "Company") issued a press release announcing its expectations on revenue with respect to the previously announced guidance for the three and twelve months ended December 31, 2021. A copy of the press release is included with this Form 8-K for convenience and attached hereto as Exhibit 99.1.</w:t>
      </w: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00" w:type="dxa"/>
            <w:vAlign w:val="bottom"/>
            <w:gridSpan w:val="5"/>
          </w:tcPr>
          <w:p>
            <w:pPr>
              <w:spacing w:after="0"/>
              <w:rPr>
                <w:sz w:val="20"/>
                <w:szCs w:val="20"/>
                <w:color w:val="auto"/>
              </w:rPr>
            </w:pPr>
            <w:r>
              <w:rPr>
                <w:rFonts w:ascii="Arial" w:cs="Arial" w:eastAsia="Arial" w:hAnsi="Arial"/>
                <w:sz w:val="20"/>
                <w:szCs w:val="20"/>
                <w:b w:val="1"/>
                <w:bCs w:val="1"/>
                <w:color w:val="auto"/>
              </w:rPr>
              <w:t>Item 9.01</w:t>
            </w:r>
          </w:p>
        </w:tc>
        <w:tc>
          <w:tcPr>
            <w:tcW w:w="8700" w:type="dxa"/>
            <w:vAlign w:val="bottom"/>
            <w:gridSpan w:val="4"/>
          </w:tcPr>
          <w:p>
            <w:pPr>
              <w:ind w:left="40"/>
              <w:spacing w:after="0"/>
              <w:rPr>
                <w:sz w:val="20"/>
                <w:szCs w:val="20"/>
                <w:color w:val="auto"/>
              </w:rPr>
            </w:pPr>
            <w:r>
              <w:rPr>
                <w:rFonts w:ascii="Arial" w:cs="Arial" w:eastAsia="Arial" w:hAnsi="Arial"/>
                <w:sz w:val="20"/>
                <w:szCs w:val="20"/>
                <w:b w:val="1"/>
                <w:bCs w:val="1"/>
                <w:color w:val="auto"/>
              </w:rPr>
              <w:t>Financial Statements and Exhibits.</w:t>
            </w:r>
          </w:p>
        </w:tc>
        <w:tc>
          <w:tcPr>
            <w:tcW w:w="0" w:type="dxa"/>
            <w:vAlign w:val="bottom"/>
          </w:tcPr>
          <w:p>
            <w:pPr>
              <w:spacing w:after="0"/>
              <w:rPr>
                <w:sz w:val="1"/>
                <w:szCs w:val="1"/>
                <w:color w:val="auto"/>
              </w:rPr>
            </w:pPr>
          </w:p>
        </w:tc>
      </w:tr>
      <w:tr>
        <w:trPr>
          <w:trHeight w:val="459"/>
        </w:trPr>
        <w:tc>
          <w:tcPr>
            <w:tcW w:w="1300" w:type="dxa"/>
            <w:vAlign w:val="bottom"/>
            <w:gridSpan w:val="5"/>
          </w:tcPr>
          <w:p>
            <w:pPr>
              <w:spacing w:after="0"/>
              <w:rPr>
                <w:sz w:val="20"/>
                <w:szCs w:val="20"/>
                <w:color w:val="auto"/>
              </w:rPr>
            </w:pPr>
            <w:r>
              <w:rPr>
                <w:rFonts w:ascii="Arial" w:cs="Arial" w:eastAsia="Arial" w:hAnsi="Arial"/>
                <w:sz w:val="20"/>
                <w:szCs w:val="20"/>
                <w:color w:val="auto"/>
              </w:rPr>
              <w:t>(d) Exhibits.</w:t>
            </w:r>
          </w:p>
        </w:tc>
        <w:tc>
          <w:tcPr>
            <w:tcW w:w="1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20"/>
                <w:szCs w:val="20"/>
                <w:b w:val="1"/>
                <w:bCs w:val="1"/>
                <w:color w:val="auto"/>
                <w:w w:val="92"/>
              </w:rPr>
              <w:t>Exhibit</w:t>
            </w:r>
          </w:p>
        </w:tc>
        <w:tc>
          <w:tcPr>
            <w:tcW w:w="1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vMerge w:val="restart"/>
          </w:tcPr>
          <w:p>
            <w:pPr>
              <w:spacing w:after="0"/>
              <w:rPr>
                <w:sz w:val="21"/>
                <w:szCs w:val="21"/>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2"/>
              </w:rPr>
              <w:t>Number</w:t>
            </w:r>
          </w:p>
        </w:tc>
        <w:tc>
          <w:tcPr>
            <w:tcW w:w="300" w:type="dxa"/>
            <w:vAlign w:val="bottom"/>
            <w:vMerge w:val="restart"/>
          </w:tcPr>
          <w:p>
            <w:pPr>
              <w:spacing w:after="0"/>
              <w:rPr>
                <w:sz w:val="21"/>
                <w:szCs w:val="21"/>
                <w:color w:val="auto"/>
              </w:rPr>
            </w:pPr>
          </w:p>
        </w:tc>
        <w:tc>
          <w:tcPr>
            <w:tcW w:w="1680" w:type="dxa"/>
            <w:vAlign w:val="bottom"/>
            <w:vMerge w:val="restart"/>
          </w:tcPr>
          <w:p>
            <w:pPr>
              <w:spacing w:after="0"/>
              <w:rPr>
                <w:sz w:val="21"/>
                <w:szCs w:val="21"/>
                <w:color w:val="auto"/>
              </w:rPr>
            </w:pPr>
          </w:p>
        </w:tc>
        <w:tc>
          <w:tcPr>
            <w:tcW w:w="2300" w:type="dxa"/>
            <w:vAlign w:val="bottom"/>
            <w:vMerge w:val="restart"/>
          </w:tcPr>
          <w:p>
            <w:pPr>
              <w:spacing w:after="0"/>
              <w:rPr>
                <w:sz w:val="21"/>
                <w:szCs w:val="21"/>
                <w:color w:val="auto"/>
              </w:rPr>
            </w:pPr>
          </w:p>
        </w:tc>
        <w:tc>
          <w:tcPr>
            <w:tcW w:w="47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gridSpan w:val="3"/>
            <w:vMerge w:val="restart"/>
          </w:tcPr>
          <w:p>
            <w:pPr>
              <w:jc w:val="center"/>
              <w:ind w:left="241"/>
              <w:spacing w:after="0"/>
              <w:rPr>
                <w:sz w:val="20"/>
                <w:szCs w:val="20"/>
                <w:color w:val="auto"/>
              </w:rPr>
            </w:pPr>
            <w:r>
              <w:rPr>
                <w:rFonts w:ascii="Arial" w:cs="Arial" w:eastAsia="Arial" w:hAnsi="Arial"/>
                <w:sz w:val="20"/>
                <w:szCs w:val="20"/>
                <w:color w:val="auto"/>
                <w:w w:val="87"/>
              </w:rPr>
              <w:t>99.1</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700" w:type="dxa"/>
            <w:vAlign w:val="bottom"/>
            <w:tcBorders>
              <w:bottom w:val="single" w:sz="8" w:color="0000FF"/>
            </w:tcBorders>
            <w:gridSpan w:val="4"/>
          </w:tcPr>
          <w:p>
            <w:pPr>
              <w:spacing w:after="0"/>
              <w:rPr>
                <w:rFonts w:ascii="Arial" w:cs="Arial" w:eastAsia="Arial" w:hAnsi="Arial"/>
                <w:sz w:val="20"/>
                <w:szCs w:val="20"/>
                <w:color w:val="0000FF"/>
                <w:w w:val="88"/>
              </w:rPr>
            </w:pPr>
            <w:hyperlink r:id="rId11">
              <w:r>
                <w:rPr>
                  <w:rFonts w:ascii="Arial" w:cs="Arial" w:eastAsia="Arial" w:hAnsi="Arial"/>
                  <w:sz w:val="20"/>
                  <w:szCs w:val="20"/>
                  <w:color w:val="0000FF"/>
                  <w:w w:val="88"/>
                </w:rPr>
                <w:t>Press Release, dated January 10, 2022, regarding the Registrant’s Preliminary Revenue for the Fourth Quarter</w:t>
              </w:r>
            </w:hyperlink>
          </w:p>
        </w:tc>
        <w:tc>
          <w:tcPr>
            <w:tcW w:w="0" w:type="dxa"/>
            <w:vAlign w:val="bottom"/>
          </w:tcPr>
          <w:p>
            <w:pPr>
              <w:spacing w:after="0"/>
              <w:rPr>
                <w:sz w:val="1"/>
                <w:szCs w:val="1"/>
                <w:color w:val="auto"/>
              </w:rPr>
            </w:pPr>
          </w:p>
        </w:tc>
      </w:tr>
      <w:tr>
        <w:trPr>
          <w:trHeight w:val="106"/>
        </w:trPr>
        <w:tc>
          <w:tcPr>
            <w:tcW w:w="9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vMerge w:val="restart"/>
          </w:tcPr>
          <w:p>
            <w:pPr>
              <w:spacing w:after="0" w:line="196" w:lineRule="exact"/>
              <w:rPr>
                <w:rFonts w:ascii="Arial" w:cs="Arial" w:eastAsia="Arial" w:hAnsi="Arial"/>
                <w:sz w:val="20"/>
                <w:szCs w:val="20"/>
                <w:color w:val="0000FF"/>
                <w:w w:val="87"/>
              </w:rPr>
            </w:pPr>
            <w:hyperlink r:id="rId11">
              <w:r>
                <w:rPr>
                  <w:rFonts w:ascii="Arial" w:cs="Arial" w:eastAsia="Arial" w:hAnsi="Arial"/>
                  <w:sz w:val="20"/>
                  <w:szCs w:val="20"/>
                  <w:color w:val="0000FF"/>
                  <w:w w:val="87"/>
                </w:rPr>
                <w:t>and Fiscal Year 2021</w:t>
              </w:r>
            </w:hyperlink>
          </w:p>
        </w:tc>
        <w:tc>
          <w:tcPr>
            <w:tcW w:w="70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80" w:type="dxa"/>
            <w:vAlign w:val="bottom"/>
            <w:tcBorders>
              <w:bottom w:val="single" w:sz="8" w:color="0000FF"/>
            </w:tcBorders>
            <w:vMerge w:val="continue"/>
          </w:tcPr>
          <w:p>
            <w:pPr>
              <w:spacing w:after="0"/>
              <w:rPr>
                <w:sz w:val="7"/>
                <w:szCs w:val="7"/>
                <w:color w:val="auto"/>
              </w:rPr>
            </w:pPr>
          </w:p>
        </w:tc>
        <w:tc>
          <w:tcPr>
            <w:tcW w:w="70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440" w:right="419" w:bottom="1440" w:gutter="0" w:footer="0" w:header="0"/>
        </w:sectPr>
      </w:pPr>
    </w:p>
    <w:bookmarkStart w:id="3" w:name="page4"/>
    <w:bookmarkEnd w:id="3"/>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24"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56"/>
        </w:trPr>
        <w:tc>
          <w:tcPr>
            <w:tcW w:w="3200" w:type="dxa"/>
            <w:vAlign w:val="bottom"/>
          </w:tcPr>
          <w:p>
            <w:pPr>
              <w:spacing w:after="0"/>
              <w:rPr>
                <w:sz w:val="22"/>
                <w:szCs w:val="22"/>
                <w:color w:val="auto"/>
              </w:rPr>
            </w:pPr>
          </w:p>
        </w:tc>
        <w:tc>
          <w:tcPr>
            <w:tcW w:w="6940" w:type="dxa"/>
            <w:vAlign w:val="bottom"/>
            <w:gridSpan w:val="2"/>
          </w:tcPr>
          <w:p>
            <w:pPr>
              <w:ind w:left="1380"/>
              <w:spacing w:after="0"/>
              <w:rPr>
                <w:sz w:val="20"/>
                <w:szCs w:val="20"/>
                <w:color w:val="auto"/>
              </w:rPr>
            </w:pPr>
            <w:r>
              <w:rPr>
                <w:rFonts w:ascii="Arial" w:cs="Arial" w:eastAsia="Arial" w:hAnsi="Arial"/>
                <w:sz w:val="20"/>
                <w:szCs w:val="20"/>
                <w:b w:val="1"/>
                <w:bCs w:val="1"/>
                <w:color w:val="auto"/>
              </w:rPr>
              <w:t>Sema4 Holdings Corp.</w:t>
            </w:r>
          </w:p>
        </w:tc>
      </w:tr>
      <w:tr>
        <w:trPr>
          <w:trHeight w:val="648"/>
        </w:trPr>
        <w:tc>
          <w:tcPr>
            <w:tcW w:w="3200" w:type="dxa"/>
            <w:vAlign w:val="bottom"/>
          </w:tcPr>
          <w:p>
            <w:pPr>
              <w:spacing w:after="0"/>
              <w:rPr>
                <w:sz w:val="20"/>
                <w:szCs w:val="20"/>
                <w:color w:val="auto"/>
              </w:rPr>
            </w:pPr>
            <w:r>
              <w:rPr>
                <w:rFonts w:ascii="Arial" w:cs="Arial" w:eastAsia="Arial" w:hAnsi="Arial"/>
                <w:sz w:val="20"/>
                <w:szCs w:val="20"/>
                <w:color w:val="auto"/>
              </w:rPr>
              <w:t>Date: January 10, 2022</w:t>
            </w:r>
          </w:p>
        </w:tc>
        <w:tc>
          <w:tcPr>
            <w:tcW w:w="2260" w:type="dxa"/>
            <w:vAlign w:val="bottom"/>
          </w:tcPr>
          <w:p>
            <w:pPr>
              <w:ind w:left="1380"/>
              <w:spacing w:after="0"/>
              <w:rPr>
                <w:sz w:val="20"/>
                <w:szCs w:val="20"/>
                <w:color w:val="auto"/>
              </w:rPr>
            </w:pPr>
            <w:r>
              <w:rPr>
                <w:rFonts w:ascii="Arial" w:cs="Arial" w:eastAsia="Arial" w:hAnsi="Arial"/>
                <w:sz w:val="20"/>
                <w:szCs w:val="20"/>
                <w:color w:val="auto"/>
              </w:rPr>
              <w:t>By:</w:t>
            </w:r>
          </w:p>
        </w:tc>
        <w:tc>
          <w:tcPr>
            <w:tcW w:w="4680" w:type="dxa"/>
            <w:vAlign w:val="bottom"/>
          </w:tcPr>
          <w:p>
            <w:pPr>
              <w:ind w:left="40"/>
              <w:spacing w:after="0"/>
              <w:rPr>
                <w:sz w:val="20"/>
                <w:szCs w:val="20"/>
                <w:color w:val="auto"/>
              </w:rPr>
            </w:pPr>
            <w:r>
              <w:rPr>
                <w:rFonts w:ascii="Arial" w:cs="Arial" w:eastAsia="Arial" w:hAnsi="Arial"/>
                <w:sz w:val="20"/>
                <w:szCs w:val="20"/>
                <w:color w:val="auto"/>
              </w:rPr>
              <w:t>/s/ Eric Schadt</w:t>
            </w:r>
          </w:p>
        </w:tc>
      </w:tr>
      <w:tr>
        <w:trPr>
          <w:trHeight w:val="23"/>
        </w:trPr>
        <w:tc>
          <w:tcPr>
            <w:tcW w:w="3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54"/>
        </w:trPr>
        <w:tc>
          <w:tcPr>
            <w:tcW w:w="3200" w:type="dxa"/>
            <w:vAlign w:val="bottom"/>
          </w:tcPr>
          <w:p>
            <w:pPr>
              <w:spacing w:after="0"/>
              <w:rPr>
                <w:sz w:val="22"/>
                <w:szCs w:val="22"/>
                <w:color w:val="auto"/>
              </w:rPr>
            </w:pPr>
          </w:p>
        </w:tc>
        <w:tc>
          <w:tcPr>
            <w:tcW w:w="2260" w:type="dxa"/>
            <w:vAlign w:val="bottom"/>
          </w:tcPr>
          <w:p>
            <w:pPr>
              <w:ind w:left="1380"/>
              <w:spacing w:after="0"/>
              <w:rPr>
                <w:sz w:val="20"/>
                <w:szCs w:val="20"/>
                <w:color w:val="auto"/>
              </w:rPr>
            </w:pPr>
            <w:r>
              <w:rPr>
                <w:rFonts w:ascii="Arial" w:cs="Arial" w:eastAsia="Arial" w:hAnsi="Arial"/>
                <w:sz w:val="20"/>
                <w:szCs w:val="20"/>
                <w:color w:val="auto"/>
              </w:rPr>
              <w:t>Name:</w:t>
            </w:r>
          </w:p>
        </w:tc>
        <w:tc>
          <w:tcPr>
            <w:tcW w:w="4680" w:type="dxa"/>
            <w:vAlign w:val="bottom"/>
          </w:tcPr>
          <w:p>
            <w:pPr>
              <w:ind w:left="40"/>
              <w:spacing w:after="0"/>
              <w:rPr>
                <w:sz w:val="20"/>
                <w:szCs w:val="20"/>
                <w:color w:val="auto"/>
              </w:rPr>
            </w:pPr>
            <w:r>
              <w:rPr>
                <w:rFonts w:ascii="Arial" w:cs="Arial" w:eastAsia="Arial" w:hAnsi="Arial"/>
                <w:sz w:val="20"/>
                <w:szCs w:val="20"/>
                <w:color w:val="auto"/>
              </w:rPr>
              <w:t>Eric Schadt</w:t>
            </w:r>
          </w:p>
        </w:tc>
      </w:tr>
      <w:tr>
        <w:trPr>
          <w:trHeight w:val="283"/>
        </w:trPr>
        <w:tc>
          <w:tcPr>
            <w:tcW w:w="3200" w:type="dxa"/>
            <w:vAlign w:val="bottom"/>
          </w:tcPr>
          <w:p>
            <w:pPr>
              <w:spacing w:after="0"/>
              <w:rPr>
                <w:sz w:val="24"/>
                <w:szCs w:val="24"/>
                <w:color w:val="auto"/>
              </w:rPr>
            </w:pPr>
          </w:p>
        </w:tc>
        <w:tc>
          <w:tcPr>
            <w:tcW w:w="2260" w:type="dxa"/>
            <w:vAlign w:val="bottom"/>
          </w:tcPr>
          <w:p>
            <w:pPr>
              <w:ind w:left="1380"/>
              <w:spacing w:after="0"/>
              <w:rPr>
                <w:sz w:val="20"/>
                <w:szCs w:val="20"/>
                <w:color w:val="auto"/>
              </w:rPr>
            </w:pPr>
            <w:r>
              <w:rPr>
                <w:rFonts w:ascii="Arial" w:cs="Arial" w:eastAsia="Arial" w:hAnsi="Arial"/>
                <w:sz w:val="20"/>
                <w:szCs w:val="20"/>
                <w:color w:val="auto"/>
              </w:rPr>
              <w:t>Title:</w:t>
            </w:r>
          </w:p>
        </w:tc>
        <w:tc>
          <w:tcPr>
            <w:tcW w:w="468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hyperlink" Target="https://www.sec.gov/Archives/edgar/data/0001818331/000181833122000002/smfr4q21-fy21prexannounc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2022-01-10T08:23:57Z</dcterms:created>
  <dcterms:modified xsi:type="dcterms:W3CDTF">2022-01-10T08:23:57Z</dcterms:modified>
</cp:coreProperties>
</file>