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Stueland Katherine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60"/>
        <w:spacing w:after="0" w:line="347" w:lineRule="auto"/>
        <w:rPr>
          <w:sz w:val="20"/>
          <w:szCs w:val="20"/>
          <w:color w:val="auto"/>
        </w:rPr>
      </w:pPr>
      <w:r>
        <w:rPr>
          <w:rFonts w:ascii="Times New Roman" w:cs="Times New Roman" w:eastAsia="Times New Roman" w:hAnsi="Times New Roman"/>
          <w:sz w:val="16"/>
          <w:szCs w:val="16"/>
          <w:color w:val="0000FF"/>
        </w:rPr>
        <w:t>C/O GENEDX HOLDINGS CORP. 333 LUDLOW ST., NORTH TOWER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GeneDx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12/09/2024</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12/09/2024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6,547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66,558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12/09/2024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3,661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76.3719</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62,897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6,547</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12/09/2024</w:t>
            </w:r>
          </w:p>
        </w:tc>
        <w:tc>
          <w:tcPr>
            <w:tcW w:w="1100" w:type="dxa"/>
            <w:vAlign w:val="bottom"/>
          </w:tcPr>
          <w:p>
            <w:pPr>
              <w:spacing w:after="0"/>
              <w:rPr>
                <w:sz w:val="5"/>
                <w:szCs w:val="5"/>
                <w:color w:val="auto"/>
              </w:rPr>
            </w:pPr>
          </w:p>
        </w:tc>
        <w:tc>
          <w:tcPr>
            <w:tcW w:w="4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6,547</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52,372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$76.37 to $76.6892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12/11/2024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2024-12-11T18:24:44Z</dcterms:created>
  <dcterms:modified xsi:type="dcterms:W3CDTF">2024-12-11T18:24:44Z</dcterms:modified>
</cp:coreProperties>
</file>