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ind w:left="0" w:right="0" w:firstLine="36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ind w:left="0" w:right="0" w:firstLine="36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180" w:after="283"/>
        <w:ind w:left="0" w:right="0" w:firstLine="36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p>
      <w:pPr>
        <w:pStyle w:val="TextBody"/>
        <w:bidi w:val="0"/>
        <w:spacing w:lineRule="auto" w:line="288" w:before="180" w:after="283"/>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 to __________</w:t>
      </w:r>
    </w:p>
    <w:p>
      <w:pPr>
        <w:pStyle w:val="TextBody"/>
        <w:bidi w:val="0"/>
        <w:spacing w:lineRule="auto" w:line="288" w:before="18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Commission file number 001-39482</w:t>
      </w:r>
    </w:p>
    <w:p>
      <w:pPr>
        <w:pStyle w:val="TextBody"/>
        <w:bidi w:val="0"/>
        <w:spacing w:before="180" w:after="283"/>
        <w:ind w:left="0" w:right="0" w:firstLine="360"/>
        <w:jc w:val="center"/>
        <w:rPr/>
      </w:pPr>
      <w:r>
        <w:rPr/>
        <w:drawing>
          <wp:inline distT="0" distB="0" distL="0" distR="0">
            <wp:extent cx="214312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600075"/>
                    </a:xfrm>
                    <a:prstGeom prst="rect">
                      <a:avLst/>
                    </a:prstGeom>
                  </pic:spPr>
                </pic:pic>
              </a:graphicData>
            </a:graphic>
          </wp:inline>
        </w:drawing>
      </w:r>
    </w:p>
    <w:p>
      <w:pPr>
        <w:pStyle w:val="TextBody"/>
        <w:bidi w:val="0"/>
        <w:spacing w:lineRule="auto" w:line="288" w:before="0" w:after="180"/>
        <w:jc w:val="center"/>
        <w:rPr>
          <w:rFonts w:ascii="Times New Roman;sans-serif" w:hAnsi="Times New Roman;sans-serif"/>
          <w:b/>
          <w:color w:val="000000"/>
          <w:sz w:val="32"/>
        </w:rPr>
      </w:pPr>
      <w:r>
        <w:rPr>
          <w:rFonts w:ascii="Times New Roman;sans-serif" w:hAnsi="Times New Roman;sans-serif"/>
          <w:b/>
          <w:color w:val="000000"/>
          <w:sz w:val="32"/>
        </w:rPr>
        <w:t>GeneDx Holdings Corp.</w:t>
      </w:r>
    </w:p>
    <w:p>
      <w:pPr>
        <w:pStyle w:val="TextBody"/>
        <w:bidi w:val="0"/>
        <w:spacing w:lineRule="auto" w:line="288" w:before="0" w:after="0"/>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7349" w:type="dxa"/>
        <w:jc w:val="left"/>
        <w:tblInd w:w="0" w:type="dxa"/>
        <w:tblLayout w:type="fixed"/>
        <w:tblCellMar>
          <w:top w:w="28" w:type="dxa"/>
          <w:left w:w="28" w:type="dxa"/>
          <w:bottom w:w="28" w:type="dxa"/>
          <w:right w:w="28" w:type="dxa"/>
        </w:tblCellMar>
      </w:tblPr>
      <w:tblGrid>
        <w:gridCol w:w="2063"/>
        <w:gridCol w:w="1810"/>
        <w:gridCol w:w="1827"/>
        <w:gridCol w:w="438"/>
        <w:gridCol w:w="438"/>
        <w:gridCol w:w="773"/>
      </w:tblGrid>
      <w:tr>
        <w:trPr/>
        <w:tc>
          <w:tcPr>
            <w:tcW w:w="2063"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ind w:left="0" w:right="0" w:firstLine="60"/>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85-1966622</w:t>
            </w:r>
          </w:p>
        </w:tc>
      </w:tr>
      <w:tr>
        <w:trPr/>
        <w:tc>
          <w:tcPr>
            <w:tcW w:w="570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bidi w:val="0"/>
              <w:spacing w:lineRule="auto" w:line="268"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r>
          </w:p>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333 Ludlow Street, North Tower;6th Floor Stamford, Connecticut</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06902</w:t>
            </w:r>
          </w:p>
        </w:tc>
      </w:tr>
      <w:tr>
        <w:trPr/>
        <w:tc>
          <w:tcPr>
            <w:tcW w:w="570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8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(800) 298-6470</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0" w:after="0"/>
        <w:ind w:left="0" w:right="0" w:firstLine="360"/>
        <w:jc w:val="center"/>
        <w:rPr/>
      </w:pPr>
      <w:r>
        <w:rPr>
          <w:rFonts w:ascii="Times New Roman;sans-serif" w:hAnsi="Times New Roman;sans-serif"/>
          <w:b/>
          <w:color w:val="000000"/>
          <w:sz w:val="20"/>
        </w:rPr>
        <w:br/>
      </w:r>
      <w:r>
        <w:rPr>
          <w:rFonts w:ascii="Times New Roman;sans-serif" w:hAnsi="Times New Roman;sans-serif"/>
          <w:b w:val="false"/>
          <w:color w:val="000000"/>
          <w:sz w:val="20"/>
        </w:rPr>
        <w:t>(Former name, former address and former fiscal year, if changed since last report)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304"/>
        <w:gridCol w:w="1882"/>
        <w:gridCol w:w="1904"/>
        <w:gridCol w:w="495"/>
        <w:gridCol w:w="442"/>
        <w:gridCol w:w="444"/>
        <w:gridCol w:w="800"/>
        <w:gridCol w:w="800"/>
        <w:gridCol w:w="1134"/>
      </w:tblGrid>
      <w:tr>
        <w:trPr/>
        <w:tc>
          <w:tcPr>
            <w:tcW w:w="2304"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38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273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60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138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WGS</w:t>
            </w:r>
          </w:p>
        </w:tc>
        <w:tc>
          <w:tcPr>
            <w:tcW w:w="273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r>
        <w:trPr/>
        <w:tc>
          <w:tcPr>
            <w:tcW w:w="609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Warrants to purchase one share of Class A common stock, each at an exercise price of $379.50 per share</w:t>
            </w:r>
          </w:p>
        </w:tc>
        <w:tc>
          <w:tcPr>
            <w:tcW w:w="138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WGSWW</w:t>
            </w:r>
          </w:p>
        </w:tc>
        <w:tc>
          <w:tcPr>
            <w:tcW w:w="2734"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180" w:after="283"/>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80" w:after="283"/>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88" w:type="dxa"/>
        <w:jc w:val="center"/>
        <w:tblInd w:w="0" w:type="dxa"/>
        <w:tblLayout w:type="fixed"/>
        <w:tblCellMar>
          <w:top w:w="28" w:type="dxa"/>
          <w:left w:w="28" w:type="dxa"/>
          <w:bottom w:w="28" w:type="dxa"/>
          <w:right w:w="28" w:type="dxa"/>
        </w:tblCellMar>
      </w:tblPr>
      <w:tblGrid>
        <w:gridCol w:w="717"/>
        <w:gridCol w:w="630"/>
        <w:gridCol w:w="632"/>
        <w:gridCol w:w="109"/>
        <w:gridCol w:w="109"/>
        <w:gridCol w:w="109"/>
        <w:gridCol w:w="769"/>
        <w:gridCol w:w="769"/>
        <w:gridCol w:w="772"/>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7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8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80" w:after="283"/>
        <w:jc w:val="both"/>
        <w:rPr/>
      </w:pPr>
      <w:r>
        <w:rPr>
          <w:rFonts w:ascii="Times New Roman;sans-serif" w:hAnsi="Times New Roman;sans-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 The registrant had 25,773,328 shares of Class A common stock, par value $0.0001, outstanding as of August 1,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68"/>
        <w:gridCol w:w="762"/>
        <w:gridCol w:w="762"/>
        <w:gridCol w:w="2407"/>
        <w:gridCol w:w="2396"/>
        <w:gridCol w:w="2436"/>
        <w:gridCol w:w="167"/>
        <w:gridCol w:w="167"/>
        <w:gridCol w:w="24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1" w:type="dxa"/>
            <w:gridSpan w:val="6"/>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0">
              <w:r>
                <w:rPr>
                  <w:rStyle w:val="InternetLink"/>
                  <w:rFonts w:ascii="Times New Roman;sans-serif" w:hAnsi="Times New Roman;sans-serif"/>
                  <w:b w:val="false"/>
                  <w:color w:val="0000FF"/>
                  <w:sz w:val="20"/>
                  <w:u w:val="single"/>
                </w:rPr>
                <w:t>Explanatory Note</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cf41e3083031494a9c3effaea80e0cdb_10">
              <w:r>
                <w:rPr>
                  <w:rStyle w:val="InternetLink"/>
                  <w:rFonts w:ascii="Times New Roman;sans-serif" w:hAnsi="Times New Roman;sans-serif"/>
                  <w:b w:val="false"/>
                  <w:strike w:val="false"/>
                  <w:dstrike w:val="false"/>
                  <w:color w:val="000000"/>
                  <w:sz w:val="20"/>
                  <w:u w:val="none"/>
                  <w:effect w:val="none"/>
                </w:rPr>
                <w:t>4</w:t>
              </w:r>
            </w:hyperlink>
          </w:p>
        </w:tc>
      </w:tr>
      <w:tr>
        <w:trPr/>
        <w:tc>
          <w:tcPr>
            <w:tcW w:w="9631"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Cautionary Note Regarding Forward Looking Statements</w:t>
            </w:r>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cf41e3083031494a9c3effaea80e0cdb_13">
              <w:r>
                <w:rPr>
                  <w:rStyle w:val="InternetLink"/>
                  <w:rFonts w:ascii="Times New Roman;sans-serif" w:hAnsi="Times New Roman;sans-serif"/>
                  <w:b w:val="false"/>
                  <w:strike w:val="false"/>
                  <w:dstrike w:val="false"/>
                  <w:color w:val="000000"/>
                  <w:sz w:val="20"/>
                  <w:u w:val="none"/>
                  <w:effect w:val="none"/>
                </w:rPr>
                <w:t>5</w:t>
              </w:r>
            </w:hyperlink>
          </w:p>
        </w:tc>
      </w:tr>
      <w:tr>
        <w:trPr/>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6">
              <w:r>
                <w:rPr>
                  <w:rStyle w:val="InternetLink"/>
                  <w:rFonts w:ascii="Times New Roman;sans-serif" w:hAnsi="Times New Roman;sans-serif"/>
                  <w:b w:val="false"/>
                  <w:color w:val="0000FF"/>
                  <w:sz w:val="20"/>
                  <w:u w:val="single"/>
                </w:rPr>
                <w:t>Part I. Financial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9">
              <w:r>
                <w:rPr>
                  <w:rStyle w:val="InternetLink"/>
                  <w:rFonts w:ascii="Times New Roman;sans-serif" w:hAnsi="Times New Roman;sans-serif"/>
                  <w:b w:val="false"/>
                  <w:color w:val="0000FF"/>
                  <w:sz w:val="20"/>
                  <w:u w:val="single"/>
                </w:rPr>
                <w:t>Item 1.</w:t>
              </w:r>
            </w:hyperlink>
          </w:p>
        </w:tc>
        <w:tc>
          <w:tcPr>
            <w:tcW w:w="72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9">
              <w:r>
                <w:rPr>
                  <w:rStyle w:val="InternetLink"/>
                  <w:rFonts w:ascii="Times New Roman;sans-serif" w:hAnsi="Times New Roman;sans-serif"/>
                  <w:b w:val="false"/>
                  <w:color w:val="0000FF"/>
                  <w:sz w:val="20"/>
                  <w:u w:val="single"/>
                </w:rPr>
                <w:t>Unaudited Condensed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cf41e3083031494a9c3effaea80e0cdb_19">
              <w:r>
                <w:rPr>
                  <w:rStyle w:val="InternetLink"/>
                  <w:rFonts w:ascii="Times New Roman;sans-serif" w:hAnsi="Times New Roman;sans-serif"/>
                  <w:b w:val="false"/>
                  <w:strike w:val="false"/>
                  <w:dstrike w:val="false"/>
                  <w:color w:val="000000"/>
                  <w:sz w:val="20"/>
                  <w:u w:val="none"/>
                  <w:effect w:val="none"/>
                </w:rPr>
                <w:t>6</w:t>
              </w:r>
            </w:hyperlink>
          </w:p>
        </w:tc>
      </w:tr>
      <w:tr>
        <w:trPr/>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22">
              <w:r>
                <w:rPr>
                  <w:rStyle w:val="InternetLink"/>
                  <w:rFonts w:ascii="Times New Roman;sans-serif" w:hAnsi="Times New Roman;sans-serif"/>
                  <w:b w:val="false"/>
                  <w:color w:val="0000FF"/>
                  <w:sz w:val="20"/>
                  <w:u w:val="single"/>
                </w:rPr>
                <w:t>Condensed Consolidated Balance Sheets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cf41e3083031494a9c3effaea80e0cdb_22">
              <w:r>
                <w:rPr>
                  <w:rStyle w:val="InternetLink"/>
                  <w:rFonts w:ascii="Times New Roman;sans-serif" w:hAnsi="Times New Roman;sans-serif"/>
                  <w:b w:val="false"/>
                  <w:strike w:val="false"/>
                  <w:dstrike w:val="false"/>
                  <w:color w:val="000000"/>
                  <w:sz w:val="20"/>
                  <w:u w:val="none"/>
                  <w:effect w:val="none"/>
                </w:rPr>
                <w:t>7</w:t>
              </w:r>
            </w:hyperlink>
          </w:p>
        </w:tc>
      </w:tr>
      <w:tr>
        <w:trPr/>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25">
              <w:r>
                <w:rPr>
                  <w:rStyle w:val="InternetLink"/>
                  <w:rFonts w:ascii="Times New Roman;sans-serif" w:hAnsi="Times New Roman;sans-serif"/>
                  <w:b w:val="false"/>
                  <w:color w:val="0000FF"/>
                  <w:sz w:val="20"/>
                  <w:u w:val="single"/>
                </w:rPr>
                <w:t>Condensed Consolidated Statements of Operations and Comprehensive Loss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cf41e3083031494a9c3effaea80e0cdb_25">
              <w:r>
                <w:rPr>
                  <w:rStyle w:val="InternetLink"/>
                  <w:rFonts w:ascii="Times New Roman;sans-serif" w:hAnsi="Times New Roman;sans-serif"/>
                  <w:b w:val="false"/>
                  <w:strike w:val="false"/>
                  <w:dstrike w:val="false"/>
                  <w:color w:val="000000"/>
                  <w:sz w:val="20"/>
                  <w:u w:val="none"/>
                  <w:effect w:val="none"/>
                </w:rPr>
                <w:t>8</w:t>
              </w:r>
            </w:hyperlink>
          </w:p>
        </w:tc>
      </w:tr>
      <w:tr>
        <w:trPr/>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28">
              <w:r>
                <w:rPr>
                  <w:rStyle w:val="InternetLink"/>
                  <w:rFonts w:ascii="Times New Roman;sans-serif" w:hAnsi="Times New Roman;sans-serif"/>
                  <w:b w:val="false"/>
                  <w:color w:val="0000FF"/>
                  <w:sz w:val="20"/>
                  <w:u w:val="single"/>
                </w:rPr>
                <w:t>Condensed Consolidated Statement of Stockholders' Equity</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cf41e3083031494a9c3effaea80e0cdb_28">
              <w:r>
                <w:rPr>
                  <w:rStyle w:val="InternetLink"/>
                  <w:rFonts w:ascii="Times New Roman;sans-serif" w:hAnsi="Times New Roman;sans-serif"/>
                  <w:b w:val="false"/>
                  <w:strike w:val="false"/>
                  <w:dstrike w:val="false"/>
                  <w:color w:val="000000"/>
                  <w:sz w:val="20"/>
                  <w:u w:val="none"/>
                  <w:effect w:val="none"/>
                </w:rPr>
                <w:t>9</w:t>
              </w:r>
            </w:hyperlink>
          </w:p>
        </w:tc>
      </w:tr>
      <w:tr>
        <w:trPr/>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31">
              <w:r>
                <w:rPr>
                  <w:rStyle w:val="InternetLink"/>
                  <w:rFonts w:ascii="Times New Roman;sans-serif" w:hAnsi="Times New Roman;sans-serif"/>
                  <w:b w:val="false"/>
                  <w:color w:val="0000FF"/>
                  <w:sz w:val="20"/>
                  <w:u w:val="single"/>
                </w:rPr>
                <w:t>Condensed Consolidated Statements of Cash Flows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cf41e3083031494a9c3effaea80e0cdb_31">
              <w:r>
                <w:rPr>
                  <w:rStyle w:val="InternetLink"/>
                  <w:rFonts w:ascii="Times New Roman;sans-serif" w:hAnsi="Times New Roman;sans-serif"/>
                  <w:b w:val="false"/>
                  <w:strike w:val="false"/>
                  <w:dstrike w:val="false"/>
                  <w:color w:val="000000"/>
                  <w:sz w:val="20"/>
                  <w:u w:val="none"/>
                  <w:effect w:val="none"/>
                </w:rPr>
                <w:t>11</w:t>
              </w:r>
            </w:hyperlink>
          </w:p>
        </w:tc>
      </w:tr>
      <w:tr>
        <w:trPr/>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9" w:type="dxa"/>
            <w:gridSpan w:val="3"/>
            <w:tcBorders/>
            <w:tcMar>
              <w:top w:w="0" w:type="dxa"/>
              <w:left w:w="0" w:type="dxa"/>
              <w:bottom w:w="0" w:type="dxa"/>
              <w:right w:w="0" w:type="dxa"/>
            </w:tcMar>
            <w:vAlign w:val="center"/>
          </w:tcPr>
          <w:p>
            <w:pPr>
              <w:pStyle w:val="TableContents"/>
              <w:bidi w:val="0"/>
              <w:spacing w:lineRule="auto" w:line="268" w:before="200" w:after="283"/>
              <w:jc w:val="left"/>
              <w:rPr/>
            </w:pPr>
            <w:hyperlink w:anchor="icf41e3083031494a9c3effaea80e0cdb_34">
              <w:r>
                <w:rPr>
                  <w:rStyle w:val="InternetLink"/>
                  <w:rFonts w:ascii="Times New Roman;sans-serif" w:hAnsi="Times New Roman;sans-serif"/>
                  <w:b w:val="false"/>
                  <w:color w:val="0000FF"/>
                  <w:sz w:val="20"/>
                  <w:u w:val="single"/>
                </w:rPr>
                <w:t>Notes to Unaudited Condensed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cf41e3083031494a9c3effaea80e0cdb_34">
              <w:r>
                <w:rPr>
                  <w:rStyle w:val="InternetLink"/>
                  <w:rFonts w:ascii="Times New Roman;sans-serif" w:hAnsi="Times New Roman;sans-serif"/>
                  <w:b w:val="false"/>
                  <w:strike w:val="false"/>
                  <w:dstrike w:val="false"/>
                  <w:color w:val="000000"/>
                  <w:sz w:val="20"/>
                  <w:u w:val="none"/>
                  <w:effect w:val="none"/>
                </w:rPr>
                <w:t>12</w:t>
              </w:r>
            </w:hyperlink>
          </w:p>
        </w:tc>
      </w:tr>
      <w:tr>
        <w:trPr/>
        <w:tc>
          <w:tcPr>
            <w:tcW w:w="23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06">
              <w:r>
                <w:rPr>
                  <w:rStyle w:val="InternetLink"/>
                  <w:rFonts w:ascii="Times New Roman;sans-serif" w:hAnsi="Times New Roman;sans-serif"/>
                  <w:b w:val="false"/>
                  <w:color w:val="0000FF"/>
                  <w:sz w:val="20"/>
                  <w:u w:val="single"/>
                </w:rPr>
                <w:t>Item 2.</w:t>
              </w:r>
            </w:hyperlink>
          </w:p>
        </w:tc>
        <w:tc>
          <w:tcPr>
            <w:tcW w:w="72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0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cf41e3083031494a9c3effaea80e0cdb_106">
              <w:r>
                <w:rPr>
                  <w:rStyle w:val="InternetLink"/>
                  <w:rFonts w:ascii="Times New Roman;sans-serif" w:hAnsi="Times New Roman;sans-serif"/>
                  <w:b w:val="false"/>
                  <w:strike w:val="false"/>
                  <w:dstrike w:val="false"/>
                  <w:color w:val="000000"/>
                  <w:sz w:val="20"/>
                  <w:u w:val="none"/>
                  <w:effect w:val="none"/>
                </w:rPr>
                <w:t>42</w:t>
              </w:r>
            </w:hyperlink>
          </w:p>
        </w:tc>
      </w:tr>
      <w:tr>
        <w:trPr/>
        <w:tc>
          <w:tcPr>
            <w:tcW w:w="23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60">
              <w:r>
                <w:rPr>
                  <w:rStyle w:val="InternetLink"/>
                  <w:rFonts w:ascii="Times New Roman;sans-serif" w:hAnsi="Times New Roman;sans-serif"/>
                  <w:b w:val="false"/>
                  <w:color w:val="0000FF"/>
                  <w:sz w:val="20"/>
                  <w:u w:val="single"/>
                </w:rPr>
                <w:t>Item 3.</w:t>
              </w:r>
            </w:hyperlink>
          </w:p>
        </w:tc>
        <w:tc>
          <w:tcPr>
            <w:tcW w:w="72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60">
              <w:r>
                <w:rPr>
                  <w:rStyle w:val="InternetLink"/>
                  <w:rFonts w:ascii="Times New Roman;sans-serif" w:hAnsi="Times New Roman;sans-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cf41e3083031494a9c3effaea80e0cdb_160">
              <w:r>
                <w:rPr>
                  <w:rStyle w:val="InternetLink"/>
                  <w:rFonts w:ascii="Times New Roman;sans-serif" w:hAnsi="Times New Roman;sans-serif"/>
                  <w:b w:val="false"/>
                  <w:strike w:val="false"/>
                  <w:dstrike w:val="false"/>
                  <w:color w:val="000000"/>
                  <w:sz w:val="20"/>
                  <w:u w:val="none"/>
                  <w:effect w:val="none"/>
                </w:rPr>
                <w:t>60</w:t>
              </w:r>
            </w:hyperlink>
          </w:p>
        </w:tc>
      </w:tr>
      <w:tr>
        <w:trPr/>
        <w:tc>
          <w:tcPr>
            <w:tcW w:w="23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63">
              <w:r>
                <w:rPr>
                  <w:rStyle w:val="InternetLink"/>
                  <w:rFonts w:ascii="Times New Roman;sans-serif" w:hAnsi="Times New Roman;sans-serif"/>
                  <w:b w:val="false"/>
                  <w:color w:val="0000FF"/>
                  <w:sz w:val="20"/>
                  <w:u w:val="single"/>
                </w:rPr>
                <w:t>Item 4.</w:t>
              </w:r>
            </w:hyperlink>
          </w:p>
        </w:tc>
        <w:tc>
          <w:tcPr>
            <w:tcW w:w="72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63">
              <w:r>
                <w:rPr>
                  <w:rStyle w:val="InternetLink"/>
                  <w:rFonts w:ascii="Times New Roman;sans-serif" w:hAnsi="Times New Roman;sans-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cf41e3083031494a9c3effaea80e0cdb_163">
              <w:r>
                <w:rPr>
                  <w:rStyle w:val="InternetLink"/>
                  <w:rFonts w:ascii="Times New Roman;sans-serif" w:hAnsi="Times New Roman;sans-serif"/>
                  <w:b w:val="false"/>
                  <w:strike w:val="false"/>
                  <w:dstrike w:val="false"/>
                  <w:color w:val="000000"/>
                  <w:sz w:val="20"/>
                  <w:u w:val="none"/>
                  <w:effect w:val="none"/>
                </w:rPr>
                <w:t>60</w:t>
              </w:r>
            </w:hyperlink>
          </w:p>
        </w:tc>
      </w:tr>
      <w:tr>
        <w:trPr/>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66">
              <w:r>
                <w:rPr>
                  <w:rStyle w:val="InternetLink"/>
                  <w:rFonts w:ascii="Times New Roman;sans-serif" w:hAnsi="Times New Roman;sans-serif"/>
                  <w:b w:val="false"/>
                  <w:color w:val="0000FF"/>
                  <w:sz w:val="20"/>
                  <w:u w:val="single"/>
                </w:rPr>
                <w:t>Part II. 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69">
              <w:r>
                <w:rPr>
                  <w:rStyle w:val="InternetLink"/>
                  <w:rFonts w:ascii="Times New Roman;sans-serif" w:hAnsi="Times New Roman;sans-serif"/>
                  <w:b w:val="false"/>
                  <w:color w:val="0000FF"/>
                  <w:sz w:val="20"/>
                  <w:u w:val="single"/>
                </w:rPr>
                <w:t>Item 1.</w:t>
              </w:r>
            </w:hyperlink>
          </w:p>
        </w:tc>
        <w:tc>
          <w:tcPr>
            <w:tcW w:w="72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69">
              <w:r>
                <w:rPr>
                  <w:rStyle w:val="InternetLink"/>
                  <w:rFonts w:ascii="Times New Roman;sans-serif" w:hAnsi="Times New Roman;sans-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cf41e3083031494a9c3effaea80e0cdb_169">
              <w:r>
                <w:rPr>
                  <w:rStyle w:val="InternetLink"/>
                  <w:rFonts w:ascii="Times New Roman;sans-serif" w:hAnsi="Times New Roman;sans-serif"/>
                  <w:b w:val="false"/>
                  <w:strike w:val="false"/>
                  <w:dstrike w:val="false"/>
                  <w:color w:val="000000"/>
                  <w:sz w:val="20"/>
                  <w:u w:val="none"/>
                  <w:effect w:val="none"/>
                </w:rPr>
                <w:t>62</w:t>
              </w:r>
            </w:hyperlink>
          </w:p>
        </w:tc>
      </w:tr>
      <w:tr>
        <w:trPr/>
        <w:tc>
          <w:tcPr>
            <w:tcW w:w="23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72">
              <w:r>
                <w:rPr>
                  <w:rStyle w:val="InternetLink"/>
                  <w:rFonts w:ascii="Times New Roman;sans-serif" w:hAnsi="Times New Roman;sans-serif"/>
                  <w:b w:val="false"/>
                  <w:color w:val="0000FF"/>
                  <w:sz w:val="20"/>
                  <w:u w:val="single"/>
                </w:rPr>
                <w:t>Item 1A.</w:t>
              </w:r>
            </w:hyperlink>
          </w:p>
        </w:tc>
        <w:tc>
          <w:tcPr>
            <w:tcW w:w="72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72">
              <w:r>
                <w:rPr>
                  <w:rStyle w:val="InternetLink"/>
                  <w:rFonts w:ascii="Times New Roman;sans-serif" w:hAnsi="Times New Roman;sans-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cf41e3083031494a9c3effaea80e0cdb_172">
              <w:r>
                <w:rPr>
                  <w:rStyle w:val="InternetLink"/>
                  <w:rFonts w:ascii="Times New Roman;sans-serif" w:hAnsi="Times New Roman;sans-serif"/>
                  <w:b w:val="false"/>
                  <w:strike w:val="false"/>
                  <w:dstrike w:val="false"/>
                  <w:color w:val="000000"/>
                  <w:sz w:val="20"/>
                  <w:u w:val="none"/>
                  <w:effect w:val="none"/>
                </w:rPr>
                <w:t>62</w:t>
              </w:r>
            </w:hyperlink>
          </w:p>
        </w:tc>
      </w:tr>
      <w:tr>
        <w:trPr/>
        <w:tc>
          <w:tcPr>
            <w:tcW w:w="23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75">
              <w:r>
                <w:rPr>
                  <w:rStyle w:val="InternetLink"/>
                  <w:rFonts w:ascii="Times New Roman;sans-serif" w:hAnsi="Times New Roman;sans-serif"/>
                  <w:b w:val="false"/>
                  <w:color w:val="0000FF"/>
                  <w:sz w:val="20"/>
                  <w:u w:val="single"/>
                </w:rPr>
                <w:t>Item 2.</w:t>
              </w:r>
            </w:hyperlink>
          </w:p>
        </w:tc>
        <w:tc>
          <w:tcPr>
            <w:tcW w:w="72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75">
              <w:r>
                <w:rPr>
                  <w:rStyle w:val="InternetLink"/>
                  <w:rFonts w:ascii="Times New Roman;sans-serif" w:hAnsi="Times New Roman;sans-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cf41e3083031494a9c3effaea80e0cdb_175">
              <w:r>
                <w:rPr>
                  <w:rStyle w:val="InternetLink"/>
                  <w:rFonts w:ascii="Times New Roman;sans-serif" w:hAnsi="Times New Roman;sans-serif"/>
                  <w:b w:val="false"/>
                  <w:strike w:val="false"/>
                  <w:dstrike w:val="false"/>
                  <w:color w:val="000000"/>
                  <w:sz w:val="20"/>
                  <w:u w:val="none"/>
                  <w:effect w:val="none"/>
                </w:rPr>
                <w:t>103</w:t>
              </w:r>
            </w:hyperlink>
          </w:p>
        </w:tc>
      </w:tr>
      <w:tr>
        <w:trPr/>
        <w:tc>
          <w:tcPr>
            <w:tcW w:w="23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78">
              <w:r>
                <w:rPr>
                  <w:rStyle w:val="InternetLink"/>
                  <w:rFonts w:ascii="Times New Roman;sans-serif" w:hAnsi="Times New Roman;sans-serif"/>
                  <w:b w:val="false"/>
                  <w:color w:val="0000FF"/>
                  <w:sz w:val="20"/>
                  <w:u w:val="single"/>
                </w:rPr>
                <w:t>Item 3.</w:t>
              </w:r>
            </w:hyperlink>
          </w:p>
        </w:tc>
        <w:tc>
          <w:tcPr>
            <w:tcW w:w="72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78">
              <w:r>
                <w:rPr>
                  <w:rStyle w:val="InternetLink"/>
                  <w:rFonts w:ascii="Times New Roman;sans-serif" w:hAnsi="Times New Roman;sans-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cf41e3083031494a9c3effaea80e0cdb_178">
              <w:r>
                <w:rPr>
                  <w:rStyle w:val="InternetLink"/>
                  <w:rFonts w:ascii="Times New Roman;sans-serif" w:hAnsi="Times New Roman;sans-serif"/>
                  <w:b w:val="false"/>
                  <w:strike w:val="false"/>
                  <w:dstrike w:val="false"/>
                  <w:color w:val="000000"/>
                  <w:sz w:val="20"/>
                  <w:u w:val="none"/>
                  <w:effect w:val="none"/>
                </w:rPr>
                <w:t>103</w:t>
              </w:r>
            </w:hyperlink>
          </w:p>
        </w:tc>
      </w:tr>
      <w:tr>
        <w:trPr/>
        <w:tc>
          <w:tcPr>
            <w:tcW w:w="23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81">
              <w:r>
                <w:rPr>
                  <w:rStyle w:val="InternetLink"/>
                  <w:rFonts w:ascii="Times New Roman;sans-serif" w:hAnsi="Times New Roman;sans-serif"/>
                  <w:b w:val="false"/>
                  <w:color w:val="0000FF"/>
                  <w:sz w:val="20"/>
                  <w:u w:val="single"/>
                </w:rPr>
                <w:t>Item 4.</w:t>
              </w:r>
            </w:hyperlink>
          </w:p>
        </w:tc>
        <w:tc>
          <w:tcPr>
            <w:tcW w:w="72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81">
              <w:r>
                <w:rPr>
                  <w:rStyle w:val="InternetLink"/>
                  <w:rFonts w:ascii="Times New Roman;sans-serif" w:hAnsi="Times New Roman;sans-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cf41e3083031494a9c3effaea80e0cdb_181">
              <w:r>
                <w:rPr>
                  <w:rStyle w:val="InternetLink"/>
                  <w:rFonts w:ascii="Times New Roman;sans-serif" w:hAnsi="Times New Roman;sans-serif"/>
                  <w:b w:val="false"/>
                  <w:strike w:val="false"/>
                  <w:dstrike w:val="false"/>
                  <w:color w:val="000000"/>
                  <w:sz w:val="20"/>
                  <w:u w:val="none"/>
                  <w:effect w:val="none"/>
                </w:rPr>
                <w:t>103</w:t>
              </w:r>
            </w:hyperlink>
          </w:p>
        </w:tc>
      </w:tr>
      <w:tr>
        <w:trPr/>
        <w:tc>
          <w:tcPr>
            <w:tcW w:w="23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84">
              <w:r>
                <w:rPr>
                  <w:rStyle w:val="InternetLink"/>
                  <w:rFonts w:ascii="Times New Roman;sans-serif" w:hAnsi="Times New Roman;sans-serif"/>
                  <w:b w:val="false"/>
                  <w:color w:val="0000FF"/>
                  <w:sz w:val="20"/>
                  <w:u w:val="single"/>
                </w:rPr>
                <w:t>Item 5.</w:t>
              </w:r>
            </w:hyperlink>
          </w:p>
        </w:tc>
        <w:tc>
          <w:tcPr>
            <w:tcW w:w="72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84">
              <w:r>
                <w:rPr>
                  <w:rStyle w:val="InternetLink"/>
                  <w:rFonts w:ascii="Times New Roman;sans-serif" w:hAnsi="Times New Roman;sans-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cf41e3083031494a9c3effaea80e0cdb_184">
              <w:r>
                <w:rPr>
                  <w:rStyle w:val="InternetLink"/>
                  <w:rFonts w:ascii="Times New Roman;sans-serif" w:hAnsi="Times New Roman;sans-serif"/>
                  <w:b w:val="false"/>
                  <w:strike w:val="false"/>
                  <w:dstrike w:val="false"/>
                  <w:color w:val="000000"/>
                  <w:sz w:val="20"/>
                  <w:u w:val="none"/>
                  <w:effect w:val="none"/>
                </w:rPr>
                <w:t>103</w:t>
              </w:r>
            </w:hyperlink>
          </w:p>
        </w:tc>
      </w:tr>
      <w:tr>
        <w:trPr/>
        <w:tc>
          <w:tcPr>
            <w:tcW w:w="23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87">
              <w:r>
                <w:rPr>
                  <w:rStyle w:val="InternetLink"/>
                  <w:rFonts w:ascii="Times New Roman;sans-serif" w:hAnsi="Times New Roman;sans-serif"/>
                  <w:b w:val="false"/>
                  <w:color w:val="0000FF"/>
                  <w:sz w:val="20"/>
                  <w:u w:val="single"/>
                </w:rPr>
                <w:t>Item 6.</w:t>
              </w:r>
            </w:hyperlink>
          </w:p>
        </w:tc>
        <w:tc>
          <w:tcPr>
            <w:tcW w:w="72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87">
              <w:r>
                <w:rPr>
                  <w:rStyle w:val="InternetLink"/>
                  <w:rFonts w:ascii="Times New Roman;sans-serif" w:hAnsi="Times New Roman;sans-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cf41e3083031494a9c3effaea80e0cdb_187">
              <w:r>
                <w:rPr>
                  <w:rStyle w:val="InternetLink"/>
                  <w:rFonts w:ascii="Times New Roman;sans-serif" w:hAnsi="Times New Roman;sans-serif"/>
                  <w:b w:val="false"/>
                  <w:strike w:val="false"/>
                  <w:dstrike w:val="false"/>
                  <w:color w:val="000000"/>
                  <w:sz w:val="20"/>
                  <w:u w:val="none"/>
                  <w:effect w:val="none"/>
                </w:rPr>
                <w:t>103</w:t>
              </w:r>
            </w:hyperlink>
          </w:p>
        </w:tc>
      </w:tr>
      <w:tr>
        <w:trPr/>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cf41e3083031494a9c3effaea80e0cdb_190">
              <w:r>
                <w:rPr>
                  <w:rStyle w:val="InternetLink"/>
                  <w:rFonts w:ascii="Times New Roman;sans-serif" w:hAnsi="Times New Roman;sans-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cf41e3083031494a9c3effaea80e0cdb_190">
              <w:r>
                <w:rPr>
                  <w:rStyle w:val="InternetLink"/>
                  <w:rFonts w:ascii="Times New Roman;sans-serif" w:hAnsi="Times New Roman;sans-serif"/>
                  <w:b w:val="false"/>
                  <w:strike w:val="false"/>
                  <w:dstrike w:val="false"/>
                  <w:color w:val="000000"/>
                  <w:sz w:val="20"/>
                  <w:u w:val="none"/>
                  <w:effect w:val="none"/>
                </w:rPr>
                <w:t>105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80"/>
        <w:ind w:left="0" w:right="0" w:firstLine="72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EXPLANATORY NOTE</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Unless otherwise stated in this report or the context otherwise requires, references to: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GeneDx Holdings” refer to GeneDx Holdings Corp., a Delaware corporation (f/k/a Sema4 Holdings Corp. (“Sema4 Holdings”));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Legacy GeneDx” refer to GeneDx, LLC, a Delaware limited liability company (formerly, GeneDx, Inc., a New Jersey corporation), which we acquired on April 29, 2022 (the “Acquisition”);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Legacy Sema4” refer to Mount Sinai Genomics, Inc. d/b/a as Sema4, a Delaware corporation, which consummated the business combination with CM Life Sciences, Inc. (“CMLS”) on July 22, 2021 (the “Business Combination”);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we,” “us” and “our,” the “Company” and “GeneDx” refer, as the context requires, to:</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Legacy Sema4 prior to the Business Combination, and GeneDx Holdings and its consolidated subsidiaries following the consummation of the Business Combination;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Legacy GeneDx prior to the Acquisition, and GeneDx Holdings and its consolidated subsidiaries following the consummation of the Acquisition.</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unless otherwise stated in this report, all share amounts, exercise prices and other amounts set forth herein have been adjusted for the impact of a 1-for-33 reverse stock split of our Class A common stock, par value $0.0001 per share (“Class A common stock”), that became effective on May 4, 2023 (the “Reverse Stock Split”). </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00" w:after="18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matters discussed in this report, including matters discussed under the caption “Management’s Discussion and Analysis of Financial Condition and Results of Operations,”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pStyle w:val="TextBody"/>
        <w:bidi w:val="0"/>
        <w:spacing w:lineRule="auto" w:line="268" w:before="0" w:after="0"/>
        <w:ind w:left="0" w:right="0" w:hanging="720"/>
        <w:jc w:val="left"/>
        <w:rPr/>
      </w:pPr>
      <w:r>
        <w:rPr>
          <w:color w:val="000000"/>
        </w:rPr>
        <w:t>•</w:t>
      </w:r>
      <w:r>
        <w:rPr>
          <w:rFonts w:ascii="Times New Roman;sans-serif" w:hAnsi="Times New Roman;sans-serif"/>
          <w:b w:val="false"/>
          <w:color w:val="000000"/>
          <w:sz w:val="20"/>
        </w:rPr>
        <w:t>our estimates of the sufficiency of our existing capital resources combined with future anticipated cash flows and future capital requirements to finance our operating requirements, and capital expenditures;</w:t>
      </w:r>
    </w:p>
    <w:p>
      <w:pPr>
        <w:pStyle w:val="TextBody"/>
        <w:bidi w:val="0"/>
        <w:spacing w:lineRule="auto" w:line="268" w:before="0" w:after="0"/>
        <w:ind w:left="0" w:right="0" w:hanging="720"/>
        <w:jc w:val="left"/>
        <w:rPr/>
      </w:pPr>
      <w:r>
        <w:rPr>
          <w:color w:val="000000"/>
        </w:rPr>
        <w:t>•</w:t>
      </w:r>
      <w:r>
        <w:rPr>
          <w:rFonts w:ascii="Times New Roman;sans-serif" w:hAnsi="Times New Roman;sans-serif"/>
          <w:b w:val="false"/>
          <w:color w:val="000000"/>
          <w:sz w:val="20"/>
        </w:rPr>
        <w:t>our expectations for generating revenue, incurring losses, and becoming profitable on a sustained basis;</w:t>
      </w:r>
    </w:p>
    <w:p>
      <w:pPr>
        <w:pStyle w:val="TextBody"/>
        <w:bidi w:val="0"/>
        <w:spacing w:lineRule="auto" w:line="268" w:before="0" w:after="0"/>
        <w:ind w:left="0" w:right="0" w:hanging="720"/>
        <w:jc w:val="left"/>
        <w:rPr/>
      </w:pPr>
      <w:r>
        <w:rPr>
          <w:color w:val="000000"/>
        </w:rPr>
        <w:t>•</w:t>
      </w:r>
      <w:r>
        <w:rPr>
          <w:rFonts w:ascii="Times New Roman;sans-serif" w:hAnsi="Times New Roman;sans-serif"/>
          <w:b w:val="false"/>
          <w:color w:val="000000"/>
          <w:sz w:val="20"/>
        </w:rPr>
        <w:t>unforeseen circumstances or other disruptions to normal business operations, including supply chain interruptions and manufacturing constraints, arising from or related to public health emergencies such as but not limited to the COVID-19 pandemic, natural disasters, acts of terrorism or other uncontrollable events;</w:t>
      </w:r>
    </w:p>
    <w:p>
      <w:pPr>
        <w:pStyle w:val="TextBody"/>
        <w:bidi w:val="0"/>
        <w:spacing w:lineRule="auto" w:line="268" w:before="0" w:after="0"/>
        <w:ind w:left="0" w:right="0" w:hanging="720"/>
        <w:jc w:val="left"/>
        <w:rPr/>
      </w:pPr>
      <w:r>
        <w:rPr>
          <w:color w:val="000000"/>
        </w:rPr>
        <w:t>•</w:t>
      </w:r>
      <w:r>
        <w:rPr>
          <w:rFonts w:ascii="Times New Roman;sans-serif" w:hAnsi="Times New Roman;sans-serif"/>
          <w:b w:val="false"/>
          <w:color w:val="000000"/>
          <w:sz w:val="20"/>
        </w:rPr>
        <w:t xml:space="preserve">our expectations regarding our ability to scale to profitability, our plans to pursue a new strategic direction, and the cost savings and impact on our gross margins from exiting our reproductive and women’s business and our somatic tumor testing business; </w:t>
      </w:r>
    </w:p>
    <w:p>
      <w:pPr>
        <w:pStyle w:val="TextBody"/>
        <w:bidi w:val="0"/>
        <w:spacing w:lineRule="auto" w:line="288" w:before="20" w:after="283"/>
        <w:ind w:left="0" w:right="0" w:hanging="720"/>
        <w:jc w:val="both"/>
        <w:rPr/>
      </w:pPr>
      <w:r>
        <w:rPr>
          <w:color w:val="000000"/>
        </w:rPr>
        <w:t>•</w:t>
      </w:r>
      <w:r>
        <w:rPr>
          <w:rFonts w:ascii="Times New Roman;sans-serif" w:hAnsi="Times New Roman;sans-serif"/>
          <w:b w:val="false"/>
          <w:color w:val="000000"/>
          <w:sz w:val="20"/>
        </w:rPr>
        <w:t>our ability to successfully implement our business strategy;</w:t>
      </w:r>
    </w:p>
    <w:p>
      <w:pPr>
        <w:pStyle w:val="TextBody"/>
        <w:bidi w:val="0"/>
        <w:spacing w:lineRule="auto" w:line="288" w:before="20" w:after="283"/>
        <w:ind w:left="0" w:right="0" w:hanging="720"/>
        <w:jc w:val="both"/>
        <w:rPr/>
      </w:pPr>
      <w:r>
        <w:rPr>
          <w:color w:val="000000"/>
        </w:rPr>
        <w:t>•</w:t>
      </w:r>
      <w:r>
        <w:rPr>
          <w:rFonts w:ascii="Times New Roman;sans-serif" w:hAnsi="Times New Roman;sans-serif"/>
          <w:b w:val="false"/>
          <w:color w:val="000000"/>
          <w:sz w:val="20"/>
        </w:rPr>
        <w:t>our expectations or ability to enter into service, collaboration and other partnership agreements;</w:t>
      </w:r>
    </w:p>
    <w:p>
      <w:pPr>
        <w:pStyle w:val="TextBody"/>
        <w:bidi w:val="0"/>
        <w:spacing w:lineRule="auto" w:line="288" w:before="20" w:after="283"/>
        <w:ind w:left="0" w:right="0" w:hanging="720"/>
        <w:jc w:val="both"/>
        <w:rPr/>
      </w:pPr>
      <w:r>
        <w:rPr>
          <w:color w:val="000000"/>
        </w:rPr>
        <w:t>•</w:t>
      </w:r>
      <w:r>
        <w:rPr>
          <w:rFonts w:ascii="Times New Roman;sans-serif" w:hAnsi="Times New Roman;sans-serif"/>
          <w:b w:val="false"/>
          <w:color w:val="000000"/>
          <w:sz w:val="20"/>
        </w:rPr>
        <w:t>our expectations or ability to build our own commercial infrastructure to scale market and sell our products;</w:t>
      </w:r>
    </w:p>
    <w:p>
      <w:pPr>
        <w:pStyle w:val="TextBody"/>
        <w:bidi w:val="0"/>
        <w:spacing w:lineRule="auto" w:line="288" w:before="20" w:after="283"/>
        <w:ind w:left="0" w:right="0" w:hanging="720"/>
        <w:jc w:val="both"/>
        <w:rPr/>
      </w:pPr>
      <w:r>
        <w:rPr>
          <w:color w:val="000000"/>
        </w:rPr>
        <w:t>•</w:t>
      </w:r>
      <w:r>
        <w:rPr>
          <w:rFonts w:ascii="Times New Roman;sans-serif" w:hAnsi="Times New Roman;sans-serif"/>
          <w:b w:val="false"/>
          <w:color w:val="000000"/>
          <w:sz w:val="20"/>
        </w:rPr>
        <w:t xml:space="preserve">actions or authorizations by the U.S. Food and Drug Administration (the “FDA”), or other regulatory authorities; </w:t>
      </w:r>
    </w:p>
    <w:p>
      <w:pPr>
        <w:pStyle w:val="TextBody"/>
        <w:bidi w:val="0"/>
        <w:spacing w:lineRule="auto" w:line="288" w:before="20" w:after="283"/>
        <w:ind w:left="0" w:right="0" w:hanging="720"/>
        <w:jc w:val="both"/>
        <w:rPr/>
      </w:pPr>
      <w:r>
        <w:rPr>
          <w:color w:val="000000"/>
        </w:rPr>
        <w:t>•</w:t>
      </w:r>
      <w:r>
        <w:rPr>
          <w:rFonts w:ascii="Times New Roman;sans-serif" w:hAnsi="Times New Roman;sans-serif"/>
          <w:b w:val="false"/>
          <w:color w:val="000000"/>
          <w:sz w:val="20"/>
        </w:rPr>
        <w:t>risks related to governmental regulation and other legal obligations, including privacy, data protection, information security, consumer protection, and anti-corruption and anti-bribery;</w:t>
      </w:r>
    </w:p>
    <w:p>
      <w:pPr>
        <w:pStyle w:val="TextBody"/>
        <w:bidi w:val="0"/>
        <w:spacing w:lineRule="auto" w:line="288" w:before="20" w:after="283"/>
        <w:ind w:left="0" w:right="0" w:hanging="720"/>
        <w:jc w:val="both"/>
        <w:rPr/>
      </w:pPr>
      <w:r>
        <w:rPr>
          <w:color w:val="000000"/>
        </w:rPr>
        <w:t>•</w:t>
      </w:r>
      <w:r>
        <w:rPr>
          <w:rFonts w:ascii="Times New Roman;sans-serif" w:hAnsi="Times New Roman;sans-serif"/>
          <w:b w:val="false"/>
          <w:color w:val="000000"/>
          <w:sz w:val="20"/>
        </w:rPr>
        <w:t>our ability to obtain and maintain intellectual property protection for our product candidates;</w:t>
      </w:r>
    </w:p>
    <w:p>
      <w:pPr>
        <w:pStyle w:val="TextBody"/>
        <w:bidi w:val="0"/>
        <w:spacing w:lineRule="auto" w:line="288" w:before="20" w:after="283"/>
        <w:ind w:left="0" w:right="0" w:hanging="720"/>
        <w:jc w:val="both"/>
        <w:rPr/>
      </w:pPr>
      <w:r>
        <w:rPr>
          <w:color w:val="000000"/>
        </w:rPr>
        <w:t>•</w:t>
      </w:r>
      <w:r>
        <w:rPr>
          <w:rFonts w:ascii="Times New Roman;sans-serif" w:hAnsi="Times New Roman;sans-serif"/>
          <w:b w:val="false"/>
          <w:color w:val="000000"/>
          <w:sz w:val="20"/>
        </w:rPr>
        <w:t>our ability to compete against existing and emerging technologies;</w:t>
      </w:r>
    </w:p>
    <w:p>
      <w:pPr>
        <w:pStyle w:val="TextBody"/>
        <w:bidi w:val="0"/>
        <w:spacing w:lineRule="auto" w:line="268" w:before="0" w:after="0"/>
        <w:ind w:left="0" w:right="0" w:hanging="720"/>
        <w:jc w:val="both"/>
        <w:rPr/>
      </w:pPr>
      <w:r>
        <w:rPr>
          <w:color w:val="000000"/>
        </w:rPr>
        <w:t>•</w:t>
      </w:r>
      <w:r>
        <w:rPr>
          <w:rFonts w:ascii="Times New Roman;sans-serif" w:hAnsi="Times New Roman;sans-serif"/>
          <w:b w:val="false"/>
          <w:color w:val="000000"/>
          <w:sz w:val="20"/>
        </w:rPr>
        <w:t>third-party payor reimbursement and coverage decisions, negotiations and settlements;</w:t>
      </w:r>
    </w:p>
    <w:p>
      <w:pPr>
        <w:pStyle w:val="TextBody"/>
        <w:bidi w:val="0"/>
        <w:spacing w:lineRule="auto" w:line="288" w:before="20" w:after="283"/>
        <w:ind w:left="0" w:right="0" w:hanging="720"/>
        <w:jc w:val="both"/>
        <w:rPr/>
      </w:pPr>
      <w:r>
        <w:rPr>
          <w:color w:val="000000"/>
        </w:rPr>
        <w:t>•</w:t>
      </w:r>
      <w:r>
        <w:rPr>
          <w:rFonts w:ascii="Times New Roman;sans-serif" w:hAnsi="Times New Roman;sans-serif"/>
          <w:b w:val="false"/>
          <w:color w:val="000000"/>
          <w:sz w:val="20"/>
        </w:rPr>
        <w:t>our reliance on third-party service providers for our data programs;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our accounting estimates and judgments, including our expectations regarding the adequacy of our reserves for third party payor claims, our estimates of the fair value of the second milestone payment related to the Acquisition and our conclusions regarding the appropriateness of the carrying value of intangible assets and goodwill; </w:t>
      </w:r>
    </w:p>
    <w:p>
      <w:pPr>
        <w:pStyle w:val="TextBody"/>
        <w:bidi w:val="0"/>
        <w:spacing w:lineRule="auto" w:line="288" w:before="20" w:after="283"/>
        <w:ind w:left="0" w:right="0" w:hanging="720"/>
        <w:jc w:val="both"/>
        <w:rPr/>
      </w:pPr>
      <w:r>
        <w:rPr>
          <w:color w:val="000000"/>
        </w:rPr>
        <w:t>•</w:t>
      </w:r>
      <w:r>
        <w:rPr>
          <w:rFonts w:ascii="Times New Roman;sans-serif" w:hAnsi="Times New Roman;sans-serif"/>
          <w:b w:val="false"/>
          <w:color w:val="000000"/>
          <w:sz w:val="20"/>
        </w:rPr>
        <w:t xml:space="preserve">our stock price and its volatility; and </w:t>
      </w:r>
    </w:p>
    <w:p>
      <w:pPr>
        <w:pStyle w:val="TextBody"/>
        <w:bidi w:val="0"/>
        <w:spacing w:lineRule="auto" w:line="288" w:before="20" w:after="283"/>
        <w:ind w:left="0" w:right="0" w:hanging="720"/>
        <w:jc w:val="both"/>
        <w:rPr/>
      </w:pPr>
      <w:r>
        <w:rPr>
          <w:color w:val="000000"/>
        </w:rPr>
        <w:t>•</w:t>
      </w:r>
      <w:r>
        <w:rPr>
          <w:rFonts w:ascii="Times New Roman;sans-serif" w:hAnsi="Times New Roman;sans-serif"/>
          <w:b w:val="false"/>
          <w:color w:val="000000"/>
          <w:sz w:val="20"/>
        </w:rPr>
        <w:t>our ability to attract and retain key personnel.</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report reflect our views and assumptions only as of the date that this report is signed. Except as required by law, we assume no responsibility for updating any forward-looking statements.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87"/>
        <w:gridCol w:w="2300"/>
        <w:gridCol w:w="2238"/>
        <w:gridCol w:w="211"/>
        <w:gridCol w:w="829"/>
        <w:gridCol w:w="109"/>
        <w:gridCol w:w="109"/>
        <w:gridCol w:w="109"/>
        <w:gridCol w:w="109"/>
        <w:gridCol w:w="220"/>
        <w:gridCol w:w="1020"/>
        <w:gridCol w:w="164"/>
      </w:tblGrid>
      <w:tr>
        <w:trPr/>
        <w:tc>
          <w:tcPr>
            <w:tcW w:w="2787"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212,622 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restricted cash</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490,942 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and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144,297 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contingent liability</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237,237 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10)</w:t>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equity: </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 and 1,000,000 shares authorized at June 30, 2023 and December 31, 2022, respectively; 0 shares issued and outstanding at June 30, 2023 and December 31, 2022, respectively</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common stock, $0.0001 par value: 1,000,000,000 and 1,000,000,000 shares authorized at June 30, 2023 and December 31, 2022, respectively; 25,761,147 and 11,773,065 shares issued and outstanding at June 30, 2023 and December 31, 2022, respectively </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1,378,125 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(1,124,421)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stockholders’ equity </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253,705 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490,942 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33" w:before="0" w:after="0"/>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50"/>
        <w:gridCol w:w="1282"/>
        <w:gridCol w:w="1287"/>
        <w:gridCol w:w="240"/>
        <w:gridCol w:w="841"/>
        <w:gridCol w:w="109"/>
        <w:gridCol w:w="109"/>
        <w:gridCol w:w="109"/>
        <w:gridCol w:w="109"/>
        <w:gridCol w:w="211"/>
        <w:gridCol w:w="876"/>
        <w:gridCol w:w="109"/>
        <w:gridCol w:w="109"/>
        <w:gridCol w:w="109"/>
        <w:gridCol w:w="109"/>
        <w:gridCol w:w="211"/>
        <w:gridCol w:w="876"/>
        <w:gridCol w:w="109"/>
        <w:gridCol w:w="109"/>
        <w:gridCol w:w="109"/>
        <w:gridCol w:w="109"/>
        <w:gridCol w:w="211"/>
        <w:gridCol w:w="854"/>
        <w:gridCol w:w="158"/>
      </w:tblGrid>
      <w:tr>
        <w:trPr/>
        <w:tc>
          <w:tcPr>
            <w:tcW w:w="185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 (including related party revenue of $802 and $413 for the three months ended and $1,644 and $583 for the six months ended June 30, 2023 and 2022, respectively)</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(including related party revenue of $0 and $73 for the three months ended and $0 and $147 for the six months ended June 30, 2023 and 2022, respectively)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(including related party expenses of $1,649 and $1,348 for the three months ended and $2,464 and $2,404 for the six months ended June 30, 2023 and 2022, respectively)</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114,083 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(251,954)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market value of warrant and earn-out contingent liabilities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(211,715)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(162,638)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of Class A common stock</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25,418,358 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10,234,910 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22,754,948 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8,827,829 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Class A common stock</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333"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33" w:before="0" w:after="0"/>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00" w:before="0" w:after="180"/>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bl>
      <w:tblPr>
        <w:tblW w:w="10205" w:type="dxa"/>
        <w:jc w:val="center"/>
        <w:tblInd w:w="0" w:type="dxa"/>
        <w:tblLayout w:type="fixed"/>
        <w:tblCellMar>
          <w:top w:w="28" w:type="dxa"/>
          <w:left w:w="28" w:type="dxa"/>
          <w:bottom w:w="28" w:type="dxa"/>
          <w:right w:w="28" w:type="dxa"/>
        </w:tblCellMar>
      </w:tblPr>
      <w:tblGrid>
        <w:gridCol w:w="723"/>
        <w:gridCol w:w="323"/>
        <w:gridCol w:w="326"/>
        <w:gridCol w:w="203"/>
        <w:gridCol w:w="203"/>
        <w:gridCol w:w="196"/>
        <w:gridCol w:w="109"/>
        <w:gridCol w:w="109"/>
        <w:gridCol w:w="109"/>
        <w:gridCol w:w="197"/>
        <w:gridCol w:w="409"/>
        <w:gridCol w:w="109"/>
        <w:gridCol w:w="109"/>
        <w:gridCol w:w="109"/>
        <w:gridCol w:w="109"/>
        <w:gridCol w:w="109"/>
        <w:gridCol w:w="109"/>
        <w:gridCol w:w="109"/>
        <w:gridCol w:w="368"/>
        <w:gridCol w:w="368"/>
        <w:gridCol w:w="308"/>
        <w:gridCol w:w="111"/>
        <w:gridCol w:w="111"/>
        <w:gridCol w:w="111"/>
        <w:gridCol w:w="201"/>
        <w:gridCol w:w="262"/>
        <w:gridCol w:w="111"/>
        <w:gridCol w:w="109"/>
        <w:gridCol w:w="109"/>
        <w:gridCol w:w="109"/>
        <w:gridCol w:w="202"/>
        <w:gridCol w:w="917"/>
        <w:gridCol w:w="112"/>
        <w:gridCol w:w="109"/>
        <w:gridCol w:w="109"/>
        <w:gridCol w:w="109"/>
        <w:gridCol w:w="198"/>
        <w:gridCol w:w="901"/>
        <w:gridCol w:w="110"/>
        <w:gridCol w:w="109"/>
        <w:gridCol w:w="109"/>
        <w:gridCol w:w="109"/>
        <w:gridCol w:w="204"/>
        <w:gridCol w:w="785"/>
        <w:gridCol w:w="174"/>
      </w:tblGrid>
      <w:tr>
        <w:trPr/>
        <w:tc>
          <w:tcPr>
            <w:tcW w:w="7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Balance at March 31, 2023 </w:t>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24,193,436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1,513,877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(1,185,410)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328,469</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pursuant to stock option exercises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expense </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restricted stock units converted to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159,780 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A common shares in registered direct offering, net of issuance costs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676,868 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A common shares for the first Milestone Payment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701,460 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Fractional shares issued upon Reverse Stock Split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29,603 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60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25,761,147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1,528,240</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(1,232,129)</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296,113</w:t>
            </w: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72"/>
        <w:gridCol w:w="323"/>
        <w:gridCol w:w="324"/>
        <w:gridCol w:w="203"/>
        <w:gridCol w:w="203"/>
        <w:gridCol w:w="196"/>
        <w:gridCol w:w="109"/>
        <w:gridCol w:w="109"/>
        <w:gridCol w:w="109"/>
        <w:gridCol w:w="196"/>
        <w:gridCol w:w="407"/>
        <w:gridCol w:w="109"/>
        <w:gridCol w:w="109"/>
        <w:gridCol w:w="109"/>
        <w:gridCol w:w="109"/>
        <w:gridCol w:w="109"/>
        <w:gridCol w:w="109"/>
        <w:gridCol w:w="109"/>
        <w:gridCol w:w="480"/>
        <w:gridCol w:w="481"/>
        <w:gridCol w:w="308"/>
        <w:gridCol w:w="110"/>
        <w:gridCol w:w="110"/>
        <w:gridCol w:w="110"/>
        <w:gridCol w:w="198"/>
        <w:gridCol w:w="258"/>
        <w:gridCol w:w="110"/>
        <w:gridCol w:w="109"/>
        <w:gridCol w:w="109"/>
        <w:gridCol w:w="109"/>
        <w:gridCol w:w="198"/>
        <w:gridCol w:w="899"/>
        <w:gridCol w:w="110"/>
        <w:gridCol w:w="109"/>
        <w:gridCol w:w="109"/>
        <w:gridCol w:w="109"/>
        <w:gridCol w:w="197"/>
        <w:gridCol w:w="892"/>
        <w:gridCol w:w="109"/>
        <w:gridCol w:w="109"/>
        <w:gridCol w:w="109"/>
        <w:gridCol w:w="109"/>
        <w:gridCol w:w="200"/>
        <w:gridCol w:w="771"/>
        <w:gridCol w:w="169"/>
      </w:tblGrid>
      <w:tr>
        <w:trPr/>
        <w:tc>
          <w:tcPr>
            <w:tcW w:w="57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4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Six months ended June 30, 2023</w:t>
            </w:r>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11,773,065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1,378,125</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(1,124,421)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253,705</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(107,708)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pursuant to stock option exercises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restricted stock units converted to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213,955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Class A common shares in registered direct offering, net of issuance costs </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676,868 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Class A common shares for the first Milestone Payment </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701,460 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Fractional shares issued upon Reverse Stock Split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29,603 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A common shares in underwritten public offering, net of issuance costs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12,315,752 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135,439 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Balance at June 30, 2023 </w:t>
            </w:r>
          </w:p>
        </w:tc>
        <w:tc>
          <w:tcPr>
            <w:tcW w:w="6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25,761,147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1,528,240</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(1,232,129)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296,113</w:t>
            </w:r>
            <w:r>
              <w:rPr>
                <w:color w:val="000000"/>
              </w:rPr>
              <w:t>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33" w:before="0" w:after="0"/>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before="0" w:after="0"/>
        <w:jc w:val="center"/>
        <w:rPr/>
      </w:pPr>
      <w:r>
        <w:rPr/>
      </w:r>
    </w:p>
    <w:p>
      <w:pPr>
        <w:pStyle w:val="TextBody"/>
        <w:bidi w:val="0"/>
        <w:spacing w:before="0" w:after="0"/>
        <w:jc w:val="center"/>
        <w:rPr/>
      </w:pPr>
      <w:r>
        <w:rPr/>
      </w:r>
    </w:p>
    <w:tbl>
      <w:tblPr>
        <w:tblW w:w="10436" w:type="dxa"/>
        <w:jc w:val="center"/>
        <w:tblInd w:w="0" w:type="dxa"/>
        <w:tblLayout w:type="fixed"/>
        <w:tblCellMar>
          <w:top w:w="28" w:type="dxa"/>
          <w:left w:w="28" w:type="dxa"/>
          <w:bottom w:w="28" w:type="dxa"/>
          <w:right w:w="28" w:type="dxa"/>
        </w:tblCellMar>
      </w:tblPr>
      <w:tblGrid>
        <w:gridCol w:w="696"/>
        <w:gridCol w:w="282"/>
        <w:gridCol w:w="283"/>
        <w:gridCol w:w="203"/>
        <w:gridCol w:w="203"/>
        <w:gridCol w:w="196"/>
        <w:gridCol w:w="109"/>
        <w:gridCol w:w="109"/>
        <w:gridCol w:w="109"/>
        <w:gridCol w:w="211"/>
        <w:gridCol w:w="406"/>
        <w:gridCol w:w="109"/>
        <w:gridCol w:w="109"/>
        <w:gridCol w:w="109"/>
        <w:gridCol w:w="109"/>
        <w:gridCol w:w="109"/>
        <w:gridCol w:w="109"/>
        <w:gridCol w:w="109"/>
        <w:gridCol w:w="488"/>
        <w:gridCol w:w="488"/>
        <w:gridCol w:w="313"/>
        <w:gridCol w:w="109"/>
        <w:gridCol w:w="109"/>
        <w:gridCol w:w="109"/>
        <w:gridCol w:w="211"/>
        <w:gridCol w:w="271"/>
        <w:gridCol w:w="109"/>
        <w:gridCol w:w="109"/>
        <w:gridCol w:w="109"/>
        <w:gridCol w:w="109"/>
        <w:gridCol w:w="211"/>
        <w:gridCol w:w="991"/>
        <w:gridCol w:w="109"/>
        <w:gridCol w:w="109"/>
        <w:gridCol w:w="109"/>
        <w:gridCol w:w="109"/>
        <w:gridCol w:w="211"/>
        <w:gridCol w:w="841"/>
        <w:gridCol w:w="109"/>
        <w:gridCol w:w="109"/>
        <w:gridCol w:w="109"/>
        <w:gridCol w:w="109"/>
        <w:gridCol w:w="211"/>
        <w:gridCol w:w="841"/>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5" w:type="dxa"/>
            <w:gridSpan w:val="4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Three months ended June 30, 2022</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2022</w:t>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7,428,924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981,780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(652,337)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329,444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exercises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127,778 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for PIPE, net of issuance costs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1,515,152 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Shares issued for acquisition </w:t>
            </w:r>
            <w:r>
              <w:rPr>
                <w:rFonts w:ascii="Times New Roman;sans-serif" w:hAnsi="Times New Roman;sans-serif"/>
                <w:b w:val="false"/>
                <w:color w:val="000000"/>
                <w:sz w:val="13"/>
              </w:rPr>
              <w:t>(1)</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2,424,243 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 units converted to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15,929 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Balances at June 30, 2022 </w:t>
            </w:r>
          </w:p>
        </w:tc>
        <w:tc>
          <w:tcPr>
            <w:tcW w:w="6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11,512,026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1,375,352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(738,079)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637,274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7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436" w:type="dxa"/>
        <w:jc w:val="center"/>
        <w:tblInd w:w="0" w:type="dxa"/>
        <w:tblLayout w:type="fixed"/>
        <w:tblCellMar>
          <w:top w:w="28" w:type="dxa"/>
          <w:left w:w="28" w:type="dxa"/>
          <w:bottom w:w="28" w:type="dxa"/>
          <w:right w:w="28" w:type="dxa"/>
        </w:tblCellMar>
      </w:tblPr>
      <w:tblGrid>
        <w:gridCol w:w="638"/>
        <w:gridCol w:w="311"/>
        <w:gridCol w:w="312"/>
        <w:gridCol w:w="203"/>
        <w:gridCol w:w="203"/>
        <w:gridCol w:w="196"/>
        <w:gridCol w:w="109"/>
        <w:gridCol w:w="109"/>
        <w:gridCol w:w="109"/>
        <w:gridCol w:w="211"/>
        <w:gridCol w:w="406"/>
        <w:gridCol w:w="109"/>
        <w:gridCol w:w="109"/>
        <w:gridCol w:w="109"/>
        <w:gridCol w:w="109"/>
        <w:gridCol w:w="109"/>
        <w:gridCol w:w="109"/>
        <w:gridCol w:w="109"/>
        <w:gridCol w:w="488"/>
        <w:gridCol w:w="488"/>
        <w:gridCol w:w="313"/>
        <w:gridCol w:w="109"/>
        <w:gridCol w:w="109"/>
        <w:gridCol w:w="109"/>
        <w:gridCol w:w="211"/>
        <w:gridCol w:w="271"/>
        <w:gridCol w:w="109"/>
        <w:gridCol w:w="109"/>
        <w:gridCol w:w="109"/>
        <w:gridCol w:w="109"/>
        <w:gridCol w:w="211"/>
        <w:gridCol w:w="991"/>
        <w:gridCol w:w="109"/>
        <w:gridCol w:w="109"/>
        <w:gridCol w:w="109"/>
        <w:gridCol w:w="109"/>
        <w:gridCol w:w="211"/>
        <w:gridCol w:w="841"/>
        <w:gridCol w:w="109"/>
        <w:gridCol w:w="109"/>
        <w:gridCol w:w="109"/>
        <w:gridCol w:w="109"/>
        <w:gridCol w:w="211"/>
        <w:gridCol w:w="841"/>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5" w:type="dxa"/>
            <w:gridSpan w:val="4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Six months ended June 30, 2022</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2021</w:t>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7,352,958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963,543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(575,441)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388,103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exercises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191,672 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for PIPE, net of issuance costs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1,515,152 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Shares issued for acquisition </w:t>
            </w:r>
            <w:r>
              <w:rPr>
                <w:rFonts w:ascii="Times New Roman;sans-serif" w:hAnsi="Times New Roman;sans-serif"/>
                <w:b w:val="false"/>
                <w:color w:val="000000"/>
                <w:sz w:val="13"/>
              </w:rPr>
              <w:t>(1)</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2,424,243 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 units converted to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Balances at June 30, 2022</w:t>
            </w:r>
            <w:r>
              <w:rPr>
                <w:color w:val="000000"/>
              </w:rPr>
              <w:t xml:space="preserve"> </w:t>
            </w:r>
          </w:p>
        </w:tc>
        <w:tc>
          <w:tcPr>
            <w:tcW w:w="6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11,512,026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1,375,352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(738,079)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637,274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Of the 2.4 million shares issued for acquisition, 251,965 shares were held by an escrow agent for a one year escrow period. During this period, the seller retained all rights with respect to the escrow shares, including voting rights and rights to receive dividends and other distributions on such escrow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33" w:before="0" w:after="0"/>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739" w:type="dxa"/>
        <w:jc w:val="center"/>
        <w:tblInd w:w="0" w:type="dxa"/>
        <w:tblLayout w:type="fixed"/>
        <w:tblCellMar>
          <w:top w:w="28" w:type="dxa"/>
          <w:left w:w="28" w:type="dxa"/>
          <w:bottom w:w="28" w:type="dxa"/>
          <w:right w:w="28" w:type="dxa"/>
        </w:tblCellMar>
      </w:tblPr>
      <w:tblGrid>
        <w:gridCol w:w="2221"/>
        <w:gridCol w:w="1953"/>
        <w:gridCol w:w="1961"/>
        <w:gridCol w:w="196"/>
        <w:gridCol w:w="811"/>
        <w:gridCol w:w="109"/>
        <w:gridCol w:w="109"/>
        <w:gridCol w:w="109"/>
        <w:gridCol w:w="109"/>
        <w:gridCol w:w="196"/>
        <w:gridCol w:w="811"/>
        <w:gridCol w:w="154"/>
      </w:tblGrid>
      <w:tr>
        <w:trPr/>
        <w:tc>
          <w:tcPr>
            <w:tcW w:w="2221"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B2A29"/>
                <w:sz w:val="18"/>
              </w:rPr>
            </w:pPr>
            <w:r>
              <w:rPr>
                <w:rFonts w:ascii="Times New Roman;sans-serif" w:hAnsi="Times New Roman;sans-serif"/>
                <w:b w:val="false"/>
                <w:color w:val="2B2A29"/>
                <w:sz w:val="18"/>
              </w:rPr>
              <w:t>Gain on debt forgiveness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2B2A29"/>
                <w:sz w:val="18"/>
              </w:rPr>
            </w:pPr>
            <w:r>
              <w:rPr>
                <w:rFonts w:ascii="Times New Roman;sans-serif" w:hAnsi="Times New Roman;sans-serif"/>
                <w:b w:val="false"/>
                <w:color w:val="2B2A29"/>
                <w:sz w:val="18"/>
              </w:rPr>
              <w:t>Change in fair value of warrant and earn-out contingent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2B2A29"/>
                <w:sz w:val="18"/>
              </w:rPr>
            </w:pPr>
            <w:r>
              <w:rPr>
                <w:rFonts w:ascii="Times New Roman;sans-serif" w:hAnsi="Times New Roman;sans-serif"/>
                <w:b w:val="false"/>
                <w:color w:val="2B2A29"/>
                <w:sz w:val="18"/>
              </w:rPr>
              <w:t>Deferred tax benefit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2B2A29"/>
                <w:sz w:val="18"/>
              </w:rPr>
            </w:pPr>
            <w:r>
              <w:rPr>
                <w:rFonts w:ascii="Times New Roman;sans-serif" w:hAnsi="Times New Roman;sans-serif"/>
                <w:b w:val="false"/>
                <w:color w:val="2B2A29"/>
                <w:sz w:val="18"/>
              </w:rPr>
              <w:t>Provision for excess and obsolete 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party payor reserve release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debt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Due to/from related parties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Consideration on escrow paid for GeneDx acquisition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Purchases of property and equipment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Development of internal-use software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Financing activities </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PIPE issuance, net of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offerings, net of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principal payment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principal payments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payoff</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increase (decrease) in cash, cash equivalents and restricted cash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Supplemental disclosures of cash flow information </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consideration paid for purchase of business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in accounts payable and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Software development costs in accounts payable and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Unpaid deferred transaction costs included in accounts payable and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1. Organization and Description of Business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GeneDx Holdings Corp. (“GeneDx Holdings”) through its subsidiaries Sema4 OpCo, Inc., formerly Mount Sinai Genomics Inc., a Delaware corporation (“Legacy Sema4”) and GeneDx, LLC, provides genomics-related diagnostic and information services and pursues genomics medical research. GeneDx utilizes an integrated portfolio of laboratory processes, software tools and informatics capabilities to process DNA-containing samples, analyze information about patient-specific genetic variation and generate test reports for clinicians and their patients. GeneDx provides a variety of genetic diagnostic tests, and screening solutions, and information with a focus on pediatrics, rare diseases for children and adults, and hereditary cancer screening. GeneDx Holdings’ operating subsidiaries primarily serve healthcare professionals who work with their patients and bills third-party payors across the United States.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22, 2021 (the “Closing Date”), CM Life Sciences, Inc. (“CMLS”) completed the acquisition of Legacy Sema4, pursuant to that certain Agreement and Plan of Merger (as amended, the “Business Combination Merger Agreement”), dated February 9, 2021. On the Closing Date, S-IV Sub, Inc. merged with and into the Legacy Sema4, with Legacy Sema4 surviving the merger as a wholly-owned subsidiary of CMLS (the “Business Combination Merger” and, together with the other transactions contemplated by the Business Combination Merger Agreement, the “Business Combination”). In connection with the consummation of the Business Combination, CMLS changed its name to “Sema4 Holdings Corp.” (“Sema4 Holdings”) and Legacy Sema4 changed its name to “Sema4 OpCo, Inc.” All equity securities of Legacy Sema4 were converted into the right to receive the applicable portion of the merger consideration.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Merger was accounted for as a reverse recapitalization with Legacy Sema4 as the accounting acquirer and CMLS as the acquired company for accounting purposes. The shares and net loss per common share, prior to the Business Combination Merger, have been retroactively restated as shares reflecting the exchange ratio established in the Business Combination Merger (1 share of Legacy Sema4 Class A common stock for 4.0000 shares of Sema4 Holdings Class A common stock (the “Class A common stock”).</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Business Combination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on April 29, 2022, the Company consummated the transactions contemplated by that certain Agreement and Plan of Merger, dated as of January 14, 2022 (as amended, the “ Acquisition Merger Agreement”), by and among the Company and GeneDx, Inc. (“Legacy GeneDx”), a New Jersey corporation and wholly-owned subsidiary of OPKO Health, Inc. (“OPKO”), GeneDx Holding 2, Inc., which held 100% of Legacy GeneDx (“Holdco2”), at the Effective Time (as defined in the Acquisition Merger Agreement) and OPKO, which provided for, among other things, the acquisition of Legacy GeneDx from OPKO. After giving effect to the mergers and the other transactions contemplated by the Acquisition Merger Agreement (the “Acquisition”), Legacy GeneDx was converted into a Delaware limited liability company and became the Company’s wholly-owned indirect subsidiary. See Note 3, “Business Combination,” for additional details regarding the Business Combination and Acquisition.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9, 2023, Sema4 Holdings Corp. changed its name to GeneDx Holdings Corp. Upon the name change, the Company’s Class A common stock and public warrants are listed on the Nasdaq under the symbols “WGS” and “WGSWW,” respectively.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stated herein or unless the context otherwise requires, references in these notes to the “Company,” or “GeneDx” refer to (i) Legacy Sema4 prior to the consummation of the Business Combination; and (ii) GeneDx Holdings and its subsidiaries following the consummation of the Business Combination (including, following the consummation of the Acquisition, Legacy GeneDx).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conformity with accounting principles generally accepted in the United States of America (“U.S. GAAP”) for interim financial information and pursuant to the accounting disclosure rules and regulations of the Securities and Exchange Commission (the “SEC”) regarding interim financial reporting. Accordingly, they do not include all of the information and footnotes required by U.S. GAAP for complete financial statements. As such, the accompanying unaudited condensed consolidated financial statements should be read in conjunction with the Company’s audited financial statements and notes thereto as of and for the years ended December 31, 2022, 2021 and 2020 included in the Company’s Annual Report on Form 10-K for the year ended December 31, 2022 filed on March 16, 2023 (the “Annual Report”).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reflect all normal recurring adjustments that are necessary to state fairly the results for the interim periods presented. Interim results are not necessarily indicative of the results of operations or cash flows for a full year or any subsequent interim period.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historical financial information includes costs of certain services historically provided by Icahn School of Medicine at Mount Sinai (“ISMMS”) pursuant to a Transition Services Agreement (“TSA”) and service agreements. See Note 7, “Related Party Transactions”.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Company has incurred recurring losses in each year since inception, the Company expects its cash and cash equivalents will be sufficient to fund operations for at least the next twelve months from the date of filing of this Quarterly Report on Form 10-Q.</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Reverse Stock Split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4, 2023, at the commencement of trading, the Company effected a 1-for-33 reverse stock split. Accordingly, all share and per share amounts for the periods presented in the accompanying condensed consolidated financial statements and notes thereto have been adjusted retroactively, where applicable, to reflect the reverse stock split. No fractional shares were issued in connection with the reverse stock split.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reclassifications have been made to the prior year unaudited condensed consolidated financial statements in order to conform to the current year’s presentation. </w:t>
      </w:r>
    </w:p>
    <w:p>
      <w:pPr>
        <w:pStyle w:val="TextBody"/>
        <w:bidi w:val="0"/>
        <w:spacing w:lineRule="auto" w:line="288" w:before="200" w:after="180"/>
        <w:jc w:val="left"/>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Company’s critical accounting policies and estimates as compared to the critical accounting policies and estimates disclosed in the Company’s audited consolidated financial statements and notes thereto included within its Annual Report on Form 10-K for the year ended December 31, 2022.</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unaudited condensed consolidated financial statements in conformity with U.S. GAAP requires management to make certain estimates, judgments and assumptions that affect the reported amounts of assets and liabilities and the related disclosures at the date of the unaudited condensed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potential or actual claims for recoupment from third-party payors, the capitalization of software costs, the valuation of stock-based awards, inventory, earn-out contingent liabilities and earn-out Restricted Stock Units (“RSUs”). Actual results could differ materially from those estimates, judgments and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Concentration of Credit Risk and Other Risks and Uncertainties </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Financial instruments that potentially subject the Company to concentrations of credit risk consist primarily of cash and cash equivalents and accounts receivable. </w:t>
      </w:r>
      <w:r>
        <w:rPr>
          <w:rFonts w:ascii="Times New Roman;sans-serif" w:hAnsi="Times New Roman;sans-serif"/>
          <w:b w:val="false"/>
          <w:color w:val="000000"/>
          <w:sz w:val="20"/>
          <w:shd w:fill="FFFFFF" w:val="clear"/>
        </w:rPr>
        <w:t>The majority of the Company’s cash, cash eq</w:t>
      </w:r>
      <w:r>
        <w:rPr>
          <w:rFonts w:ascii="Times New Roman;sans-serif" w:hAnsi="Times New Roman;sans-serif"/>
          <w:b w:val="false"/>
          <w:color w:val="000000"/>
          <w:sz w:val="20"/>
        </w:rPr>
        <w:t xml:space="preserve">uivalents and restricted cash are uninsured with account balances in excess of the Federal Deposit Insurance Company limits. As of June 30, 2023, 99% of the Company’s cash, cash equivalents and marketable securities was held in high-quality institutions designated as systematically important financial institutions.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believes these financial institutions are financially sound and, accordingly, that minimal credit risk exists. The Company has not experienced any losses on its deposits of cash and cash equivalents.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assesses both the self-pay patient and, if applicable, the third-party payor that reimburses the Company on the patient’s behalf when evaluating the concentration of credit risk. Significant patients and payors are those that represent more than 10% of the Company’s total revenues for the period or accounts receivable balance at each respective balance sheet date. The significant concentrations of accounts receivable as of June 30, 2023 and December 31, 2022 were primarily from managed care insurance companies, institutional billed accounts, and data arrangements. There was no individual patient or client that accounted for 10% or more of the Company’s revenue or accounts receivable for any of the periods presented. The Company does not require collateral as a means to mitigate patient or payor credit risk.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each significant payor, revenue as a percentage of total revenues and accounts receivable as a percentage of total accounts receivable are as follows:</w:t>
      </w:r>
    </w:p>
    <w:tbl>
      <w:tblPr>
        <w:tblW w:w="8200" w:type="dxa"/>
        <w:jc w:val="left"/>
        <w:tblInd w:w="0" w:type="dxa"/>
        <w:tblLayout w:type="fixed"/>
        <w:tblCellMar>
          <w:top w:w="28" w:type="dxa"/>
          <w:left w:w="28" w:type="dxa"/>
          <w:bottom w:w="28" w:type="dxa"/>
          <w:right w:w="28" w:type="dxa"/>
        </w:tblCellMar>
      </w:tblPr>
      <w:tblGrid>
        <w:gridCol w:w="336"/>
        <w:gridCol w:w="295"/>
        <w:gridCol w:w="298"/>
        <w:gridCol w:w="246"/>
        <w:gridCol w:w="246"/>
        <w:gridCol w:w="246"/>
        <w:gridCol w:w="246"/>
        <w:gridCol w:w="246"/>
        <w:gridCol w:w="246"/>
        <w:gridCol w:w="246"/>
        <w:gridCol w:w="246"/>
        <w:gridCol w:w="246"/>
        <w:gridCol w:w="225"/>
        <w:gridCol w:w="225"/>
        <w:gridCol w:w="225"/>
        <w:gridCol w:w="225"/>
        <w:gridCol w:w="225"/>
        <w:gridCol w:w="225"/>
        <w:gridCol w:w="225"/>
        <w:gridCol w:w="225"/>
        <w:gridCol w:w="225"/>
        <w:gridCol w:w="109"/>
        <w:gridCol w:w="109"/>
        <w:gridCol w:w="109"/>
        <w:gridCol w:w="109"/>
        <w:gridCol w:w="109"/>
        <w:gridCol w:w="109"/>
        <w:gridCol w:w="239"/>
        <w:gridCol w:w="239"/>
        <w:gridCol w:w="241"/>
        <w:gridCol w:w="173"/>
        <w:gridCol w:w="173"/>
        <w:gridCol w:w="173"/>
        <w:gridCol w:w="334"/>
        <w:gridCol w:w="334"/>
        <w:gridCol w:w="472"/>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Accounts Receivable</w:t>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20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Payor B</w:t>
            </w:r>
            <w:r>
              <w:rPr>
                <w:rFonts w:ascii="Times New Roman;sans-serif" w:hAnsi="Times New Roman;sans-serif"/>
                <w:b w:val="false"/>
                <w:color w:val="000000"/>
                <w:sz w:val="13"/>
              </w:rPr>
              <w:t>(1)</w:t>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Payor C</w:t>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Payor D</w:t>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Payor E</w:t>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*less than 10%</w:t>
      </w:r>
    </w:p>
    <w:p>
      <w:pPr>
        <w:pStyle w:val="TextBody"/>
        <w:bidi w:val="0"/>
        <w:spacing w:lineRule="auto" w:line="26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20" w:after="60"/>
        <w:jc w:val="left"/>
        <w:rPr>
          <w:rFonts w:ascii="Times New Roman;sans-serif" w:hAnsi="Times New Roman;sans-serif"/>
          <w:b w:val="false"/>
          <w:color w:val="000000"/>
          <w:sz w:val="16"/>
        </w:rPr>
      </w:pPr>
      <w:r>
        <w:rPr>
          <w:rFonts w:ascii="Times New Roman;sans-serif" w:hAnsi="Times New Roman;sans-serif"/>
          <w:b w:val="false"/>
          <w:color w:val="000000"/>
          <w:sz w:val="16"/>
        </w:rPr>
        <w:t>(1) This payor includes multiple individual plans and the Company calculates and presents the aggregated value from all plans, which is consistent with the Company’s portfolio approach used in accounting for diagnostic test revenue.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concentration of risk from a limited number of suppliers for certain reagents and laboratory supplies. One supplier accounted for approximately 14% and 13% of purchases for the three months ended June 30, 2023 and 2022, respectively and 14% and 13% for the six months ended June 30, 2023 and 2022. This risk is managed by maintaining a target quantity of surplus stock. Alternative suppliers are available for some or all of these reagents and supplies.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original maturities of three months or less from the date of purchase to be cash equivalents. Cash equivalents consist of amounts invested primarily in money market funds, and U.S. treasury, corporate and municipal bonds. Carrying values of cash equivalents approximate fair value due to the short-term nature of these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in the condensed consolidated balance sheets that sum to the total of the same amounts shown in the condensed consolidated statements of cash flows (in thousands):</w:t>
      </w:r>
    </w:p>
    <w:tbl>
      <w:tblPr>
        <w:tblW w:w="5281" w:type="dxa"/>
        <w:jc w:val="left"/>
        <w:tblInd w:w="0" w:type="dxa"/>
        <w:tblLayout w:type="fixed"/>
        <w:tblCellMar>
          <w:top w:w="28" w:type="dxa"/>
          <w:left w:w="28" w:type="dxa"/>
          <w:bottom w:w="28" w:type="dxa"/>
          <w:right w:w="28" w:type="dxa"/>
        </w:tblCellMar>
      </w:tblPr>
      <w:tblGrid>
        <w:gridCol w:w="820"/>
        <w:gridCol w:w="720"/>
        <w:gridCol w:w="724"/>
        <w:gridCol w:w="211"/>
        <w:gridCol w:w="826"/>
        <w:gridCol w:w="109"/>
        <w:gridCol w:w="109"/>
        <w:gridCol w:w="109"/>
        <w:gridCol w:w="109"/>
        <w:gridCol w:w="273"/>
        <w:gridCol w:w="1072"/>
        <w:gridCol w:w="199"/>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123,933 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138,303 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The remaining balance of $12.1 million in restricted cash held in escrow related to the closing of the Acquisition was released upon expiration of the one year escrow period in May 2023. Therefore, restricted cash as of June 30, 2023 consists of money market deposit accounts that secure an irrevocable standby letter of credit that serves as collateral for security deposit operating leases (see Note 9, </w:t>
      </w:r>
      <w:r>
        <w:rPr>
          <w:color w:val="000000"/>
        </w:rPr>
        <w:t>“</w:t>
      </w:r>
      <w:r>
        <w:rPr>
          <w:rFonts w:ascii="Times New Roman;sans-serif" w:hAnsi="Times New Roman;sans-serif"/>
          <w:b w:val="false"/>
          <w:i/>
          <w:color w:val="000000"/>
          <w:sz w:val="20"/>
        </w:rPr>
        <w:t>Leases”</w:t>
      </w:r>
      <w:r>
        <w:rPr>
          <w:rFonts w:ascii="Times New Roman;sans-serif" w:hAnsi="Times New Roman;sans-serif"/>
          <w:b w:val="false"/>
          <w:color w:val="000000"/>
          <w:sz w:val="20"/>
        </w:rPr>
        <w:t>).</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consists of amounts due from customers and third-party payors for services performed and reflect the consideration to which the Company expects to be entitled in exchange for providing those services. Accounts receivable are estimated and recorded in the period the related revenue is recorded. The accounts receivable balance as of June 30, 2023 and December 31, 2022 included $2.9 million and $1.5 million, respectively, of unbilled receivables. During the quarter ended June 30, 2023, the Company did not record provisions for doubtful accounts. The Company did not write-off any accounts receivable balances during the period presented.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Inventory, net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Inventory, net, which primarily consists of finished goods such as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 During the six months ended June 30, 2023, the Company recognized an inventory write-off of $2.6 million for obsolete inventory.</w:t>
      </w:r>
    </w:p>
    <w:p>
      <w:pPr>
        <w:pStyle w:val="TextBody"/>
        <w:bidi w:val="0"/>
        <w:spacing w:lineRule="auto" w:line="288" w:before="200" w:after="18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recorded at fair value. Fair value is defined as the price that would be received to sell an asset or paid to transfer a liability in an orderly transaction between market participants at the measurement date.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pStyle w:val="TextBody"/>
        <w:bidi w:val="0"/>
        <w:spacing w:lineRule="auto" w:line="288" w:before="0" w:after="180"/>
        <w:jc w:val="both"/>
        <w:rPr/>
      </w:pPr>
      <w:r>
        <w:rPr>
          <w:rFonts w:ascii="Times New Roman;sans-serif" w:hAnsi="Times New Roman;sans-serif"/>
          <w:b w:val="false"/>
          <w:i/>
          <w:color w:val="000000"/>
          <w:sz w:val="20"/>
        </w:rPr>
        <w:t>Level 1</w:t>
      </w:r>
      <w:r>
        <w:rPr>
          <w:rFonts w:ascii="Times New Roman;sans-serif" w:hAnsi="Times New Roman;sans-serif"/>
          <w:b w:val="false"/>
          <w:color w:val="000000"/>
          <w:sz w:val="20"/>
        </w:rPr>
        <w:t>: Observable inputs such as quoted prices (unadjusted) in active markets that are accessible at the measurement date for identical assets or liabilities.</w:t>
      </w:r>
    </w:p>
    <w:p>
      <w:pPr>
        <w:pStyle w:val="TextBody"/>
        <w:bidi w:val="0"/>
        <w:spacing w:lineRule="auto" w:line="288" w:before="0" w:after="180"/>
        <w:jc w:val="both"/>
        <w:rPr/>
      </w:pPr>
      <w:r>
        <w:rPr>
          <w:rFonts w:ascii="Times New Roman;sans-serif" w:hAnsi="Times New Roman;sans-serif"/>
          <w:b w:val="false"/>
          <w:i/>
          <w:color w:val="000000"/>
          <w:sz w:val="20"/>
        </w:rPr>
        <w:t>Level 2</w:t>
      </w:r>
      <w:r>
        <w:rPr>
          <w:rFonts w:ascii="Times New Roman;sans-serif" w:hAnsi="Times New Roman;sans-serif"/>
          <w:b w:val="false"/>
          <w:color w:val="000000"/>
          <w:sz w:val="20"/>
        </w:rPr>
        <w:t>: Observable inputs such as quoted prices for similar instruments in active markets, quoted prices for identical or similar instruments in markets that are not active or model-derived valuations whose significant inputs are observable.</w:t>
      </w:r>
    </w:p>
    <w:p>
      <w:pPr>
        <w:pStyle w:val="TextBody"/>
        <w:bidi w:val="0"/>
        <w:spacing w:lineRule="auto" w:line="288" w:before="0" w:after="180"/>
        <w:jc w:val="both"/>
        <w:rPr/>
      </w:pPr>
      <w:r>
        <w:rPr>
          <w:rFonts w:ascii="Times New Roman;sans-serif" w:hAnsi="Times New Roman;sans-serif"/>
          <w:b w:val="false"/>
          <w:i/>
          <w:color w:val="000000"/>
          <w:sz w:val="20"/>
        </w:rPr>
        <w:t>Level 3</w:t>
      </w:r>
      <w:r>
        <w:rPr>
          <w:rFonts w:ascii="Times New Roman;sans-serif" w:hAnsi="Times New Roman;sans-serif"/>
          <w:b w:val="false"/>
          <w:color w:val="000000"/>
          <w:sz w:val="20"/>
        </w:rPr>
        <w:t>: Unobservable inputs that are significant to the measurement of fair value but are supported by little to no market data.</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financial assets and liabilities consist of cash and cash equivalents, restricted cash, accounts receivable, accounts payable, accrued liabilities, and long-term debt. The Company’s cash and cash equivalents, restricted cash, accounts receivable, accounts payable and accrued liabilities approximate their fair value due to the relatively short-term nature of these accounts.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loan from the Connecticut Department of Economic and Community Development is classified within level 2 of the fair value hierarchy. As of June 30, 2023, this loan is recorded at its carrying value of $6.3 million in the consolidated balance sheet. The fair value of the loan is $4.7 million, which is estimated based on discounted cash flows using the yields of similar debt instruments of other companies with similar credit profiles.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Warrant Liability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the consummation of the Business Combination Merger in July 2021, there were 666,516 warrants to purchase shares of Class A common stock outstanding, including 447,223 public warrants and 219,293 private placement warrants. As of December 31, 2022, there were 666,515 warrants to purchase shares of Class A common stock outstanding, including 447,222 public warrants and 219,293 private placement warrants outstanding. Each warrant expires five years after the Business Combination or earlier upon redemption or liquidation, and entitles the holder to purchase one share of Class A common stock at an exercise price of $379.50 per share, subject to adjustment, at any time commencing on September 4, 2021.</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outstanding public warrants if the price per share of the Class A common stock equals or exceeds $594.00 as described below:</w:t>
      </w:r>
    </w:p>
    <w:p>
      <w:pPr>
        <w:pStyle w:val="TextBody"/>
        <w:bidi w:val="0"/>
        <w:spacing w:before="20" w:after="283"/>
        <w:ind w:left="0" w:right="0" w:firstLine="360"/>
        <w:jc w:val="both"/>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 whole and not in part;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a price of $0.33 per public warrant;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upon not less than 30 days’ prior written notice of redemption to each warrant holder;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and only if, the closing price of the Class A common stock equals or exceeds $594.00 per share (as adjusted) for any 20 trading days within a 30-trading day period ending three trading days before sending the notice of redemption to warrant holders.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outstanding public warrants if the price per share of the Class A common stock equals or exceeds $330.00 as described below:</w:t>
      </w:r>
    </w:p>
    <w:p>
      <w:pPr>
        <w:pStyle w:val="TextBody"/>
        <w:bidi w:val="0"/>
        <w:spacing w:before="0" w:after="0"/>
        <w:ind w:left="0" w:right="0" w:firstLine="360"/>
        <w:jc w:val="both"/>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 whole and not in part;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$3.30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and only if, the closing price of the Class A common stock equals or exceeds $330.00 per share (as adjusted) for any 20 trading days within the 30-trading day period ending three trading days before the Company sends the notice of redemption to the warrant holders;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the closing price of the common stock for any 20 trading days within a 30-trading day period ending three trading days before the Company sends notice of redemption to the warrant holders is less than $594.00 per share (as adjusted), the private placement warrants must also be concurrently called for redemption on the same terms as the outstanding public warrants, as described above.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$330.00)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Contingent Consideration (Legacy GeneDx)</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up to $150 million of contingent payments will be payable to OPKO in cash and/or shares of Company’s Class A common stock with such mix to be determined in the Company’s sole discretion, based upon achievement of 2022 and 2023 revenue milestones, pursuant to the Acquisition Merger Agreement (the “Milestone Payments”). If the Company elects to pay in shares of Class A common stock, the Acquisition Merger Agreement provides that the shares issues are to be valued at $160.38 per share for a maximum of 935,280 shares.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terms and conditions of the Acquisition Merger Agreement, (a) the first Milestone Payment was paid out in full through the issuance of 701,460 shares valued at $112.5 million in April 2023 as the revenue of the Legacy GeneDx group for the fiscal year 2022 exceeded $163 million and (b) the second Milestone Payment of $37.5 million will become due and payable if the revenue of the Legacy GeneDx group for the fiscal year 2023 equals or exceeds $219 million (each of clauses (a) and (b), a “Milestone Event”); provided that 80% of the second Milestone Payment will become payable in respect of the second milestone period if the Legacy GeneDx group achieves 90% of the Milestone Event revenue target for such period, which amount will scale on a linear basis up to 100% of the second Milestone Payment at 100% of the revenue target. The first Milestone Payment resulted in the issuance of 701,460 shares of the Company’s Class A common stock on April 14, 2023. If the Company elects to pay in shares of Class A Common stock, the second Milestone Payment would require the issuance of up to 233,820 shares of the Company’s Class A common stock. The fair value of the second Milestone Payment was determined to be $1.0 million as of June 30, 2023 and is estimated using a Monte Carlo simulation valuation model and assuming the Company will pay the Milestone Payment in shares.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Earn-out Contingent Liability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Business Combination Merger, all Legacy Sema4 stockholders and option holders at that time became entitled to a pro rata share of 576,412 earn-out shares and earn-out RSUs. In July 2023, the Company’s obligations to issue earn-out shares pursuant to the Business Combination Merger Agreement and shares pursuant to the earn-out RSUs expired as a result of the vesting conditions not being achieved. Based on an assessment of the earn-out shares for the Legacy Sema4 stockholders, the Company considered ASC 480 and ASC 815 and accounted for the earn-out shares as a liability. The Company subsequently measures the fair value of the liability at each reporting period and reports the changes in fair value recorded as a component of other income (expense), net in the condensed consolidated statements of operations and comprehensive loss.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fair value of the earn-out shares issued to the Legacy Sema4 stockholders as of June 30, 2023 was zero. The estimated fair value of the earn-out is determined using a Monte Carlo simulation valuation model.</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As for the earn-out RSUs for the Legacy Sema4 option holders, a total of 81,819 RSUs were granted on December 9, 2021. The vesting of such arrangement was conditioned on the satisfaction of both a service requirement and on the satisfaction of a market-based requirement. The market-based requirement would be achieved if the Company’s stock price was greater than or equal to $429 (Triggering Event I), $495 (Triggering Event II) and $594 (Triggering Event III) during the applicable performance period, based on the volume-weighted average price for a period of at least 20 days out of 30 consecutive trading days. Therefore, the Company accounts for this arrangement in accordance with ASC 718- Compensation — Stock Compensation (“ASC 718”) and stock-based compensation expense is recognized over the longer of the expected achievement period for the market-based requirement and the service requirement. The Company recorded $0.8 </w:t>
      </w:r>
      <w:r>
        <w:rPr>
          <w:rFonts w:ascii="Times New Roman;sans-serif" w:hAnsi="Times New Roman;sans-serif"/>
          <w:b w:val="false"/>
          <w:color w:val="000000"/>
          <w:sz w:val="20"/>
          <w:shd w:fill="FFFFFF" w:val="clear"/>
        </w:rPr>
        <w:t>million reduction in</w:t>
      </w:r>
      <w:r>
        <w:rPr>
          <w:color w:val="000000"/>
        </w:rPr>
        <w:t xml:space="preserve"> </w:t>
      </w:r>
      <w:r>
        <w:rPr>
          <w:rFonts w:ascii="Times New Roman;sans-serif" w:hAnsi="Times New Roman;sans-serif"/>
          <w:b w:val="false"/>
          <w:color w:val="000000"/>
          <w:sz w:val="20"/>
        </w:rPr>
        <w:t xml:space="preserve">stock-based compensation expense in relation to the forfeiture of the earn-out RSUs by the Legacy Sema4 option holders for the six months ended June 30, 2023. In the event that any earn-out RSUs that were forfeited as a result of a failure to achieve the service requirement, the underlying shares would be reallocated on an annual basis to the Legacy Sema4 stockholders and to the Legacy Sema4 option holders who remained employed as of the date of such reallocation. The Company accounts for the re-allocations to Legacy Sema4 option holders as new grants.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88" w:before="200" w:after="180"/>
        <w:ind w:left="0" w:right="0" w:firstLine="360"/>
        <w:jc w:val="both"/>
        <w:rPr/>
      </w:pPr>
      <w:r>
        <w:rPr>
          <w:rFonts w:ascii="Times New Roman;sans-serif" w:hAnsi="Times New Roman;sans-serif"/>
          <w:b w:val="false"/>
          <w:color w:val="000000"/>
          <w:sz w:val="20"/>
        </w:rPr>
        <w:t>Historically, the Company operated in one segment. During 2022, in connection with the Acquisition, the change in Chief Operating Decision Maker (“CODM”), and the announced exit from the majority of the Legacy Sema4 diagnostics operations, the Company’s CODM began to evaluate the Company’s business separately for GeneDx, inclusive of Legacy GeneDx and Legacy Sema4 data revenues and associated costs and corporate support costs, and the existing Legacy Sema4 diagnostics business during the fourth quarter of 2022. As a result, the Company has concluded that two reportable segments exist and have been presented as such for the first half of 2023. The majority of the Company’s operations for the first quarter of 2022 are included in the Legacy Sema4 segment, and the majority of the GeneDx segment for 2022 was resultant from the Acquisition in 2022, and thus did not exist within the Company’s condensed consolidated results for the first quarter of 2022 and through the Acquisition date. See Note 16, “</w:t>
      </w:r>
      <w:r>
        <w:rPr>
          <w:rFonts w:ascii="Times New Roman;sans-serif" w:hAnsi="Times New Roman;sans-serif"/>
          <w:b w:val="false"/>
          <w:i/>
          <w:color w:val="000000"/>
          <w:sz w:val="20"/>
        </w:rPr>
        <w:t>Segment Reporting</w:t>
      </w:r>
      <w:r>
        <w:rPr>
          <w:color w:val="000000"/>
        </w:rPr>
        <w:t>”</w:t>
      </w:r>
      <w:r>
        <w:rPr>
          <w:rFonts w:ascii="Times New Roman;sans-serif" w:hAnsi="Times New Roman;sans-serif"/>
          <w:b w:val="false"/>
          <w:color w:val="000000"/>
          <w:sz w:val="20"/>
        </w:rPr>
        <w:t>, for further information.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Emerging Growth Company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Pronouncements </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In June 2016, the FASB issued ASU 2016-13,</w:t>
      </w:r>
      <w:r>
        <w:rPr>
          <w:color w:val="000000"/>
        </w:rPr>
        <w:t xml:space="preserve"> </w:t>
      </w:r>
      <w:r>
        <w:rPr>
          <w:rFonts w:ascii="Times New Roman;sans-serif" w:hAnsi="Times New Roman;sans-serif"/>
          <w:b w:val="false"/>
          <w:i/>
          <w:color w:val="000000"/>
          <w:sz w:val="20"/>
        </w:rPr>
        <w:t xml:space="preserve">Financial Instruments – Credit Losses (Topic 326): Measurement of Credit Losses on Financial Instruments </w:t>
      </w:r>
      <w:r>
        <w:rPr>
          <w:rFonts w:ascii="Times New Roman;sans-serif" w:hAnsi="Times New Roman;sans-serif"/>
          <w:b w:val="false"/>
          <w:color w:val="000000"/>
          <w:sz w:val="20"/>
        </w:rPr>
        <w:t xml:space="preserve">(“ASU 2016-13”). The new credit losses standard changes the impairment model for most financial assets and certain other instruments. For 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The Company adopted ASU 2016-13 effective January 1, 2023 and the adoption did not have material impact in the condensed consolidated statements of operations and comprehensive loss.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reviewed the recently issued Accounting Standards Update accounting pronouncements and does not believe that the adoption of any such pronouncements will have a material impact on its financial statements or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3. Business Combinations </w:t>
      </w:r>
    </w:p>
    <w:p>
      <w:pPr>
        <w:pStyle w:val="TextBody"/>
        <w:bidi w:val="0"/>
        <w:spacing w:lineRule="auto" w:line="288" w:before="200" w:after="180"/>
        <w:jc w:val="left"/>
        <w:rPr>
          <w:rFonts w:ascii="Times New Roman;sans-serif" w:hAnsi="Times New Roman;sans-serif"/>
          <w:b/>
          <w:i/>
          <w:color w:val="000000"/>
          <w:sz w:val="20"/>
        </w:rPr>
      </w:pPr>
      <w:r>
        <w:rPr>
          <w:rFonts w:ascii="Times New Roman;sans-serif" w:hAnsi="Times New Roman;sans-serif"/>
          <w:b/>
          <w:i/>
          <w:color w:val="000000"/>
          <w:sz w:val="20"/>
        </w:rPr>
        <w:t>CMLS/Legacy Sema4 Business Combination</w:t>
      </w:r>
    </w:p>
    <w:p>
      <w:pPr>
        <w:pStyle w:val="TextBody"/>
        <w:bidi w:val="0"/>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22, 2021, the Company consummated the Business Combination (as defined in Note 1) and received net cash proceeds of $510.0 million.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Business Combination, the following occurred: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Holders of 309 shares of CMLS’s Class A common stock sold in its initial public offering (the “public shares”) exercised their right to have such shares redeemed for a full pro rata portion of the trust account holding the proceeds from CMLS’s initial public offering (the “IPO”), which was approximately $330.00 per share, or $101,880 in aggregate.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Each share of CMLS’s Class B common stock was automatically converted into common stock of the Company.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Each share of the Legacy Sema4 Class B common stock was converted into 1/100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a share of Legacy Sema4 Class A common stock and each share of Legacy Sema4 common stock and preferred stock was canceled and received a portion of the merger consideration, resulting in certain Legacy Sema4 stockholders receiving $230.7 million of cash and the Legacy Sema4 stockholders receiving an aggregate of 5,404,131 shares of common stock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Pursuant to subscription agreements entered into on February 9, 2021, certain investors agreed to subscribe for an aggregate of 1,060,607 newly-issued shares of Class A common stock at a purchase price of $330.00 per share for an aggregate purchase price of $350,000,000 (the “Business Combination PIPE Investment”). Concurrently with the closing of the Business Combination, the Company consummated the Business Combination PIPE Investment.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After giving effect to the Business Combination Merger, the redemption of public shares and the conversion of the CMLS Class B common stock as described above, and the consummation of the Business Combination PIPE Investment, there were 7,278,498 shares of the Company’s Class A common stock issued and outstanding.</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Company recorded $51.8 million of transaction costs which consisted of direct, incremental legal, professional, accounting, and other third-party fees that were directly related to the execution of the Business Combination Merger in additional paid-in capital. Upon consummation of the Business Combination Merger, $9.0 million of the transaction costs relates to costs incurred by Legacy Sema4 and reclassed to offset against equity from prepaid expense and other current assets.</w:t>
      </w:r>
    </w:p>
    <w:p>
      <w:pPr>
        <w:pStyle w:val="TextBody"/>
        <w:bidi w:val="0"/>
        <w:spacing w:lineRule="auto" w:line="288" w:before="200" w:after="180"/>
        <w:jc w:val="left"/>
        <w:rPr>
          <w:rFonts w:ascii="Times New Roman;sans-serif" w:hAnsi="Times New Roman;sans-serif"/>
          <w:b/>
          <w:i/>
          <w:color w:val="000000"/>
          <w:sz w:val="20"/>
        </w:rPr>
      </w:pPr>
      <w:r>
        <w:rPr>
          <w:rFonts w:ascii="Times New Roman;sans-serif" w:hAnsi="Times New Roman;sans-serif"/>
          <w:b/>
          <w:i/>
          <w:color w:val="000000"/>
          <w:sz w:val="20"/>
        </w:rPr>
        <w:t>Legacy GeneDx Acquisition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1, on April 29, 2022, the Company completed the Acquisition. At the closing of the Acquisition, the Company paid OPKO gross cash consideration of $150 million (before deduction of transaction expenses and other customary purchase price adjustments) and issued to OPKO 2.4 million shares of the Company’s Class A common stock ($172 million based on the closing date share price of $70.95 per share). A portion of this cash and stock consideration was held in escrow for a one year escrow period ending in May 2023. During the six months ended June 30, 2023, the Company completed the net working capital settlement with OPKO and released the remaining escrowed amount recorded in restricted cash. In addition, a portion of the $150 million was payable following the closing of the Acquisition due to the achievement of the first revenue-based milestone for the fiscal year ended December 31, 2022 and the remaining milestone payment up to $37.5 million will be payable if certain revenue-based milestones are achieved for the fiscal year ending December 31, 2023. During the six months ended June 30, 2023, the first Milestone Payment became due and payable in full and resulted in the issuance of 701,460 shares of the Company’s Class A common stock on April 14, 2023. The remaining milestone payment, if and to the extent earned under the terms of the Acquisition Merger Agreement, will be satisfied through the payment and/or issuance of a combination of cash and shares of the Company’s Class A common stock (valued at $160.38 per share, subject to adjustment for stock splits and similar changes), with such mix to be determined in the Company’s sole discretion. Concurrently with the closing of the Acquisition, the Company also issued and sold in a private placement 1,515,152 shares of the Company’s Class A common stock to certain institutional investors for aggregate gross proceeds of $200 million (the “Acquisition PIPE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net purchase price and the fair values of the assets and liabilities of Legacy GeneDx (in thousands):</w:t>
      </w:r>
    </w:p>
    <w:tbl>
      <w:tblPr>
        <w:tblW w:w="4893" w:type="dxa"/>
        <w:jc w:val="left"/>
        <w:tblInd w:w="0" w:type="dxa"/>
        <w:tblLayout w:type="fixed"/>
        <w:tblCellMar>
          <w:top w:w="28" w:type="dxa"/>
          <w:left w:w="28" w:type="dxa"/>
          <w:bottom w:w="28" w:type="dxa"/>
          <w:right w:w="28" w:type="dxa"/>
        </w:tblCellMar>
      </w:tblPr>
      <w:tblGrid>
        <w:gridCol w:w="1223"/>
        <w:gridCol w:w="1073"/>
        <w:gridCol w:w="1079"/>
        <w:gridCol w:w="109"/>
        <w:gridCol w:w="109"/>
        <w:gridCol w:w="109"/>
        <w:gridCol w:w="211"/>
        <w:gridCol w:w="826"/>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purchase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80"/>
        <w:ind w:left="0" w:right="0" w:firstLine="360"/>
        <w:jc w:val="both"/>
        <w:rPr/>
      </w:pPr>
      <w:r>
        <w:rPr>
          <w:rFonts w:ascii="Times New Roman;sans-serif" w:hAnsi="Times New Roman;sans-serif"/>
          <w:b w:val="false"/>
          <w:color w:val="000000"/>
          <w:sz w:val="20"/>
        </w:rPr>
        <w:t xml:space="preserve">(1) Goodwill represents the excess of the purchase price over the fair value of the net tangible and intangible assets acquired. See Note 17, </w:t>
      </w:r>
      <w:r>
        <w:rPr>
          <w:color w:val="000000"/>
        </w:rPr>
        <w:t>“</w:t>
      </w:r>
      <w:r>
        <w:rPr>
          <w:rFonts w:ascii="Times New Roman;sans-serif" w:hAnsi="Times New Roman;sans-serif"/>
          <w:b w:val="false"/>
          <w:i/>
          <w:color w:val="000000"/>
          <w:sz w:val="20"/>
        </w:rPr>
        <w:t xml:space="preserve">Goodwill and Intangible Assets” </w:t>
      </w:r>
      <w:r>
        <w:rPr>
          <w:rFonts w:ascii="Times New Roman;sans-serif" w:hAnsi="Times New Roman;sans-serif"/>
          <w:b w:val="false"/>
          <w:color w:val="000000"/>
          <w:sz w:val="20"/>
        </w:rPr>
        <w:t>for more detail.</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above represent the fair value estimates at the time of the Acquisition and adjustments during the measurement period which is complete.</w:t>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4. Revenue Recognition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Disaggregated revenue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disaggregated revenue by payor category (in thousands):</w:t>
      </w:r>
    </w:p>
    <w:tbl>
      <w:tblPr>
        <w:tblW w:w="5363" w:type="dxa"/>
        <w:jc w:val="left"/>
        <w:tblInd w:w="0" w:type="dxa"/>
        <w:tblLayout w:type="fixed"/>
        <w:tblCellMar>
          <w:top w:w="28" w:type="dxa"/>
          <w:left w:w="28" w:type="dxa"/>
          <w:bottom w:w="28" w:type="dxa"/>
          <w:right w:w="28" w:type="dxa"/>
        </w:tblCellMar>
      </w:tblPr>
      <w:tblGrid>
        <w:gridCol w:w="1053"/>
        <w:gridCol w:w="925"/>
        <w:gridCol w:w="931"/>
        <w:gridCol w:w="211"/>
        <w:gridCol w:w="721"/>
        <w:gridCol w:w="109"/>
        <w:gridCol w:w="109"/>
        <w:gridCol w:w="109"/>
        <w:gridCol w:w="109"/>
        <w:gridCol w:w="211"/>
        <w:gridCol w:w="721"/>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Patients with third-party insurance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 customers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Self-pay patients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diagnostic test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363" w:type="dxa"/>
        <w:jc w:val="left"/>
        <w:tblInd w:w="0" w:type="dxa"/>
        <w:tblLayout w:type="fixed"/>
        <w:tblCellMar>
          <w:top w:w="28" w:type="dxa"/>
          <w:left w:w="28" w:type="dxa"/>
          <w:bottom w:w="28" w:type="dxa"/>
          <w:right w:w="28" w:type="dxa"/>
        </w:tblCellMar>
      </w:tblPr>
      <w:tblGrid>
        <w:gridCol w:w="1053"/>
        <w:gridCol w:w="925"/>
        <w:gridCol w:w="931"/>
        <w:gridCol w:w="211"/>
        <w:gridCol w:w="721"/>
        <w:gridCol w:w="109"/>
        <w:gridCol w:w="109"/>
        <w:gridCol w:w="109"/>
        <w:gridCol w:w="109"/>
        <w:gridCol w:w="211"/>
        <w:gridCol w:w="721"/>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Patients with third-party insurance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 customers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Self-pay patients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diagnostic test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Reassessment of variable consideration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changes to the estimate of the transaction price, determined on a portfolio basis when applicable, are generally recorded as adjustments to revenue in the period of the change. The Company updates estimated variable consideration quarterly.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2023, the quarterly change in estimate resulted in a net $3.5 million increase to revenue for tests in which the performance obligation of delivering the test results was met in prior periods, which reflected the partial release of a third party payor reserve established in prior periods. For the three months ended June 30, 2022, the quarterly change in estimate resulted in a net $30.1 million decrease to revenue for tests in which the performance obligation of delivering the test results was met in prior periods. $24.2 million of this decrease was related to the years December 31, 2021 and prior. The changes in estimate are a result of changes in the estimated transaction price due to contractual adjustments, obtaining updated information from payors and patients that was unknown at the time the performance obligation was met and settlements with third party payors. The quarterly changes in estimate did not result in material adjustments to the Company’s previously reported revenue or accounts receivable amounts.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Certain payor matters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As noted above, third-party payors, including government programs, may decide to deny payment or seek to recoup payments for tests performed by the Company that they contend were improperly billed, not medically necessary or against their coverage determinations, or for which they believe they have otherwise overpaid, including as a result of their own error.</w:t>
      </w:r>
      <w:r>
        <w:rPr>
          <w:color w:val="000000"/>
        </w:rPr>
        <w:t xml:space="preserve"> </w:t>
      </w:r>
      <w:r>
        <w:rPr>
          <w:rFonts w:ascii="Times New Roman;sans-serif" w:hAnsi="Times New Roman;sans-serif"/>
          <w:b w:val="false"/>
          <w:color w:val="000000"/>
          <w:sz w:val="20"/>
        </w:rPr>
        <w:t xml:space="preserve">As a result, the Company may be required to refund payments already received, and the Company’s revenues may be subject to retroactive adjustment as a result of these factors among others, including without limitation, differing interpretations of billing and coding guidance, and changes by government agencies and payors in interpretations, requirements, policies and/or “conditions of participation” in various programs. The Company processes requests for recoupment from third-party payors in the ordinary course of its business, and it is likely that the Company will continue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00" w:after="283"/>
        <w:jc w:val="both"/>
        <w:rPr/>
      </w:pPr>
      <w:r>
        <w:rPr>
          <w:rFonts w:ascii="Times New Roman;sans-serif" w:hAnsi="Times New Roman;sans-serif"/>
          <w:b w:val="false"/>
          <w:color w:val="000000"/>
          <w:sz w:val="20"/>
        </w:rPr>
        <w:t>do so in the future. If a third-party payor denies payment for testing or recoups money from the Company in a later period, reimbursement and the associated recognition of revenue for the Company’s testing services could decline.</w:t>
      </w:r>
      <w:r>
        <w:rPr>
          <w:color w:val="000000"/>
        </w:rPr>
        <w:t xml:space="preserve"> </w:t>
      </w:r>
    </w:p>
    <w:p>
      <w:pPr>
        <w:pStyle w:val="TextBody"/>
        <w:bidi w:val="0"/>
        <w:spacing w:lineRule="auto" w:line="268" w:before="200" w:after="283"/>
        <w:ind w:left="0" w:right="0" w:firstLine="360"/>
        <w:jc w:val="both"/>
        <w:rPr/>
      </w:pPr>
      <w:r>
        <w:rPr>
          <w:rFonts w:ascii="Times New Roman;sans-serif" w:hAnsi="Times New Roman;sans-serif"/>
          <w:b w:val="false"/>
          <w:color w:val="000000"/>
          <w:sz w:val="20"/>
        </w:rPr>
        <w:t>As an integral part of the Company’s billing compliance program, in the third quarter of 2022, the Company instituted a third-party review of billing claims and compliance practices, and initiated improvements including implementing a package of new billing compliance policies and procedures and strengthening the Company’s billing compliance team.</w:t>
      </w:r>
      <w:r>
        <w:rPr>
          <w:color w:val="000000"/>
        </w:rPr>
        <w:t xml:space="preserve"> </w:t>
      </w:r>
      <w:r>
        <w:rPr>
          <w:rFonts w:ascii="Times New Roman;sans-serif" w:hAnsi="Times New Roman;sans-serif"/>
          <w:b w:val="false"/>
          <w:color w:val="000000"/>
          <w:sz w:val="20"/>
        </w:rPr>
        <w:t xml:space="preserve">From time to time, the Company may have an obligation to reimburse Medicare, Medicaid, and third-party payors for overpayments regardless of fault. Settlements with third-party payors for retroactive adjustments due to audits, reviews, or investigations are considered variable consideration and are included in the determination of the estimated transaction price for providing services. These settlements are estimated based on the terms of the payment agreement with the payor, correspondence from the payor, the Company’s historical settlement activity (if any), and the Company’s assessment of the probability a significant reversal of cumulative revenue recognized will occur when the uncertainty is subsequently resolved. Estimated settlements are adjusted in future periods as such adjustments become known (that is, if new information becomes available), or as years are settled or are no longer subject to such audits, reviews, and investigations. </w:t>
      </w:r>
    </w:p>
    <w:p>
      <w:pPr>
        <w:pStyle w:val="TextBody"/>
        <w:bidi w:val="0"/>
        <w:spacing w:lineRule="auto" w:line="26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2022, the Company was engaged in discussions with one of its third-party payors (the “Payor”) regarding certain overpayments to Legacy Sema4. On December 30, 2022, the Company entered into a settlement agreement with the Payor in order to settle the claims related to coverage and billing matters allegedly resulting in the overpayments to Legacy Sema4 by the Payor to the Company (the “Disputed Claims”). Under the settlement agreement, $42.0 million is to be paid by the Company to the Payor in a series of installments over the next four years with the final installment payment scheduled to be made on or before June 30, 2026. The first installment payment of $15.0 million was made on December 31, 2022 and the next installment of $5.0 million is due in December 2023. In consideration for these payments, the Payor has agreed to provide releases of the Disputed Claims, which releases became effective on or about March 31, 2023.</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As a result of this matter, and in connection with a review of certain billing policies and procedures undertaken by management, the Company considered the need to establish reserves for potential recoupments of payments previously made by third-party payors.</w:t>
      </w:r>
      <w:r>
        <w:rPr>
          <w:color w:val="000000"/>
        </w:rPr>
        <w:t xml:space="preserve"> </w:t>
      </w:r>
      <w:r>
        <w:rPr>
          <w:rFonts w:ascii="Times New Roman;sans-serif" w:hAnsi="Times New Roman;sans-serif"/>
          <w:b w:val="false"/>
          <w:color w:val="000000"/>
          <w:sz w:val="20"/>
        </w:rPr>
        <w:t>As of June 30, 2023, the Company continued to carry liabilities that were initially established as of June 30, 2022, as a result of this matter and other potential settlements with payors, as adjusted as of June 30, 2023, based on the current facts and an evaluation of anticipated results that the Company believes reasonable for all potential recoupments for all third-party payors combined. As of June 30, 2023 and December 31, 2022, $34.7 million and $39.0 million of liabilities were recorded in accounts payable and accrued expenses and other liabilities, respectively.</w:t>
      </w:r>
      <w:r>
        <w:rPr>
          <w:color w:val="000000"/>
        </w:rPr>
        <w:t xml:space="preserve"> </w:t>
      </w:r>
      <w:r>
        <w:rPr>
          <w:rFonts w:ascii="Times New Roman;sans-serif" w:hAnsi="Times New Roman;sans-serif"/>
          <w:b w:val="false"/>
          <w:color w:val="000000"/>
          <w:sz w:val="20"/>
        </w:rPr>
        <w:t>See Note 15, “Supplemental Financial Information”. The Company uses estimates, judgments, and assumptions to assess whether it is probable that a significant reversal in the amount of cumulative revenue may occur in future periods, based upon information presently available. These estimates are subject to change. In addition, as discussed above, the Company has made certain adjustments to its estimated variable consideration as result of this matter and other potential settlements with payors.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certain long-term collaboration service agreements with original expected durations of more than one year, the Company’s obligations pursuant to such agreement represents partially unsatisfied performance obligations as of June 30, 2023. The revenues remaining under the agreements are estimated to be approximately $4.5 million. The Company expects to recognize the majority of this revenue over approximately the next 2 years.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Costs to fulfill contracts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Costs associated with fulfilling the Company’s performance obligations pursuant to its collaboration service agreements include costs for services that are subcontracted to ISMMS. Amounts prepaid are expensed in line with the pattern of revenue recognition. Prepayment of amounts prior to the costs being incurred are recognized in the condensed consolidated balance sheets as current or non-current based upon forecasted performance.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the Company had outstanding deferred costs to fulfill contracts of less than $0.1 million and $0.3 million, respectively, which were recorded as other current assets in the condensed consolidated balance sheets. The Company expect to make additional payments to ISMMS under an amended subcontract agreement with ISMMS.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costs was $0.5 million and $0.7 million for the three months ended and $1.1 million and $1.0 million for the six month ended June 30, 2023 and 2022, respectively. The amortization costs were recorded in the cost of services in the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5. Fair Value Measurements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recorded at fair value. Fair value is defined as the price that would be received to sell an asset or paid to transfer a liability in an orderly transaction between market participants at the measurement date.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Level 1: </w:t>
      </w:r>
      <w:r>
        <w:rPr>
          <w:rFonts w:ascii="Times New Roman;sans-serif" w:hAnsi="Times New Roman;sans-serif"/>
          <w:b w:val="false"/>
          <w:color w:val="000000"/>
          <w:sz w:val="20"/>
        </w:rPr>
        <w:t>Observable inputs such as quoted prices (unadjusted) in active markets that are accessible at the measurement date for identical assets or liabilities.</w:t>
      </w:r>
    </w:p>
    <w:p>
      <w:pPr>
        <w:pStyle w:val="TextBody"/>
        <w:bidi w:val="0"/>
        <w:spacing w:before="0" w:after="0"/>
        <w:jc w:val="both"/>
        <w:rPr/>
      </w:pPr>
      <w:r>
        <w:rPr/>
      </w:r>
    </w:p>
    <w:p>
      <w:pPr>
        <w:pStyle w:val="TextBody"/>
        <w:bidi w:val="0"/>
        <w:spacing w:lineRule="auto" w:line="288" w:before="0" w:after="180"/>
        <w:jc w:val="both"/>
        <w:rPr/>
      </w:pPr>
      <w:r>
        <w:rPr>
          <w:rFonts w:ascii="Times New Roman;sans-serif" w:hAnsi="Times New Roman;sans-serif"/>
          <w:b w:val="false"/>
          <w:i/>
          <w:color w:val="000000"/>
          <w:sz w:val="20"/>
        </w:rPr>
        <w:t xml:space="preserve">Level 2: </w:t>
      </w:r>
      <w:r>
        <w:rPr>
          <w:rFonts w:ascii="Times New Roman;sans-serif" w:hAnsi="Times New Roman;sans-serif"/>
          <w:b w:val="false"/>
          <w:color w:val="000000"/>
          <w:sz w:val="20"/>
        </w:rPr>
        <w:t>Observable inputs such as quoted prices for similar instruments in active markets, quoted prices for identical or similar instruments in markets that are not active or model-derived valuations whose significant inputs are observable.</w:t>
      </w:r>
    </w:p>
    <w:p>
      <w:pPr>
        <w:pStyle w:val="TextBody"/>
        <w:bidi w:val="0"/>
        <w:spacing w:lineRule="auto" w:line="288" w:before="0" w:after="180"/>
        <w:jc w:val="both"/>
        <w:rPr/>
      </w:pPr>
      <w:r>
        <w:rPr>
          <w:rFonts w:ascii="Times New Roman;sans-serif" w:hAnsi="Times New Roman;sans-serif"/>
          <w:b w:val="false"/>
          <w:i/>
          <w:color w:val="000000"/>
          <w:sz w:val="20"/>
        </w:rPr>
        <w:t xml:space="preserve">Level 3: </w:t>
      </w:r>
      <w:r>
        <w:rPr>
          <w:rFonts w:ascii="Times New Roman;sans-serif" w:hAnsi="Times New Roman;sans-serif"/>
          <w:b w:val="false"/>
          <w:color w:val="000000"/>
          <w:sz w:val="20"/>
        </w:rPr>
        <w:t>Unobservable inputs that are significant to the measurement of fair value but are supported by little to no market data.</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financial assets and liabilities consist of cash and cash equivalents, restricted cash, accounts receivable, accounts payable, accrued liabilities, finance leases, warrant liability, earn-out contingent liabilities, contingent consideration based on milestone achievement, and long-term debt. The Company’s cash and cash equivalents, restricted cash, accounts receivable, accounts payable and accrued liabilities approximate their fair value due to the relatively short-term nature of these accounts.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finance leases are classified within Level 1 of the fair value hierarchy because such finance lease agreements bear interest at rates for instruments with similar characteristics; accordingly, the carrying value of these liabilities approximate their fair values.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loan from the Connecticut Department of Economic and Community Development is classified within Level 2 of the fair value hierarchy. As of June 30, 2023, the loan was recorded at its carrying value of $6.3 million with no current portion recorded as there are no principal payments due until August 2024. The fair value was $4.7 million, which is estimated based on discounted cash flows using the yields of similar debt instruments of other companies with similar credit profiles.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fair value of financial instruments that were measured at fair value on a recurring basis (in thousands):</w:t>
      </w:r>
    </w:p>
    <w:tbl>
      <w:tblPr>
        <w:tblW w:w="9509" w:type="dxa"/>
        <w:jc w:val="left"/>
        <w:tblInd w:w="0" w:type="dxa"/>
        <w:tblLayout w:type="fixed"/>
        <w:tblCellMar>
          <w:top w:w="28" w:type="dxa"/>
          <w:left w:w="28" w:type="dxa"/>
          <w:bottom w:w="28" w:type="dxa"/>
          <w:right w:w="28" w:type="dxa"/>
        </w:tblCellMar>
      </w:tblPr>
      <w:tblGrid>
        <w:gridCol w:w="1772"/>
        <w:gridCol w:w="1554"/>
        <w:gridCol w:w="1563"/>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 liability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DECD loan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based on milestone achievement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bl>
      <w:tblPr>
        <w:tblW w:w="9614" w:type="dxa"/>
        <w:jc w:val="left"/>
        <w:tblInd w:w="0" w:type="dxa"/>
        <w:tblLayout w:type="fixed"/>
        <w:tblCellMar>
          <w:top w:w="28" w:type="dxa"/>
          <w:left w:w="28" w:type="dxa"/>
          <w:bottom w:w="28" w:type="dxa"/>
          <w:right w:w="28" w:type="dxa"/>
        </w:tblCellMar>
      </w:tblPr>
      <w:tblGrid>
        <w:gridCol w:w="1772"/>
        <w:gridCol w:w="1554"/>
        <w:gridCol w:w="1563"/>
        <w:gridCol w:w="211"/>
        <w:gridCol w:w="721"/>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DECD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based on milestone achievement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br/>
        <w:t>Of the $156.7 million cash and cash equivalents presented in the condensed consolidated balance sheets as of June 30, 2023, $121.3 million was in money market funds, $16.0 million in U.S. treasury bonds and $10.7 million in corporate and municipal bonds, all of which are classified within Level 1 of the fair value hierarchy as the fair value was based on quoted prices in active markets. Of the $123.9 million cash and cash equivalents presented on the consolidated balance sheets as of December 31, 2022, $16.9 million was in money market funds and was classified within Level 1 of the fair value hierarchy as the fair value was based on quoted prices in active markets.</w:t>
      </w:r>
    </w:p>
    <w:p>
      <w:pPr>
        <w:pStyle w:val="TextBody"/>
        <w:bidi w:val="0"/>
        <w:spacing w:before="0" w:after="0"/>
        <w:ind w:left="0" w:right="0" w:firstLine="45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outstanding warrants include publicly traded warrants (the “Public Warrants”) which were originally issued in the IPO and warrants sold in a private placement to CMLS Holdings LLC (the “Private Warrants”). The Company evaluated its warrants under ASC 815-40-Derivatives and Hedging—Contracts in Entity’s Own Equity, and concluded that they do not meet the criteria to be classified in stockholders’ equity. Since the Public Warrants and Private 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in the condensed consolidated statements of operations and comprehensive loss at each reporting date. As of June 30, 2023, the Public Warrants are classified within Level 1 of the fair value hierarchy as they are traded in active markets. The Private Warrants are classified within Level 2 of the fair value hierarchy as management determined the fair value of each Private Warrant is the same as that of a Public Warrant because the terms are substantially the same. For the quarter ended June 30, 2023, a gain of $0.2 million was recorded within the change in fair market value of warrant and earn-out contingent liabilities in the consolidated statements of operations and comprehensive loss based on remeasurement performed as of the period end date.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earn-out contingent liabilities include the Company’s contingent obligation to issue earn-out shares for Legacy Sema4 stockholders (which obligation expired in July 2023) (“Earn-out Shares”) as well as the Company’s obligation to pay out the first Milestone Payment of $112.5 million to OKPO and the contingent obligation to make an additional second Milestone Payment of up to $37.5 million to OPKO if a certain revenue-based milestone is achieved for the fiscal year ended December 31,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Earn-out Shares are accounted for as a liability and required remeasurement at each reporting date. The estimated fair value of the total Earn-out Shares as of June 30, 2023 is determined based on a Monte Carlo simulation valuation model. The fair value of the earn-out contingent liability is sensitive to the expected volatility for the Company and the Company’s Class A common stock price which is sensitive to changes in the forecasts of earnings and/or the relevant operating metrics. The expected volatility for the Company is based on the historical volatility of selected guideline companies, the historical volatility of the Company, and the implied volatility of the Company’s call options. The key assumptions utilized in determining the Earn-out Shares valuation as of June 30, 2023 and December 31, 2022 were as follows:</w:t>
      </w:r>
    </w:p>
    <w:p>
      <w:pPr>
        <w:pStyle w:val="TextBody"/>
        <w:bidi w:val="0"/>
        <w:spacing w:before="0" w:after="0"/>
        <w:ind w:left="0" w:right="0" w:firstLine="360"/>
        <w:jc w:val="both"/>
        <w:rPr/>
      </w:pPr>
      <w:r>
        <w:rPr/>
      </w:r>
    </w:p>
    <w:tbl>
      <w:tblPr>
        <w:tblW w:w="5079" w:type="dxa"/>
        <w:jc w:val="center"/>
        <w:tblInd w:w="0" w:type="dxa"/>
        <w:tblLayout w:type="fixed"/>
        <w:tblCellMar>
          <w:top w:w="28" w:type="dxa"/>
          <w:left w:w="28" w:type="dxa"/>
          <w:bottom w:w="28" w:type="dxa"/>
          <w:right w:w="28" w:type="dxa"/>
        </w:tblCellMar>
      </w:tblPr>
      <w:tblGrid>
        <w:gridCol w:w="754"/>
        <w:gridCol w:w="661"/>
        <w:gridCol w:w="669"/>
        <w:gridCol w:w="374"/>
        <w:gridCol w:w="374"/>
        <w:gridCol w:w="376"/>
        <w:gridCol w:w="109"/>
        <w:gridCol w:w="109"/>
        <w:gridCol w:w="109"/>
        <w:gridCol w:w="452"/>
        <w:gridCol w:w="452"/>
        <w:gridCol w:w="640"/>
      </w:tblGrid>
      <w:tr>
        <w:trPr/>
        <w:tc>
          <w:tcPr>
            <w:tcW w:w="75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$8.58</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107.5%</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4.76%</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determined and recorded as of June 30, 2023 and December 31, 2022 was zero. During the six months ended June 30, 2023 and 2022, $0 gain or loss was recognized and $10.1 million gain was recorded, respectively,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market value of warrant and earn-out contingent liability in the condensed consolidated statements of operations and comprehensive loss based on re-measurement performed as of the period end date.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Milestone Payment contingent liability represents additional acquisition consideration to pay up to $37.5 million based on the achievement of Legacy GeneDx revenue-based milestone in fiscal year 2023 and the obligation to payout the first milestone of $112.5 million in shares of the Company’s Class A common stock. Subject to the terms and conditions of the Acquisition Merger Agreement, (a) the first Milestone Payment of $112.5 million became due and payable in full as Legacy GeneDx revenue exceeded $163 million for the fiscal year 2022 and (b) the second Milestone Payment of $37.5 million will become due and payable if the revenue of the Legacy GeneDx group for the fiscal year 2023 equals or exceeds $219 million; provided that 80% of the second Milestone Payment will become payable in respect of the second milestone period if the Legacy GeneDx group achieves 90% of the Milestone Event revenue target for such period, which amount will scale on a linear basis up to 100% of the second Milestone Payment at 100% of the revenue target. The first Milestone Payment resulted in the issuance of 701,460 shares of the Company’s Class A common stock on April 14, 2023. The second Milestone Payment will be satisfied through the payment and/or issuance of a combination of cash and shares of the Company’s Class A common stock (valued at $160.38 per share), with such mix to be determined at the Company’s sole discretion.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and recorded the fair value of the Milestone Payments as $1.0 million as of June 30, 2023, which is presented as current liabilities in the condensed consolidated balance sheets. For the three and six months ended June 30, 2023, a gain of $3.3 million and a loss of $0.1 million was recorded in the change in fair market value of warrant and earn-out contingent liabilities, respectively, in the condensed consolidated statements of operations and comprehensive loss based on re-measurement performed as of the period end date. The fair value of the second milestone was determined based on a Monte Carlo simulation valuation model and the key assumptions include revenue projections, revenue volatility of 18%, the Company’s expectation to settle the liability in shares and share price of $5.96 per share. The fair value of the first milestone was determined based on the Company’s expectation to settle the liability in shares and share price of $5.96 per share.</w:t>
      </w:r>
    </w:p>
    <w:p>
      <w:pPr>
        <w:pStyle w:val="TextBody"/>
        <w:bidi w:val="0"/>
        <w:spacing w:lineRule="auto" w:line="26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earn-out contingent liabilities are categorized as Level 3 of the fair value hierarchy as the Company utilizes unobservable inputs in estimating the fair value. There were no transfers between Level 1, Level 2 and Level 3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6. Property and Equipment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6619" w:type="dxa"/>
        <w:jc w:val="left"/>
        <w:tblInd w:w="0" w:type="dxa"/>
        <w:tblLayout w:type="fixed"/>
        <w:tblCellMar>
          <w:top w:w="28" w:type="dxa"/>
          <w:left w:w="28" w:type="dxa"/>
          <w:bottom w:w="28" w:type="dxa"/>
          <w:right w:w="28" w:type="dxa"/>
        </w:tblCellMar>
      </w:tblPr>
      <w:tblGrid>
        <w:gridCol w:w="1489"/>
        <w:gridCol w:w="1308"/>
        <w:gridCol w:w="1313"/>
        <w:gridCol w:w="211"/>
        <w:gridCol w:w="721"/>
        <w:gridCol w:w="109"/>
        <w:gridCol w:w="109"/>
        <w:gridCol w:w="109"/>
        <w:gridCol w:w="109"/>
        <w:gridCol w:w="221"/>
        <w:gridCol w:w="757"/>
        <w:gridCol w:w="163"/>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Equipment under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Building under finance lease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other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152,987 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(101,460)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51,527 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2023 and 2022, depreciation and amortization expense was $6.8 million and $6.6 million, respectively. For the six months ended June 30, 2023 and 2022, depreciation and amortization expense was $12.0 million and $12.4 million, respectively. This included software amortization expense of $4.7 million and $1.7 million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00" w:after="283"/>
        <w:jc w:val="both"/>
        <w:rPr/>
      </w:pPr>
      <w:r>
        <w:rPr>
          <w:rFonts w:ascii="Times New Roman;sans-serif" w:hAnsi="Times New Roman;sans-serif"/>
          <w:b w:val="false"/>
          <w:color w:val="000000"/>
          <w:sz w:val="20"/>
        </w:rPr>
        <w:t xml:space="preserve">the three months ended and $5.7 million and $3.3 million for the six months ended June 30, 2023 and 2022, respectively. For intangible amortization, see Note 17, </w:t>
      </w:r>
      <w:r>
        <w:rPr>
          <w:color w:val="000000"/>
        </w:rPr>
        <w:t>“</w:t>
      </w:r>
      <w:r>
        <w:rPr>
          <w:rFonts w:ascii="Times New Roman;sans-serif" w:hAnsi="Times New Roman;sans-serif"/>
          <w:b w:val="false"/>
          <w:i/>
          <w:color w:val="000000"/>
          <w:sz w:val="20"/>
        </w:rPr>
        <w:t>Goodwill and Intangible Assets.”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the Company recorded a $3.4 million charge to accelerate the amortization for certain capitalized software projects associated with Legacy Sema4 that are not expected to be utilized.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2023, the Company recorded a $3.0 million gain on sale of assets during the period associated with the closure of Legacy Sema4 facilities. </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The Company identified indicators of impairment specifically with the modification of the sublease agreement, see Note 9,</w:t>
      </w:r>
      <w:r>
        <w:rPr>
          <w:color w:val="000000"/>
        </w:rPr>
        <w:t xml:space="preserve">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As a result, the Company recorded a $1.6 million impairment charge within impairment loss in the Company’s condensed consolidated statements of operations and comprehensive loss for the six months ended June 30, 2023, of which $0.8 million was allocated to the building under finance lease associated with the sublease.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is included within the condensed consolidated statements of operations and comprehensive loss as follows (in thousands):</w:t>
      </w:r>
    </w:p>
    <w:tbl>
      <w:tblPr>
        <w:tblW w:w="6089" w:type="dxa"/>
        <w:jc w:val="left"/>
        <w:tblInd w:w="0" w:type="dxa"/>
        <w:tblLayout w:type="fixed"/>
        <w:tblCellMar>
          <w:top w:w="28" w:type="dxa"/>
          <w:left w:w="28" w:type="dxa"/>
          <w:bottom w:w="28" w:type="dxa"/>
          <w:right w:w="28" w:type="dxa"/>
        </w:tblCellMar>
      </w:tblPr>
      <w:tblGrid>
        <w:gridCol w:w="1382"/>
        <w:gridCol w:w="1219"/>
        <w:gridCol w:w="1223"/>
        <w:gridCol w:w="213"/>
        <w:gridCol w:w="622"/>
        <w:gridCol w:w="110"/>
        <w:gridCol w:w="110"/>
        <w:gridCol w:w="110"/>
        <w:gridCol w:w="110"/>
        <w:gridCol w:w="213"/>
        <w:gridCol w:w="622"/>
        <w:gridCol w:w="155"/>
      </w:tblGrid>
      <w:tr>
        <w:trPr/>
        <w:tc>
          <w:tcPr>
            <w:tcW w:w="138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expenses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78" w:type="dxa"/>
        <w:jc w:val="left"/>
        <w:tblInd w:w="0" w:type="dxa"/>
        <w:tblLayout w:type="fixed"/>
        <w:tblCellMar>
          <w:top w:w="28" w:type="dxa"/>
          <w:left w:w="28" w:type="dxa"/>
          <w:bottom w:w="28" w:type="dxa"/>
          <w:right w:w="28" w:type="dxa"/>
        </w:tblCellMar>
      </w:tblPr>
      <w:tblGrid>
        <w:gridCol w:w="1382"/>
        <w:gridCol w:w="1219"/>
        <w:gridCol w:w="1223"/>
        <w:gridCol w:w="211"/>
        <w:gridCol w:w="721"/>
        <w:gridCol w:w="109"/>
        <w:gridCol w:w="109"/>
        <w:gridCol w:w="109"/>
        <w:gridCol w:w="109"/>
        <w:gridCol w:w="211"/>
        <w:gridCol w:w="721"/>
        <w:gridCol w:w="154"/>
      </w:tblGrid>
      <w:tr>
        <w:trPr/>
        <w:tc>
          <w:tcPr>
            <w:tcW w:w="138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7. Related Party Transactions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Related party revenues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revenues primarily include diagnostic testing revenues generated by GeneDx from BioReference Laboratories, Inc. (“BRLI”), which is a subsidiary of OPKO. The prices charged represent market rates. Revenue recorded from this contract was $0.7 million and $0.3 million for the three months ended and $1.4 million and $0.3 million for the six months ended June 30, 2023 and 2022, respectively.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Related party expenses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1, 2017, the Company signed a contribution and funding agreement and other agreements with ISMMS, whereby ISMMS contributed certain assets and liabilities related to the Company’s operations, provided certain services to the Company, and also committed to funding the Company up to $55.0 million in future capital contributions in exchange for equity in the Company, of which $55.0 million was drawn as of December 31, 2019. Following the transaction, the Company commenced operations and began providing the services and performing research.</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Expenses recognized pursuant to service arrangements with ISMMS, including certain sub-lease arrangements the Company has through ISMMS, totaled $1.4 million and $2.3 million for the three months ended and $3.3 million and $4.2 million for the six months ended June 30, 2023 and 2022, respectively. These amounts include certain lease expenses the Company incurs and pay to ISMMS for certain sub-lease arrangements. They are included in either cost of services or related party expenses in the condensed consolidated statements of operations and comprehensive loss depending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particular activity to which the costs relate. Payables due to ISMMS for the other service arrangements were $3.3 million and $2.4 million as of June 30, 2023 and December 31, 2022, respectively, these amounts include unpaid lease payments the Company accrued for. The payments to be made to ISMMS and are included within due to related parties on the Company’s condensed consolidated balance sheets.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bookmarkStart w:id="0" w:name="ie5667ece32f149c7a7a3cf33432f8308_3415"/>
      <w:bookmarkEnd w:id="0"/>
      <w:r>
        <w:rPr>
          <w:rFonts w:ascii="Times New Roman;sans-serif" w:hAnsi="Times New Roman;sans-serif"/>
          <w:b w:val="false"/>
          <w:color w:val="000000"/>
          <w:sz w:val="20"/>
        </w:rPr>
        <w:t>Additionally, the Company has purchased $1.5 million of diagnostic testing kits and materials and $0.7 and $0.8 million was recorded in cost of services for the three and six months ended June 30, 2023, respectively, from an affiliate of a member of the Board of Directors who has served in the role since July 2021. The prices paid represent market rates. Payables due were $0.1 million and $0.4 million as of June 30, 2023 and December 31, 2022, respectively.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Legacy GeneDx and OPKO entered into a Transition Services Agreement dated as of April 29, 2022 (the “OPKO TSA”) pursuant to which OPKO agreed to provide, at cost, certain services in support of the Acquisition of the Legacy GeneDx business through December 31, 2022, subject to certain limited exceptions, in order to facilitate the transactions contemplated by the Acquisition Merger Agreement, including human resources, information technology support, and finance and accounting. The Company recorded $0.4 million and $0.3 million for the three months ended and $1.2 million and $0.3 million for the six months ended June 30, 2023 and 2022, respectively, related to the agreement. As of June 30, 2023 there were $0.9 million unpaid costs and at December 31, 2022 $0.4 million was unpaid and included in due to related parties in condensed consolidated balance sheets.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the Company recorded a reduction of $1.3 million receivables from OPKO related to the Acquisition closing working capital adjustment that was previously recorded as of December 31, 2022. The amount was presented as other current assets in condensed consolidated balance sheets as of December 31, 2022.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related party costs are included within cost of services and related party expenses in the condensed consolidated statements of operations and comprehensive loss as follows (in thousands):</w:t>
      </w:r>
    </w:p>
    <w:tbl>
      <w:tblPr>
        <w:tblW w:w="4334" w:type="dxa"/>
        <w:jc w:val="left"/>
        <w:tblInd w:w="0" w:type="dxa"/>
        <w:tblLayout w:type="fixed"/>
        <w:tblCellMar>
          <w:top w:w="28" w:type="dxa"/>
          <w:left w:w="28" w:type="dxa"/>
          <w:bottom w:w="28" w:type="dxa"/>
          <w:right w:w="28" w:type="dxa"/>
        </w:tblCellMar>
      </w:tblPr>
      <w:tblGrid>
        <w:gridCol w:w="748"/>
        <w:gridCol w:w="659"/>
        <w:gridCol w:w="662"/>
        <w:gridCol w:w="213"/>
        <w:gridCol w:w="622"/>
        <w:gridCol w:w="110"/>
        <w:gridCol w:w="110"/>
        <w:gridCol w:w="110"/>
        <w:gridCol w:w="110"/>
        <w:gridCol w:w="213"/>
        <w:gridCol w:w="622"/>
        <w:gridCol w:w="155"/>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related party costs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tbl>
      <w:tblPr>
        <w:tblW w:w="4313" w:type="dxa"/>
        <w:jc w:val="left"/>
        <w:tblInd w:w="0" w:type="dxa"/>
        <w:tblLayout w:type="fixed"/>
        <w:tblCellMar>
          <w:top w:w="28" w:type="dxa"/>
          <w:left w:w="28" w:type="dxa"/>
          <w:bottom w:w="28" w:type="dxa"/>
          <w:right w:w="28" w:type="dxa"/>
        </w:tblCellMar>
      </w:tblPr>
      <w:tblGrid>
        <w:gridCol w:w="748"/>
        <w:gridCol w:w="659"/>
        <w:gridCol w:w="662"/>
        <w:gridCol w:w="211"/>
        <w:gridCol w:w="616"/>
        <w:gridCol w:w="109"/>
        <w:gridCol w:w="109"/>
        <w:gridCol w:w="109"/>
        <w:gridCol w:w="109"/>
        <w:gridCol w:w="211"/>
        <w:gridCol w:w="616"/>
        <w:gridCol w:w="154"/>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related party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8. Long-Term Debt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Loan and Security Agreement (the “SVB Agreement”)</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15, 2021, the Company and Sema4 OpCo, Inc. (together, the “Borrower”) entered into a Loan and Security Agreement (the “SVB Agreement”) with Silicon Valley Bank (“SVB”). The SVB Agreement provides for a revolving credit facility (the “Revolver”) up to an aggregate principal amount of $125.0 million, including a sublimit of $20.0 million for Letters of Credit (as such terms are defined in the SVB Agreement). The outstanding principal amount of any Advance (as such term is defined in the SVB Agreement) will bear interest at a floating rate per annum equal to the greater of (1) 4.00% and (2) the Prime Rate plus the Prime Rate Margin. The Revolver will mature on November 15, 2024. In connection with entering into the SVB agreement, the Company paid $0.5 million in debt issuance costs during 2021. The Company will pay an additional $0.5 million in fees to SVB at each anniversary of the SVB Agreement date for a total of $1.0 million and these fees are recorded in other current liabilities and other liabilities in the condensed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sheets as of June 30, 2023. These costs are capitalized and amortized on a straight-line basis over the contractual term. Any unused fees charged on the Revolver is expensed as incurred.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under the SVB Agreement are secured by a first priority perfected security interest in substantially all of the Borrower’s assets except for (i) Governmental Collection Accounts (as defined in the SVB Agreement), (ii) 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SVB Agreement contains affirmative and negative covenants, including, among other things, restrictions on indebtedness, liens, investments, mergers, dispositions, and dividends and other distributions.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SVB Agreement requires the Borrower to comply with certain financial covenants if Liquidity (as such term is defined in the SVB Agreement) falls below $135.0 million. These financial covenants include (i) a minimum Adjusted Quick Ratio (as such term is defined in the SVB Agreement) and (ii) the achievement of certain minimum revenue targets. On a monthly basis, the Borrowers would be required to maintain a minimum Adjusted Quick Ratio of greater than or equal to 1.25 to 1.0. The Borrower must also maintain certain trailing six-month minimum revenue targets through maturity if outstanding borrowings under the Revolver exceed $50.0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the Nasdaq Stock Market,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 The Company was in compliance with all covenants as of June 30, 2023.</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10, 2023, SVB was closed by the California Department of Financial Protection and Innovation, which appointed the Federal Deposit Insurance Corporation (“FDIC”) as receiver. On March 14, 2023, Silicon Valley Bridge Bank, N.A., a new bank that is regulated by the Office of the Comptroller of the Currency, announced that it had assumed all loan positions, including as lender, issuing bank, administrative and any other function that was formerly performed by SVB, and that all commitments to advance under existing credit agreements would be honored in accordance with and pursuant to the terms thereof. On March 27, 2023, First Citizens BancShares, Inc. purchased all of the assets and liabilities of Silicon Valley Bridge Bank, N.A. from the FDIC.</w:t>
      </w:r>
    </w:p>
    <w:p>
      <w:pPr>
        <w:pStyle w:val="TextBody"/>
        <w:bidi w:val="0"/>
        <w:spacing w:lineRule="auto" w:line="288" w:before="24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amounts had been drawn under the SVB Agreement as of June 30, 2023.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2016 Funding Commitment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2017, ISMMS assigned a loan funding commitment from the Connecticut Department of Economic and Community Development (“DECD”) to the Company (as amended, the “DECD Loan Agreement”), to support the Genetic Sequencing Laboratory Project in Branford, Connecticut, with funding based on the achievement of certain project development phases. The DECD Loan Agreement, provides for a total loan commitment of $15.5 million at a fixed annual interest rate of 2.0% for a term of 10 years. The Company is required to make interest-only payments through July 2023 and principal and interest payments commencing in August 2023. The final payment of principal and interest is due in July 2028. However, under the terms of the DECD Loan Agreement, the DECD may grant partial principal loan forgiveness of up to $12.3 million in the aggregate. Such forgiveness is contingent upon the Company achieving job creation and retention milestones and $4.5 million has been forgiven as of June 30, 2023. This commitment is collateralized by providing a security interest in certain machinery and equipment the Company acquired from ISMMS, as defined in a separate security agreement.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the Company amended the DECD Loan Agreement, which resulted in the Company agreeing to pay $2.0 million in principal, obtaining $2.8 million in debt forgiveness for achieving its Phase 2 job milestone, and agreeing to two new forgiveness milestone targets for its Phase 3 job milestone (eligible for $2 million in forgiveness) and the final phase job milestone (eligible for $1 million in forgiveness) (the “2022 Amended DECD Loan Agreement”). Upon execution of this amendment in January 2023, the Company paid the $2.0 million in principal and received $2.75 million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debt forgiveness, both of which were classified as current liabilities as of December 31, 2022 and the Company recognized the debt forgiveness as other income in the condensed consolidated statements of operations and comprehensive loss for the six months ended June 30, 2023. The terms of the 2022 Amended DECD Loan Agreement require the Company to make interest-only payments through July 2024 and principal and interest payments commencing in August 2024 through July 2029 at the same fixed annual interest rate of 2.0%.</w:t>
      </w:r>
    </w:p>
    <w:p>
      <w:pPr>
        <w:pStyle w:val="TextBody"/>
        <w:bidi w:val="0"/>
        <w:spacing w:lineRule="auto" w:line="26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loan balance from the DECD Loan Agreement was $6.3 million as of June 30, 2023.</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Maturities of Long-Term Debt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long-term debt matures as follows (in thousands):</w:t>
      </w:r>
    </w:p>
    <w:tbl>
      <w:tblPr>
        <w:tblW w:w="4805" w:type="dxa"/>
        <w:jc w:val="left"/>
        <w:tblInd w:w="0" w:type="dxa"/>
        <w:tblLayout w:type="fixed"/>
        <w:tblCellMar>
          <w:top w:w="28" w:type="dxa"/>
          <w:left w:w="28" w:type="dxa"/>
          <w:bottom w:w="28" w:type="dxa"/>
          <w:right w:w="28" w:type="dxa"/>
        </w:tblCellMar>
      </w:tblPr>
      <w:tblGrid>
        <w:gridCol w:w="1385"/>
        <w:gridCol w:w="1216"/>
        <w:gridCol w:w="1223"/>
        <w:gridCol w:w="211"/>
        <w:gridCol w:w="616"/>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maturities of long-term debt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current maturities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Lease Accounting</w:t>
      </w:r>
    </w:p>
    <w:p>
      <w:pPr>
        <w:pStyle w:val="TextBody"/>
        <w:bidi w:val="0"/>
        <w:spacing w:before="0" w:after="0"/>
        <w:ind w:left="0" w:right="0" w:firstLine="360"/>
        <w:jc w:val="left"/>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contracts in the normal course of business and assesses whether any such contracts contain a lease. The Company determines if an arrangement is a lease at inception if it conveys the right to control the identified asset for a period of time in exchange for consideration. The Company classifies leases as operating or financing in nature. All lease liabilities are measured at the present value of the associated payments, discounted using the Company’s incremental borrowing rate determined based on the rate of interest that the Company would pay to borrow on a collateralized basis an amount equal to the lease payments for similar term and in a similar economic environment on a collateralized basis, unless there is a rate implicit in the lease that is readily determinable.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operating lease arrangements are principally for office space and laboratory facilities. The Company’s headquarter lease was initially entered into via sub-lease agreements with ISMMS and a third party and will expire in 2034. The Company also entered into a separate lease with a third party for space in the same building as its headquarters and that lease expires in 2029. The agreements include escalating rent and rent-free period provisions. Pursuant to the terms of the lease agreement, the Company was required to have issued an irrevocable standby letter of credit to the lessor for $0.9 million, which was included in restricted cash in the condensed consolidated balance sheets as of June 30, 2023 and consolidated balance sheets as of December 31, 2022. </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In April 2019, the Company entered into a sublease agreement with ISMMS as a sublessee to the ISMMS agreement to the lessor to rent a building to be used for office and laboratory facility (the “Stamford Lease”) for a base term of 325 months, expiring in October 2046. The Company has the option to renew the lease at the end of the initial base term for either one period of 10 years, or two periods of 5 years. There is also an early termination option in which ISMMS may cancel the lease after the 196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month with cancellation fees. At inception of the Stamford Lease, the value of the land was determined to be more than 25% of the total value and therefore the building is accounted for as a finance lease and the land as an operating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2020, the Company entered into a lease agreement which expanded the Company’s existing laboratory facility in Branford, Connecticut. The lease commenced in February 2020 with a 10-year term. The lease includes escalating rent fees over the lease term.</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2022, the Company acquired an operating lease for office space and laboratory operations in connection with the Acquisition. The lease includes a base term of 9 years remaining from the date of acquisition and an escalating rent provision.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the Company executed a lease agreement to extend the lease term of existing office spaces, commencing in September 2022 for a period of 13 months.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the Company entered into an agreement with ISMMS to use its commercially reasonable efforts to exercise the early termination option existing in the lease agreement between ISMMS and the lessor. This triggered lease modification accounting to shorten the total lease term, from a total of 23 years remaining to an estimated 13 years remaining, as the Company intends to request the exercise of this option available. The Company is required to make a payment of $8.4 million as an early termination fee if they choose to exercise this option. This modification resulted in an increase in the operating lease liability by $2.0 million and an increase in the finance lease liability by $2.6 million, respectively, due to reassessment and reapplication of the incremental borrowing rate as of the lease modification date. The Company identified indicators of impairment specifically with the modification of the sublease agreement. As a result, the Company has recorded a $1.6 million impairment charge within impairment loss in the Company’s condensed consolidated statements of operations and comprehensive loss for the six months ended June 30, 2023, of which $0.8 million was allocated to the right-of-use asset associated with the sublease.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Finance Leases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various finance lease agreements to obtain laboratory equipment that contain bargain purchase commitments at the end of the lease term. The leases are secured by the underlying equipment. As discussed above, the Company also leases a building used for office and laboratory space in which the building is accounted for as a finance lease and the land is as an operating lease. The interest rate initially used for the Stamford Lease was 13.1%, which was modified to 8.5% upon the lease modification explained above. The revised rate was used to measure the operating and finance lease liability.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financial information associated with the Company’s leases (in thousands).</w:t>
      </w:r>
    </w:p>
    <w:tbl>
      <w:tblPr>
        <w:tblW w:w="8404" w:type="dxa"/>
        <w:jc w:val="center"/>
        <w:tblInd w:w="0" w:type="dxa"/>
        <w:tblLayout w:type="fixed"/>
        <w:tblCellMar>
          <w:top w:w="28" w:type="dxa"/>
          <w:left w:w="28" w:type="dxa"/>
          <w:bottom w:w="28" w:type="dxa"/>
          <w:right w:w="28" w:type="dxa"/>
        </w:tblCellMar>
      </w:tblPr>
      <w:tblGrid>
        <w:gridCol w:w="682"/>
        <w:gridCol w:w="601"/>
        <w:gridCol w:w="607"/>
        <w:gridCol w:w="109"/>
        <w:gridCol w:w="109"/>
        <w:gridCol w:w="109"/>
        <w:gridCol w:w="954"/>
        <w:gridCol w:w="954"/>
        <w:gridCol w:w="957"/>
        <w:gridCol w:w="109"/>
        <w:gridCol w:w="109"/>
        <w:gridCol w:w="109"/>
        <w:gridCol w:w="228"/>
        <w:gridCol w:w="779"/>
        <w:gridCol w:w="117"/>
        <w:gridCol w:w="109"/>
        <w:gridCol w:w="109"/>
        <w:gridCol w:w="109"/>
        <w:gridCol w:w="282"/>
        <w:gridCol w:w="966"/>
        <w:gridCol w:w="296"/>
      </w:tblGrid>
      <w:tr>
        <w:trPr/>
        <w:tc>
          <w:tcPr>
            <w:tcW w:w="68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41,362 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44,468 </w:t>
            </w:r>
          </w:p>
        </w:tc>
        <w:tc>
          <w:tcPr>
            <w:tcW w:w="296"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69,094 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bl>
      <w:tblPr>
        <w:tblW w:w="9816" w:type="dxa"/>
        <w:jc w:val="center"/>
        <w:tblInd w:w="0" w:type="dxa"/>
        <w:tblLayout w:type="fixed"/>
        <w:tblCellMar>
          <w:top w:w="28" w:type="dxa"/>
          <w:left w:w="28" w:type="dxa"/>
          <w:bottom w:w="28" w:type="dxa"/>
          <w:right w:w="28" w:type="dxa"/>
        </w:tblCellMar>
      </w:tblPr>
      <w:tblGrid>
        <w:gridCol w:w="1393"/>
        <w:gridCol w:w="1226"/>
        <w:gridCol w:w="1250"/>
        <w:gridCol w:w="109"/>
        <w:gridCol w:w="109"/>
        <w:gridCol w:w="109"/>
        <w:gridCol w:w="591"/>
        <w:gridCol w:w="1728"/>
        <w:gridCol w:w="305"/>
        <w:gridCol w:w="109"/>
        <w:gridCol w:w="109"/>
        <w:gridCol w:w="109"/>
        <w:gridCol w:w="537"/>
        <w:gridCol w:w="1569"/>
        <w:gridCol w:w="563"/>
      </w:tblGrid>
      <w:tr>
        <w:trPr/>
        <w:tc>
          <w:tcPr>
            <w:tcW w:w="139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leased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3,044 </w:t>
            </w:r>
          </w:p>
        </w:tc>
        <w:tc>
          <w:tcPr>
            <w:tcW w:w="3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3,314 </w:t>
            </w:r>
          </w:p>
        </w:tc>
        <w:tc>
          <w:tcPr>
            <w:tcW w:w="5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center"/>
        <w:rPr/>
      </w:pPr>
      <w:r>
        <w:rPr/>
      </w:r>
    </w:p>
    <w:tbl>
      <w:tblPr>
        <w:tblW w:w="9428" w:type="dxa"/>
        <w:jc w:val="center"/>
        <w:tblInd w:w="0" w:type="dxa"/>
        <w:tblLayout w:type="fixed"/>
        <w:tblCellMar>
          <w:top w:w="28" w:type="dxa"/>
          <w:left w:w="28" w:type="dxa"/>
          <w:bottom w:w="28" w:type="dxa"/>
          <w:right w:w="28" w:type="dxa"/>
        </w:tblCellMar>
      </w:tblPr>
      <w:tblGrid>
        <w:gridCol w:w="1393"/>
        <w:gridCol w:w="1226"/>
        <w:gridCol w:w="1250"/>
        <w:gridCol w:w="109"/>
        <w:gridCol w:w="109"/>
        <w:gridCol w:w="109"/>
        <w:gridCol w:w="548"/>
        <w:gridCol w:w="1599"/>
        <w:gridCol w:w="283"/>
        <w:gridCol w:w="109"/>
        <w:gridCol w:w="109"/>
        <w:gridCol w:w="109"/>
        <w:gridCol w:w="498"/>
        <w:gridCol w:w="1455"/>
        <w:gridCol w:w="522"/>
      </w:tblGrid>
      <w:tr>
        <w:trPr/>
        <w:tc>
          <w:tcPr>
            <w:tcW w:w="139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leased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6,565 </w:t>
            </w:r>
          </w:p>
        </w:tc>
        <w:tc>
          <w:tcPr>
            <w:tcW w:w="2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6,454 </w:t>
            </w:r>
          </w:p>
        </w:tc>
        <w:tc>
          <w:tcPr>
            <w:tcW w:w="5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leases as of June 30, 2023 are as follows:</w:t>
      </w:r>
    </w:p>
    <w:tbl>
      <w:tblPr>
        <w:tblW w:w="7285" w:type="dxa"/>
        <w:jc w:val="center"/>
        <w:tblInd w:w="0" w:type="dxa"/>
        <w:tblLayout w:type="fixed"/>
        <w:tblCellMar>
          <w:top w:w="28" w:type="dxa"/>
          <w:left w:w="28" w:type="dxa"/>
          <w:bottom w:w="28" w:type="dxa"/>
          <w:right w:w="28" w:type="dxa"/>
        </w:tblCellMar>
      </w:tblPr>
      <w:tblGrid>
        <w:gridCol w:w="973"/>
        <w:gridCol w:w="852"/>
        <w:gridCol w:w="860"/>
        <w:gridCol w:w="109"/>
        <w:gridCol w:w="109"/>
        <w:gridCol w:w="109"/>
        <w:gridCol w:w="246"/>
        <w:gridCol w:w="931"/>
        <w:gridCol w:w="127"/>
        <w:gridCol w:w="109"/>
        <w:gridCol w:w="109"/>
        <w:gridCol w:w="109"/>
        <w:gridCol w:w="212"/>
        <w:gridCol w:w="803"/>
        <w:gridCol w:w="109"/>
        <w:gridCol w:w="109"/>
        <w:gridCol w:w="109"/>
        <w:gridCol w:w="109"/>
        <w:gridCol w:w="211"/>
        <w:gridCol w:w="826"/>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Maturity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48,471 </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69,094 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as of and for the three months ended June 30, 2023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bl>
      <w:tblPr>
        <w:tblW w:w="7497" w:type="dxa"/>
        <w:jc w:val="center"/>
        <w:tblInd w:w="0" w:type="dxa"/>
        <w:tblLayout w:type="fixed"/>
        <w:tblCellMar>
          <w:top w:w="28" w:type="dxa"/>
          <w:left w:w="28" w:type="dxa"/>
          <w:bottom w:w="28" w:type="dxa"/>
          <w:right w:w="28" w:type="dxa"/>
        </w:tblCellMar>
      </w:tblPr>
      <w:tblGrid>
        <w:gridCol w:w="2174"/>
        <w:gridCol w:w="1909"/>
        <w:gridCol w:w="1917"/>
        <w:gridCol w:w="109"/>
        <w:gridCol w:w="109"/>
        <w:gridCol w:w="109"/>
        <w:gridCol w:w="342"/>
        <w:gridCol w:w="342"/>
        <w:gridCol w:w="486"/>
      </w:tblGrid>
      <w:tr>
        <w:trPr/>
        <w:tc>
          <w:tcPr>
            <w:tcW w:w="2174"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Weighted-average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$2,117</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$946</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80"/>
        <w:jc w:val="left"/>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business, the Company enters into various purchase commitments primarily related to material and service agreements, laboratory supplies and software. As of June 30, 2023, the Company’s total future payments under noncancellable unconditional purchase commitments having a remaining term of over one year were $1.4 million. The Company enters into contracts with suppliers to purchase materials needed for diagnostic testing. These contracts generally do not require multiple-year purchase commitments.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various actions and claims arising in the normal course of business. The Company does not believe that the outcome of these matters will have a material effect on the Company’s condensed consolidated financial position, results of operations or cash flows. However, no assurance can be given that the final outcome of such proceedings will not materially impact the Company’s condensed consolidated financial condition or results of operations.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described below, the Company was not a party to any material legal proceedings as of June 30, 2023, nor is it a party to any material legal proceedings as of the date of issuance of these unaudited condensed consolidated financial statements.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7, 2022, a shareholder class action lawsuit was filed in the United States District Court for the District of Connecticut against the Company and certain of the Company’s current and former officers. Following the appointment of a lead plaintiff, an amended complaint was filed on January 30, 2023. As amended, the complaint purports to bring suit on behalf of stockholders who purchased the Company’s publicly traded securities between March 14, 2022 and August 15, 2022. The complaint purports to allege that defendants made false and misleading statements about the Company’s business, operations and prospects in violation of Sections 10(b) and 20(a) of the Securities Exchange Act of 1934, and seeks unspecified compensatory damages, fees and costs. The Company believes the allegations and claims made in the complaint are without merit.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7, 2023, a stockholder commenced a lawsuit in the Delaware Court of Chancery. The suit is brought as a class action on behalf of stockholders of CMLS who did not redeem their shares in connection with the Business Combination. The suit names as defendants all directors of CMLS at the time of the transaction, including directors who continue to serve on the Company’s board of directors, as well as CMLS Holdings LLC, the Former Sponsor. The Company is not named as a defendant. The complaint alleges that the July 2, 2021 proxy statement mailed to CMLS stockholders in connection with the transaction contained false and misleading statements, and purports to assert a claim of breach of fiduciary duty against all individual defendants, and a similar claim against the Former Sponsor and certain individuals for breach of fiduciary duty as control persons. The suit seeks to recover unspecified damages on behalf of the alleged class, among other relief. After defendants moved to dismiss the case, plaintiff filed an amended complaint on July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 2023 The Company believes the allegations and claims made in the amended complaint are without merit. The Company is subject to certain claims for advancement and indemnification by the individual defendants in this proceeding.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11. Stock-Based Compensation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 Incentive Plans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22, 2021, in connection with the Business Combination, the 2021 Plan became effective and 991,970 authorized shares of Class A common stock were reserved for issuance thereunder. The 2021 Plan is administered by the Compensation Committee of the Company’s Board of Directors, including determination of the vesting, exercisability and payment of the awards to be granted under the 2021 Plan. No awards granted under the 2021 Plan are exercisable after 10 years from the date of grant, and the awards granted under the 2021 Plan generally vest over a four-year period on a graded vesting basis.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14, 2023, the stockholders of the Company approved an amendment and restatement to the 2021 Plan to increase the aggregate number of shares of the Company’s Class A common stock authorized for issuance under the 2021 Plan by 787,879 shares and implement certain other clarifying changes.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18, “Subsequent Events,” on July 21, 2023, the Board of Directors of the Company approved the 2023 Equity Inducement Plan (the “Equity Inducement Plan”) and, subject to the adjustment provisions of the Equity Inducement Plan, reserved 500,000 shares of the Company’s Class A common stock for issuance pursuant to equity awards to be granted under the Equity Inducement Plan.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2021 Employee Stock Purchase Plan (the “2021 ESPP”) became effective in connection with the Business Combination. The 2021 ESPP authorizes the issuance of shares of Class A common stock pursuant to purchase rights granted to employees. On each January 1 of each of 2022 through 2031, the aggregate number of shares of Class A common stock reserved for issuance under the 2021 Plan may be increased automatically by the number of shares equal to one percent (1%) of the total number of shares of all classes of common stock issued and outstanding immediately preceding December 31. The Company did not make any grants of purchase rights under the 2021 ESPP during the quarter ended June 30, 2023. A total of 336,816 shares of Class A common stock have been reserved for future issuance under the 2021 ESPP.</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 Option Activity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the fair value of the liability awards was remeasured at each reporting period until the stockholder bears the risks and rewards of equity ownership for a reasonable period of time, which the Company concludes is at least six months.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stockholders’ equity in the condensed consolidated financial statements as of July 22,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stock options granted under the 2021 Plan are accounted for as equity awards.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stock option activity during the six months ended June 30, 2023:</w:t>
      </w:r>
    </w:p>
    <w:tbl>
      <w:tblPr>
        <w:tblW w:w="8437" w:type="dxa"/>
        <w:jc w:val="left"/>
        <w:tblInd w:w="0" w:type="dxa"/>
        <w:tblLayout w:type="fixed"/>
        <w:tblCellMar>
          <w:top w:w="28" w:type="dxa"/>
          <w:left w:w="28" w:type="dxa"/>
          <w:bottom w:w="28" w:type="dxa"/>
          <w:right w:w="28" w:type="dxa"/>
        </w:tblCellMar>
      </w:tblPr>
      <w:tblGrid>
        <w:gridCol w:w="1140"/>
        <w:gridCol w:w="1002"/>
        <w:gridCol w:w="1008"/>
        <w:gridCol w:w="109"/>
        <w:gridCol w:w="109"/>
        <w:gridCol w:w="109"/>
        <w:gridCol w:w="689"/>
        <w:gridCol w:w="689"/>
        <w:gridCol w:w="691"/>
        <w:gridCol w:w="109"/>
        <w:gridCol w:w="109"/>
        <w:gridCol w:w="109"/>
        <w:gridCol w:w="551"/>
        <w:gridCol w:w="1611"/>
        <w:gridCol w:w="402"/>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 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(50,444)</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(92,263)</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114.87 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exercisable at June 30, 2023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428,231 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pPr>
      <w:r>
        <w:rPr>
          <w:rFonts w:ascii="Times New Roman;sans-serif" w:hAnsi="Times New Roman;sans-serif"/>
          <w:b w:val="false"/>
          <w:color w:val="000000"/>
          <w:sz w:val="20"/>
        </w:rPr>
        <w:t>As of June 30, 2023</w:t>
      </w:r>
      <w:r>
        <w:rPr>
          <w:rFonts w:ascii="Times New Roman;sans-serif" w:hAnsi="Times New Roman;sans-serif"/>
          <w:b w:val="false"/>
          <w:color w:val="000000"/>
          <w:sz w:val="20"/>
          <w:shd w:fill="FFFFFF" w:val="clear"/>
        </w:rPr>
        <w:t xml:space="preserve">, unrecognized stock-based compensation cost related to the unvested portion of the Company’s stock options was </w:t>
      </w:r>
      <w:r>
        <w:rPr>
          <w:rFonts w:ascii="Times New Roman;sans-serif" w:hAnsi="Times New Roman;sans-serif"/>
          <w:b w:val="false"/>
          <w:color w:val="000000"/>
          <w:sz w:val="20"/>
        </w:rPr>
        <w:t>$5.9 million, which is expected to be recognized on a graded-vesting basis over a weighted-average period of 1.7 years.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stock options awarded during the three and six month period ended June 30, 2023. The fair value of the stock option awards for the period ended June 30, 2022 were estimated using the Black-Scholes option pricing model with the following assumptions:</w:t>
      </w:r>
    </w:p>
    <w:tbl>
      <w:tblPr>
        <w:tblW w:w="5505" w:type="dxa"/>
        <w:jc w:val="left"/>
        <w:tblInd w:w="0" w:type="dxa"/>
        <w:tblLayout w:type="fixed"/>
        <w:tblCellMar>
          <w:top w:w="28" w:type="dxa"/>
          <w:left w:w="28" w:type="dxa"/>
          <w:bottom w:w="28" w:type="dxa"/>
          <w:right w:w="28" w:type="dxa"/>
        </w:tblCellMar>
      </w:tblPr>
      <w:tblGrid>
        <w:gridCol w:w="1099"/>
        <w:gridCol w:w="963"/>
        <w:gridCol w:w="968"/>
        <w:gridCol w:w="725"/>
        <w:gridCol w:w="725"/>
        <w:gridCol w:w="1025"/>
      </w:tblGrid>
      <w:tr>
        <w:trPr/>
        <w:tc>
          <w:tcPr>
            <w:tcW w:w="109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65.20% - 75.00% </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5.48 - 6.07 </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1.65% -3.03% </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Class A common stock</w:t>
            </w:r>
          </w:p>
        </w:tc>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$72.60 - $113.85 </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estimated a volatility factor for the Company’s options based on analysis of historical share prices of a peer group of public companies, the historical share prices of the Company, and the implied volatility of the Company’s call options. The Company estimated the expected term of options granted using the “simplified method,” which is the mid-point between the vesting date and the ending date of the contractual term. The Company did not rely on the historical holding periods of the Company’s options due to the limited availability of exercise data. The Company used a risk-free interest rate based on the U.S. Treasury yield curve in effect for bonds with maturities consistent with the expected term of the option.</w:t>
      </w:r>
    </w:p>
    <w:p>
      <w:pPr>
        <w:pStyle w:val="TextBody"/>
        <w:bidi w:val="0"/>
        <w:spacing w:lineRule="auto" w:line="288" w:before="200" w:after="180"/>
        <w:jc w:val="left"/>
        <w:rPr>
          <w:rFonts w:ascii="Times New Roman;sans-serif" w:hAnsi="Times New Roman;sans-serif"/>
          <w:b/>
          <w:i/>
          <w:color w:val="000000"/>
          <w:sz w:val="20"/>
        </w:rPr>
      </w:pPr>
      <w:r>
        <w:rPr>
          <w:rFonts w:ascii="Times New Roman;sans-serif" w:hAnsi="Times New Roman;sans-serif"/>
          <w:b/>
          <w:i/>
          <w:color w:val="000000"/>
          <w:sz w:val="20"/>
        </w:rPr>
        <w:t>Restricted Stock Units (RSUs)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issued time-based RSUs to employees under the 2021 Plan. The RSUs automatically convert to shares of Class A common stock on a one-for-one basis as the awards vest. The Company measures the value of RSUs at fair value based on the closing price of the underlying Class A common stock on the grant date. The RSUs granted generally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vest over a four year vesting period from the grant date, however, certain grants include vesting term that begins vesting 12 months from the grant date. The following table summarizes the activity related to the Company's time-based RSUs:</w:t>
      </w:r>
    </w:p>
    <w:tbl>
      <w:tblPr>
        <w:tblW w:w="9520" w:type="dxa"/>
        <w:jc w:val="center"/>
        <w:tblInd w:w="0" w:type="dxa"/>
        <w:tblLayout w:type="fixed"/>
        <w:tblCellMar>
          <w:top w:w="28" w:type="dxa"/>
          <w:left w:w="28" w:type="dxa"/>
          <w:bottom w:w="28" w:type="dxa"/>
          <w:right w:w="28" w:type="dxa"/>
        </w:tblCellMar>
      </w:tblPr>
      <w:tblGrid>
        <w:gridCol w:w="966"/>
        <w:gridCol w:w="849"/>
        <w:gridCol w:w="854"/>
        <w:gridCol w:w="884"/>
        <w:gridCol w:w="884"/>
        <w:gridCol w:w="887"/>
        <w:gridCol w:w="109"/>
        <w:gridCol w:w="109"/>
        <w:gridCol w:w="109"/>
        <w:gridCol w:w="752"/>
        <w:gridCol w:w="2569"/>
        <w:gridCol w:w="548"/>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Unit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77.88 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granted</w:t>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vested</w:t>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60.17 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forfeited</w:t>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9"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Company issued 18,794 RSUs subject to both service and performance based vesting conditions to the Executive Chairman of the Company. The grant date was established during the first quarter period and vesting of the RSUs will be based on the achievement of performance goals established for calendar year 2023.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Earn-out RSUs</w:t>
      </w:r>
    </w:p>
    <w:p>
      <w:pPr>
        <w:pStyle w:val="TextBody"/>
        <w:bidi w:val="0"/>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grant date fair value determined for Triggering Event I, II and III was $60.06, $45.87 and $31.02 per unit, respectively. Any re-allocated RSUs due to the Legacy Sema4 option holders’ forfeiture activities during the period ended June 30, 2023 were accounted for as new grants and the fair value determined for Triggering Event I, II and III was $0.00, $0.00 and $0.00 per unit, respectively. Based on the grant date fair value, the Company recorded a reversal of stock-based compensation of $0.8 million due to the Legacy Sema4 option holders’ forfeiture activities. The Company recognizes the stock-compensation cost over the longer of the derived service period or service period. The earn-out RSUs expired in July 2023.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 Appreciation Rights (SAR) Activity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historically granted SAR to one employee and one consultant with exercise condition of a liquidation event. As a result of the Business Combination, settlement of the outstanding vested SARs in exchange for a cash payment and to cancel the outstanding unvested SARs was agreed upon and an expense of $3.8 million related to the vested SAR was recognized by the Company. There were no outstanding SARs as of June 30, 2023.</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 reversal of stock-based compensation of $7.5 million and $4.5 million during the three months ended June 30, 2023 and 2022, respectively, and $15.6 million and $9.7 million during the six months ended June 30, 2023 and 2022, respectively, due to forfeiture activities upon employee terminations. Stock-based compensation expense for all awards granted and outstanding is included within the condensed consolidated statements of operations and comprehensive loss as follows (in thousands):</w:t>
      </w:r>
    </w:p>
    <w:tbl>
      <w:tblPr>
        <w:tblW w:w="5712" w:type="dxa"/>
        <w:jc w:val="left"/>
        <w:tblInd w:w="0" w:type="dxa"/>
        <w:tblLayout w:type="fixed"/>
        <w:tblCellMar>
          <w:top w:w="28" w:type="dxa"/>
          <w:left w:w="28" w:type="dxa"/>
          <w:bottom w:w="28" w:type="dxa"/>
          <w:right w:w="28" w:type="dxa"/>
        </w:tblCellMar>
      </w:tblPr>
      <w:tblGrid>
        <w:gridCol w:w="1247"/>
        <w:gridCol w:w="1099"/>
        <w:gridCol w:w="1104"/>
        <w:gridCol w:w="217"/>
        <w:gridCol w:w="480"/>
        <w:gridCol w:w="112"/>
        <w:gridCol w:w="112"/>
        <w:gridCol w:w="112"/>
        <w:gridCol w:w="112"/>
        <w:gridCol w:w="217"/>
        <w:gridCol w:w="742"/>
        <w:gridCol w:w="158"/>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bl>
      <w:tblPr>
        <w:tblW w:w="5874" w:type="dxa"/>
        <w:jc w:val="left"/>
        <w:tblInd w:w="0" w:type="dxa"/>
        <w:tblLayout w:type="fixed"/>
        <w:tblCellMar>
          <w:top w:w="28" w:type="dxa"/>
          <w:left w:w="28" w:type="dxa"/>
          <w:bottom w:w="28" w:type="dxa"/>
          <w:right w:w="28" w:type="dxa"/>
        </w:tblCellMar>
      </w:tblPr>
      <w:tblGrid>
        <w:gridCol w:w="1247"/>
        <w:gridCol w:w="1099"/>
        <w:gridCol w:w="1104"/>
        <w:gridCol w:w="211"/>
        <w:gridCol w:w="691"/>
        <w:gridCol w:w="109"/>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333"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for the six months ended June 30, 2023 and 2022 was $0.3 million and $49.1 million, respectively. Income taxes for these periods are recorded at the Company’s estimated annual effective income tax rate, subject to adjustments for discrete events should they occur. The Company’s estimated annual effective tax rate was 0.33% for the six months ended June 30, 2023.</w:t>
      </w:r>
    </w:p>
    <w:p>
      <w:pPr>
        <w:pStyle w:val="TextBody"/>
        <w:bidi w:val="0"/>
        <w:spacing w:lineRule="auto" w:line="333"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difference between the Company’s effective tax rates in 2023 and 2022 compared to the U.S. statutory tax rate of 21% is primarily due to changes in valuation allowances associated with the Company’s assessment of the likelihood of the recoverability of deferred tax assets. The Company currently has valuation allowances against a significant portion of its deferred tax assets primary related to its net operating loss carryforwards and tax credit carryforwards.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13. Net Income (loss) per Share</w:t>
      </w:r>
      <w:r>
        <w:rPr>
          <w:color w:val="000000"/>
        </w:rPr>
        <w:t xml:space="preserv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and diluted loss per share attributable to common stockholders was calculated as follows (amounts in thousands, except for share and per share amounts): </w:t>
      </w:r>
    </w:p>
    <w:tbl>
      <w:tblPr>
        <w:tblW w:w="9981" w:type="dxa"/>
        <w:jc w:val="left"/>
        <w:tblInd w:w="0" w:type="dxa"/>
        <w:tblLayout w:type="fixed"/>
        <w:tblCellMar>
          <w:top w:w="28" w:type="dxa"/>
          <w:left w:w="28" w:type="dxa"/>
          <w:bottom w:w="28" w:type="dxa"/>
          <w:right w:w="28" w:type="dxa"/>
        </w:tblCellMar>
      </w:tblPr>
      <w:tblGrid>
        <w:gridCol w:w="2616"/>
        <w:gridCol w:w="2300"/>
        <w:gridCol w:w="2313"/>
        <w:gridCol w:w="240"/>
        <w:gridCol w:w="841"/>
        <w:gridCol w:w="109"/>
        <w:gridCol w:w="109"/>
        <w:gridCol w:w="109"/>
        <w:gridCol w:w="109"/>
        <w:gridCol w:w="240"/>
        <w:gridCol w:w="841"/>
        <w:gridCol w:w="154"/>
      </w:tblGrid>
      <w:tr>
        <w:trPr/>
        <w:tc>
          <w:tcPr>
            <w:tcW w:w="2616"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stockholders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Denominator for basic and diluted earnings per share-weighted-average common shares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25,418,358 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10,234,910 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(loss) income per share</w:t>
            </w:r>
          </w:p>
        </w:tc>
        <w:tc>
          <w:tcPr>
            <w:tcW w:w="2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tbl>
      <w:tblPr>
        <w:tblW w:w="10043" w:type="dxa"/>
        <w:jc w:val="left"/>
        <w:tblInd w:w="0" w:type="dxa"/>
        <w:tblLayout w:type="fixed"/>
        <w:tblCellMar>
          <w:top w:w="28" w:type="dxa"/>
          <w:left w:w="28" w:type="dxa"/>
          <w:bottom w:w="28" w:type="dxa"/>
          <w:right w:w="28" w:type="dxa"/>
        </w:tblCellMar>
      </w:tblPr>
      <w:tblGrid>
        <w:gridCol w:w="2616"/>
        <w:gridCol w:w="2300"/>
        <w:gridCol w:w="2313"/>
        <w:gridCol w:w="211"/>
        <w:gridCol w:w="901"/>
        <w:gridCol w:w="109"/>
        <w:gridCol w:w="109"/>
        <w:gridCol w:w="109"/>
        <w:gridCol w:w="109"/>
        <w:gridCol w:w="211"/>
        <w:gridCol w:w="901"/>
        <w:gridCol w:w="154"/>
      </w:tblGrid>
      <w:tr>
        <w:trPr/>
        <w:tc>
          <w:tcPr>
            <w:tcW w:w="2616"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Denominator for basic and diluted earnings per share-weighted-average common shares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22,754,948 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8,827,829 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(loss) income per share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Reverse Stock Split, the Company has retroactively adjusted the weighted-average number of shares of common stock outstanding prior to the Reverse Stock Split by a ratio of 1-for-33 to determine the number of shares of common stock into which they converted.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outstanding shares of potentially dilutive securities that were excluded from the computation of diluted net loss per share attributable to common stockholders for the period presented because including them would have been anti-dilutive: </w:t>
      </w:r>
    </w:p>
    <w:tbl>
      <w:tblPr>
        <w:tblW w:w="8185" w:type="dxa"/>
        <w:jc w:val="left"/>
        <w:tblInd w:w="0" w:type="dxa"/>
        <w:tblLayout w:type="fixed"/>
        <w:tblCellMar>
          <w:top w:w="28" w:type="dxa"/>
          <w:left w:w="28" w:type="dxa"/>
          <w:bottom w:w="28" w:type="dxa"/>
          <w:right w:w="28" w:type="dxa"/>
        </w:tblCellMar>
      </w:tblPr>
      <w:tblGrid>
        <w:gridCol w:w="1989"/>
        <w:gridCol w:w="1745"/>
        <w:gridCol w:w="1755"/>
        <w:gridCol w:w="488"/>
        <w:gridCol w:w="488"/>
        <w:gridCol w:w="156"/>
        <w:gridCol w:w="125"/>
        <w:gridCol w:w="125"/>
        <w:gridCol w:w="125"/>
        <w:gridCol w:w="488"/>
        <w:gridCol w:w="488"/>
        <w:gridCol w:w="213"/>
      </w:tblGrid>
      <w:tr>
        <w:trPr/>
        <w:tc>
          <w:tcPr>
            <w:tcW w:w="1989"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options and RSUs to purchase Class A common stock</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2,597,876 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1,722,560 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666,515 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666,515 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earn-out shares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508,556 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earn-out RSUs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3,840,803 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2,965,486 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80"/>
        <w:jc w:val="left"/>
        <w:rPr>
          <w:rFonts w:ascii="Times New Roman;sans-serif" w:hAnsi="Times New Roman;sans-serif"/>
          <w:b/>
          <w:color w:val="000000"/>
          <w:sz w:val="20"/>
        </w:rPr>
      </w:pPr>
      <w:r>
        <w:rPr>
          <w:rFonts w:ascii="Times New Roman;sans-serif" w:hAnsi="Times New Roman;sans-serif"/>
          <w:b/>
          <w:color w:val="000000"/>
          <w:sz w:val="20"/>
        </w:rPr>
        <w:t>14. Restructuring Costs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Company’s strategic realignment was completed by exiting its reproductive and women’s health testing business, which included carrier screening, noninvasive prenatal, and other ancillary reproductive testing offerings. The Company ceased accepting samples for these tests on December 14, 2022 and notified its customers impacted by the decision immediately. As a result, the Company eliminated approximately 500 positions, and ceased operations at its Stamford, CT laboratory. When combined with the Company’s prior reductions in workforce during 2022, the exit resulted in the elimination of approximately 32.5% of the Company’s workforce which existed at the time of the announcement.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provides certain information concerning restructuring activity during the six months ended June 30, 2023: </w:t>
      </w:r>
    </w:p>
    <w:tbl>
      <w:tblPr>
        <w:tblW w:w="10205" w:type="dxa"/>
        <w:jc w:val="left"/>
        <w:tblInd w:w="0" w:type="dxa"/>
        <w:tblLayout w:type="fixed"/>
        <w:tblCellMar>
          <w:top w:w="28" w:type="dxa"/>
          <w:left w:w="28" w:type="dxa"/>
          <w:bottom w:w="28" w:type="dxa"/>
          <w:right w:w="28" w:type="dxa"/>
        </w:tblCellMar>
      </w:tblPr>
      <w:tblGrid>
        <w:gridCol w:w="342"/>
        <w:gridCol w:w="301"/>
        <w:gridCol w:w="303"/>
        <w:gridCol w:w="563"/>
        <w:gridCol w:w="1644"/>
        <w:gridCol w:w="290"/>
        <w:gridCol w:w="109"/>
        <w:gridCol w:w="109"/>
        <w:gridCol w:w="109"/>
        <w:gridCol w:w="554"/>
        <w:gridCol w:w="1225"/>
        <w:gridCol w:w="286"/>
        <w:gridCol w:w="109"/>
        <w:gridCol w:w="109"/>
        <w:gridCol w:w="109"/>
        <w:gridCol w:w="308"/>
        <w:gridCol w:w="997"/>
        <w:gridCol w:w="159"/>
        <w:gridCol w:w="109"/>
        <w:gridCol w:w="109"/>
        <w:gridCol w:w="109"/>
        <w:gridCol w:w="483"/>
        <w:gridCol w:w="1412"/>
        <w:gridCol w:w="357"/>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Reserve Balance at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Charged to Costs and Expenses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Reserve Balance at June 30, 2023</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incur additional expenses not currently contemplated due to events associated with the reduction in workforce. The charges that the Company expects to incur in connection with the reduction in workforce are estimates and subject to a number of assumptions, and actual results may differ materially.</w:t>
      </w:r>
    </w:p>
    <w:p>
      <w:pPr>
        <w:pStyle w:val="TextBody"/>
        <w:bidi w:val="0"/>
        <w:spacing w:before="2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15. Supplemental Financial Information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payable and accrued expenses consisted of the following (in thousands): </w:t>
      </w:r>
    </w:p>
    <w:tbl>
      <w:tblPr>
        <w:tblW w:w="7254" w:type="dxa"/>
        <w:jc w:val="left"/>
        <w:tblInd w:w="0" w:type="dxa"/>
        <w:tblLayout w:type="fixed"/>
        <w:tblCellMar>
          <w:top w:w="28" w:type="dxa"/>
          <w:left w:w="28" w:type="dxa"/>
          <w:bottom w:w="28" w:type="dxa"/>
          <w:right w:w="28" w:type="dxa"/>
        </w:tblCellMar>
      </w:tblPr>
      <w:tblGrid>
        <w:gridCol w:w="1239"/>
        <w:gridCol w:w="1088"/>
        <w:gridCol w:w="1092"/>
        <w:gridCol w:w="313"/>
        <w:gridCol w:w="1070"/>
        <w:gridCol w:w="161"/>
        <w:gridCol w:w="109"/>
        <w:gridCol w:w="109"/>
        <w:gridCol w:w="109"/>
        <w:gridCol w:w="381"/>
        <w:gridCol w:w="1305"/>
        <w:gridCol w:w="278"/>
      </w:tblGrid>
      <w:tr>
        <w:trPr/>
        <w:tc>
          <w:tcPr>
            <w:tcW w:w="123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46,017 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purchases</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for refunds to insurance carriers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84,878 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consisted of the following (in thousands):</w:t>
      </w:r>
    </w:p>
    <w:tbl>
      <w:tblPr>
        <w:tblW w:w="8634" w:type="dxa"/>
        <w:jc w:val="left"/>
        <w:tblInd w:w="0" w:type="dxa"/>
        <w:tblLayout w:type="fixed"/>
        <w:tblCellMar>
          <w:top w:w="28" w:type="dxa"/>
          <w:left w:w="28" w:type="dxa"/>
          <w:bottom w:w="28" w:type="dxa"/>
          <w:right w:w="28" w:type="dxa"/>
        </w:tblCellMar>
      </w:tblPr>
      <w:tblGrid>
        <w:gridCol w:w="1739"/>
        <w:gridCol w:w="1526"/>
        <w:gridCol w:w="1534"/>
        <w:gridCol w:w="313"/>
        <w:gridCol w:w="1070"/>
        <w:gridCol w:w="161"/>
        <w:gridCol w:w="109"/>
        <w:gridCol w:w="109"/>
        <w:gridCol w:w="109"/>
        <w:gridCol w:w="381"/>
        <w:gridCol w:w="1305"/>
        <w:gridCol w:w="278"/>
      </w:tblGrid>
      <w:tr>
        <w:trPr/>
        <w:tc>
          <w:tcPr>
            <w:tcW w:w="173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benefits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commissions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severance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liabilities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the contingent consideration liabilities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49,705 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16. Segment Reporting</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business is aligned with how the chief operating decision maker (“CODM”) reviews performance and makes decisions in managing the Company. As of June 30, 2023, the Company has identified two reportable segments: (i) GeneDx inclusive of Legacy GeneDx and Legacy Sema4 data revenues and associated costs and (ii) Legacy Sema4 diagnostics. The GeneDx segment primarily provides pediatric and rare disease diagnostics with a focus on whole exome and genome sequencing and, to a lesser extent data and information services. The Legacy Sema4 diagnostics segment provided reproductive and women’s health and somatic oncology diagnostic testing and screening products. Segment information is consistent with how management reviews the business, makes investing and resource allocation decisions and assesses operating performance. The CODM evaluates segment performance based on revenue and adjusted gross margin. Prior to the Acquisition, the Company had one segment which is characterized as “Legacy Sema4” in the table below. Prior to the date of the Acquisition, consolidated results were the same as the results of this segment and therefore the results for the three and six months ended June 30, 2022 have not been presented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bl>
      <w:tblPr>
        <w:tblW w:w="7381" w:type="dxa"/>
        <w:jc w:val="left"/>
        <w:tblInd w:w="0" w:type="dxa"/>
        <w:tblLayout w:type="fixed"/>
        <w:tblCellMar>
          <w:top w:w="28" w:type="dxa"/>
          <w:left w:w="28" w:type="dxa"/>
          <w:bottom w:w="28" w:type="dxa"/>
          <w:right w:w="28" w:type="dxa"/>
        </w:tblCellMar>
      </w:tblPr>
      <w:tblGrid>
        <w:gridCol w:w="1113"/>
        <w:gridCol w:w="979"/>
        <w:gridCol w:w="982"/>
        <w:gridCol w:w="109"/>
        <w:gridCol w:w="109"/>
        <w:gridCol w:w="109"/>
        <w:gridCol w:w="211"/>
        <w:gridCol w:w="721"/>
        <w:gridCol w:w="109"/>
        <w:gridCol w:w="109"/>
        <w:gridCol w:w="109"/>
        <w:gridCol w:w="109"/>
        <w:gridCol w:w="270"/>
        <w:gridCol w:w="790"/>
        <w:gridCol w:w="139"/>
        <w:gridCol w:w="109"/>
        <w:gridCol w:w="109"/>
        <w:gridCol w:w="109"/>
        <w:gridCol w:w="211"/>
        <w:gridCol w:w="721"/>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GeneDx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Legacy Sema4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margin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Reconciliations: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87" w:type="dxa"/>
        <w:jc w:val="left"/>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721"/>
        <w:gridCol w:w="109"/>
        <w:gridCol w:w="109"/>
        <w:gridCol w:w="109"/>
        <w:gridCol w:w="109"/>
        <w:gridCol w:w="270"/>
        <w:gridCol w:w="790"/>
        <w:gridCol w:w="139"/>
        <w:gridCol w:w="109"/>
        <w:gridCol w:w="109"/>
        <w:gridCol w:w="109"/>
        <w:gridCol w:w="211"/>
        <w:gridCol w:w="721"/>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GeneDx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Legacy Sema4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margin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Reconciliations: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disaggregated revenue (in thousands):</w:t>
      </w:r>
    </w:p>
    <w:tbl>
      <w:tblPr>
        <w:tblW w:w="6975" w:type="dxa"/>
        <w:jc w:val="left"/>
        <w:tblInd w:w="0" w:type="dxa"/>
        <w:tblLayout w:type="fixed"/>
        <w:tblCellMar>
          <w:top w:w="28" w:type="dxa"/>
          <w:left w:w="28" w:type="dxa"/>
          <w:bottom w:w="28" w:type="dxa"/>
          <w:right w:w="28" w:type="dxa"/>
        </w:tblCellMar>
      </w:tblPr>
      <w:tblGrid>
        <w:gridCol w:w="1053"/>
        <w:gridCol w:w="926"/>
        <w:gridCol w:w="931"/>
        <w:gridCol w:w="211"/>
        <w:gridCol w:w="721"/>
        <w:gridCol w:w="109"/>
        <w:gridCol w:w="109"/>
        <w:gridCol w:w="109"/>
        <w:gridCol w:w="109"/>
        <w:gridCol w:w="270"/>
        <w:gridCol w:w="790"/>
        <w:gridCol w:w="139"/>
        <w:gridCol w:w="109"/>
        <w:gridCol w:w="109"/>
        <w:gridCol w:w="109"/>
        <w:gridCol w:w="227"/>
        <w:gridCol w:w="777"/>
        <w:gridCol w:w="167"/>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GeneDx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Legacy Sema4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Patients with third-party insurance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 customers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Self-pay patients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diagnostic test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75" w:type="dxa"/>
        <w:jc w:val="left"/>
        <w:tblInd w:w="0" w:type="dxa"/>
        <w:tblLayout w:type="fixed"/>
        <w:tblCellMar>
          <w:top w:w="28" w:type="dxa"/>
          <w:left w:w="28" w:type="dxa"/>
          <w:bottom w:w="28" w:type="dxa"/>
          <w:right w:w="28" w:type="dxa"/>
        </w:tblCellMar>
      </w:tblPr>
      <w:tblGrid>
        <w:gridCol w:w="1053"/>
        <w:gridCol w:w="926"/>
        <w:gridCol w:w="931"/>
        <w:gridCol w:w="211"/>
        <w:gridCol w:w="721"/>
        <w:gridCol w:w="109"/>
        <w:gridCol w:w="109"/>
        <w:gridCol w:w="109"/>
        <w:gridCol w:w="109"/>
        <w:gridCol w:w="270"/>
        <w:gridCol w:w="790"/>
        <w:gridCol w:w="139"/>
        <w:gridCol w:w="109"/>
        <w:gridCol w:w="109"/>
        <w:gridCol w:w="109"/>
        <w:gridCol w:w="227"/>
        <w:gridCol w:w="777"/>
        <w:gridCol w:w="167"/>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GeneDx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Legacy Sema4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Patients with third-party insurance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 customers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Self-pay patients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diagnostic test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88,485 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manages assets on a total company basis, not by reporting segment. The CODM does not regularly review any asset information by reporting segment and, accordingly, the Company does not report asset information by reporting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17. Goodwill and Intangible Assets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3, Business Combinations, upon the Acquisition of Legacy GeneDx in April 2022, the Company recorded initial goodwill of $185.9 million through its preliminary purchase allocation. The purchase price allocation for acquired businesses may be modified for up to one year from the date of acquisition if additional facts or circumstances lead to changes in the Company’s preliminary purchase accounting estimates. The Company is complete with measurement period adjustments as of June 30, 2023.</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amounts of goodwill were as follows (in thousands):</w:t>
      </w:r>
    </w:p>
    <w:tbl>
      <w:tblPr>
        <w:tblW w:w="4138" w:type="dxa"/>
        <w:jc w:val="left"/>
        <w:tblInd w:w="0" w:type="dxa"/>
        <w:tblLayout w:type="fixed"/>
        <w:tblCellMar>
          <w:top w:w="28" w:type="dxa"/>
          <w:left w:w="28" w:type="dxa"/>
          <w:bottom w:w="28" w:type="dxa"/>
          <w:right w:w="28" w:type="dxa"/>
        </w:tblCellMar>
      </w:tblPr>
      <w:tblGrid>
        <w:gridCol w:w="1021"/>
        <w:gridCol w:w="896"/>
        <w:gridCol w:w="902"/>
        <w:gridCol w:w="361"/>
        <w:gridCol w:w="695"/>
        <w:gridCol w:w="263"/>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263"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fair values and remaining useful lives of the acquired intangible assets identified based on the Company’s preliminary purchase accounting assessments as of June 30, 2023 (in thousands):</w:t>
      </w:r>
    </w:p>
    <w:tbl>
      <w:tblPr>
        <w:tblW w:w="10205" w:type="dxa"/>
        <w:jc w:val="left"/>
        <w:tblInd w:w="0" w:type="dxa"/>
        <w:tblLayout w:type="fixed"/>
        <w:tblCellMar>
          <w:top w:w="28" w:type="dxa"/>
          <w:left w:w="28" w:type="dxa"/>
          <w:bottom w:w="28" w:type="dxa"/>
          <w:right w:w="28" w:type="dxa"/>
        </w:tblCellMar>
      </w:tblPr>
      <w:tblGrid>
        <w:gridCol w:w="840"/>
        <w:gridCol w:w="735"/>
        <w:gridCol w:w="738"/>
        <w:gridCol w:w="338"/>
        <w:gridCol w:w="1328"/>
        <w:gridCol w:w="174"/>
        <w:gridCol w:w="109"/>
        <w:gridCol w:w="109"/>
        <w:gridCol w:w="109"/>
        <w:gridCol w:w="409"/>
        <w:gridCol w:w="1401"/>
        <w:gridCol w:w="213"/>
        <w:gridCol w:w="109"/>
        <w:gridCol w:w="109"/>
        <w:gridCol w:w="109"/>
        <w:gridCol w:w="280"/>
        <w:gridCol w:w="1100"/>
        <w:gridCol w:w="145"/>
        <w:gridCol w:w="109"/>
        <w:gridCol w:w="109"/>
        <w:gridCol w:w="109"/>
        <w:gridCol w:w="444"/>
        <w:gridCol w:w="444"/>
        <w:gridCol w:w="635"/>
      </w:tblGrid>
      <w:tr>
        <w:trPr/>
        <w:tc>
          <w:tcPr>
            <w:tcW w:w="8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Amortization</w:t>
              <w:br/>
              <w:t>Period</w:t>
              <w:br/>
              <w:t>(in years)</w:t>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 and trademarks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18.8</w:t>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196,000 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179,637 </w:t>
            </w:r>
          </w:p>
        </w:tc>
        <w:tc>
          <w:tcPr>
            <w:tcW w:w="14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tradenames and trademarks and developed technology of $2.3 million and $1.5 million was recorded in general and administrative for the three months ended and $4.6 million and $1.5 million for the six months ended June 30, 2023 and 2022, respectively, within the condensed consolidated statements of operations and comprehensive loss. Amortization expense for customer relationships of $1.2 million and $0.8 million for the three months ended and $2.4 million and $0.8 million for the six months ended June 30, 2023 and 2022, respectively was recorded in selling and marketing within the condensed consolidated statements of operations and comprehensive loss.</w:t>
      </w:r>
    </w:p>
    <w:p>
      <w:pPr>
        <w:pStyle w:val="TextBody"/>
        <w:bidi w:val="0"/>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estimated future amortization expense of intangible assets with finite lives as of June 30, 2023 (in thousands):</w:t>
      </w:r>
    </w:p>
    <w:tbl>
      <w:tblPr>
        <w:tblW w:w="4880" w:type="dxa"/>
        <w:jc w:val="left"/>
        <w:tblInd w:w="0" w:type="dxa"/>
        <w:tblLayout w:type="fixed"/>
        <w:tblCellMar>
          <w:top w:w="28" w:type="dxa"/>
          <w:left w:w="28" w:type="dxa"/>
          <w:bottom w:w="28" w:type="dxa"/>
          <w:right w:w="28" w:type="dxa"/>
        </w:tblCellMar>
      </w:tblPr>
      <w:tblGrid>
        <w:gridCol w:w="1337"/>
        <w:gridCol w:w="1172"/>
        <w:gridCol w:w="1180"/>
        <w:gridCol w:w="211"/>
        <w:gridCol w:w="826"/>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the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estimated future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333" w:before="200" w:after="283"/>
        <w:jc w:val="left"/>
        <w:rPr/>
      </w:pPr>
      <w:hyperlink w:anchor="icf41e3083031494a9c3effaea80e0cd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2023, the Company adopted the 2023 Equity Inducement Plan and, subject to the adjustment provisions of the Equity Inducement Plan, reserved 500,000 shares of the Company’s Class A common stock for issuance pursuant to equity awards to be granted under the Equity Inducement Plan. In accordance with Rule 5635(c)(4) of the Nasdaq Listing Rules, the only persons eligible to receive grants of equity awards under the Equity Inducement Plan are individuals who were not previously an employee or director of the Company, or following a bona fide period of non-employment, as an inducement material to such persons entering into employment with the Company.</w:t>
      </w:r>
    </w:p>
    <w:p>
      <w:pPr>
        <w:pStyle w:val="TextBody"/>
        <w:bidi w:val="0"/>
        <w:spacing w:before="0" w:after="0"/>
        <w:jc w:val="both"/>
        <w:rPr/>
      </w:pPr>
      <w:r>
        <w:rPr/>
      </w:r>
    </w:p>
    <w:p>
      <w:pPr>
        <w:pStyle w:val="TextBody"/>
        <w:bidi w:val="0"/>
        <w:spacing w:before="200" w:after="180"/>
        <w:jc w:val="both"/>
        <w:rPr/>
      </w:pPr>
      <w:r>
        <w:rPr/>
      </w:r>
    </w:p>
    <w:p>
      <w:pPr>
        <w:pStyle w:val="TextBody"/>
        <w:bidi w:val="0"/>
        <w:spacing w:before="200" w:after="180"/>
        <w:jc w:val="both"/>
        <w:rPr/>
      </w:pPr>
      <w:r>
        <w:rPr/>
      </w:r>
    </w:p>
    <w:p>
      <w:pPr>
        <w:pStyle w:val="TextBody"/>
        <w:bidi w:val="0"/>
        <w:spacing w:before="200" w:after="180"/>
        <w:jc w:val="both"/>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our unaudited condensed consolidated financial statements and related notes appearing elsewhere in this Quarterly Report and our audited financial statements for the year ended December 31, 2022 and the related notes in our Annual Report on Form 10-K for the year ended December 31, 2022.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genomics company—one that sits at the intersection of diagnostics and data science, pairing decades of genomic expertise with an ability to interpret clinical data at scale. We are focused on delivering personalized and actionable health insights to inform diagnosis, direct treatment and improve drug discovery. We believe we are well-positioned to accelerate the use of genomics and leverage large-scale clinical data to enable precision medicine as the standard of care. Our initial focus is in pediatric and rare diseases, two areas in which we believe we have competitive advantage and can deliver on our vision today.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Corporate History Overview</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Legacy Sema4 was established out of the Mount Sinai Health System and commenced operations as a commercial entity on June 1, 2017. Legacy Sema4 derived the majority of its revenue from diagnostic testing services, which primarily related to reproductive and women’s health and somatic tumor testing. In addition, between May 2020 through March 31, 2022, Legacy Sema4 provided COVID-19 diagnostic testing services.</w:t>
      </w:r>
    </w:p>
    <w:p>
      <w:pPr>
        <w:pStyle w:val="TextBody"/>
        <w:bidi w:val="0"/>
        <w:spacing w:before="0" w:after="0"/>
        <w:ind w:left="0" w:right="0" w:firstLine="36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22, 2021, Legacy Sema4 completed the Business Combination with CMLS, received net cash proceeds of $510 million, and CMLS changed its name to “Sema4 Holdings Corp.” The Business Combination was accounted for as a reverse recapitalization with Legacy Sema4 as the accounting acquirer and CMLS as the acquired company for accounting purposes.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Legacy GeneDx</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Legacy GeneDx was founded in 2000 by scientists from the National Institutes of Health and, prior to the Acquisition by the Company, was a wholly-owned subsidiary of OPKO Health, Inc. (“OPKO”). Legacy GeneDx derived its revenue primarily from diagnostic testing services, including revenue related to exome sequencing and whole genome sequencing.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April 29, 2022, Sema4 Holdings acquired Legacy GeneDx from OPKO for an upfront payment of $150 million in cash, and 2.4 million shares of Class A common stock, subject to adjustment, with up to an additional $150 million revenue-based milestones (payable in cash or up to 935,280 shares of Class A common stock at our discretion). Our results of operations include the results of operations of Legacy GeneDx from the date of acquisition. For more information, see “—</w:t>
      </w:r>
      <w:r>
        <w:rPr>
          <w:rFonts w:ascii="Times New Roman;sans-serif" w:hAnsi="Times New Roman;sans-serif"/>
          <w:b w:val="false"/>
          <w:i/>
          <w:color w:val="000000"/>
          <w:sz w:val="20"/>
        </w:rPr>
        <w:t>Acquisition of Legacy GeneDx</w:t>
      </w:r>
      <w:r>
        <w:rPr>
          <w:color w:val="000000"/>
        </w:rPr>
        <w:t xml:space="preserve">” </w:t>
      </w:r>
      <w:r>
        <w:rPr>
          <w:rFonts w:ascii="Times New Roman;sans-serif" w:hAnsi="Times New Roman;sans-serif"/>
          <w:b w:val="false"/>
          <w:color w:val="000000"/>
          <w:sz w:val="20"/>
        </w:rPr>
        <w:t xml:space="preserve">below.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New Strategic Direction for GeneDx and Legacy Sema4 Business Exits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11, 2022, our board of directors approved a restructuring plan that contemplated exiting Legacy Sema4’s somatic tumor testing services and the closing of the laboratory in Branford, CT, which we both completed as of December 31, 2022. In connection with the plan, we also eliminated approximately 250 positions.</w:t>
      </w:r>
    </w:p>
    <w:p>
      <w:pPr>
        <w:pStyle w:val="TextBody"/>
        <w:bidi w:val="0"/>
        <w:spacing w:before="20" w:after="283"/>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14, 2022, we announced our plan to pursue a new strategic direction focused on our exome and whole genome sequencing business coupled with our Centrellis® data platform. As part of our strategic realignment, on November 11, 2022, our board of directors approved our exit from Legacy Sema4’s reproductive and women’s health testing business, which included carrier screening, noninvasive prenatal, and other ancillary reproductive testing offerings. We exited the operations of the reproductive and women’s health testing services during the first quarter of 2023. As a result of this business exit, we eliminated approximately 500 positions, and ceased operations at the Stamford, 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laboratory. The combined reductions in workforce eliminated approximately 32.5% of our workforce in 2022. Our go-forward testing services have been consolidated and are performed out of our Gaithersburg, MD laboratory, which was primarily used for our pediatric and rare disease testing services.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Effective January 9, 2023, Sema4 Holdings Corp. changed its name to GeneDx Holdings Corp.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color w:val="000000"/>
        </w:rPr>
        <w:t>“</w:t>
      </w:r>
      <w:r>
        <w:rPr>
          <w:rFonts w:ascii="Times New Roman;sans-serif" w:hAnsi="Times New Roman;sans-serif"/>
          <w:b w:val="false"/>
          <w:i/>
          <w:color w:val="000000"/>
          <w:sz w:val="20"/>
        </w:rPr>
        <w:t>Item 1A. Risk Factors”</w:t>
      </w:r>
      <w:r>
        <w:rPr>
          <w:color w:val="000000"/>
        </w:rPr>
        <w:t xml:space="preserve"> </w:t>
      </w:r>
      <w:r>
        <w:rPr>
          <w:rFonts w:ascii="Times New Roman;sans-serif" w:hAnsi="Times New Roman;sans-serif"/>
          <w:b w:val="false"/>
          <w:color w:val="000000"/>
          <w:sz w:val="20"/>
        </w:rPr>
        <w:t xml:space="preserve">for more information.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Number of resulted tests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test is resulted once the appropriate workflow is completed and details are provided to the ordered patients or healthcare professional for reviews, which corresponds to the timing of our revenue recognition. We believe the number of resulted tests in any period is important and useful to our investors because it directly correlates with long-term patient relationships and the size of our genomic database.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Success obtaining and maintaining reimbursement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Third-party payors may decide to deny payment or seek to recoup payments for tests performed by us that they contend were improperly billed, not medically necessary or against their coverage determinations, or for which they believe they have otherwise overpaid. As a result, we may be required to refund payments already received, and our revenues may be subject to retroactive adjustment as a result of these factors among others.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Ability to lower the costs associated with performing our tests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Increasing adoption of our services by existing and new customers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Investment in platform innovation to support commercial growth</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seeking to leverage and deploy our platforms to develop a pipeline of future disease-specific research and diagnostic and therapeutic products and services. We have limited experience in the development or commercialization of clinical or research products in connection with our database and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Key Performance Indicators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condensed consolidated financial statements and the related notes and other financial information included elsewhere in this report.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and the mix of test results, with a focus on driving whole exome and whole genome sequencing, are key indicators that we use to assess the operational efficiency of our business. Once the appropriate workflow is completed, the test is resulted and details are provided to ordered patients or healthcare professionals for reviews.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resulted 107,706 tests, of which all were processed by the Legacy GeneDx laboratory compared to the period ended June 30, 2022, in which we resulted approximately 276,171 tests in Legacy Sema4 and Legacy GeneDx laboratories. The volume decrease from 2022 to 2023 can be primarily attributed to the Company’s decision to terminate its Legacy Sema4 reproductive health and somatic oncology testing activities in 2022. This was partially compensated by the addition of volumes from Legacy GeneDx’s laboratory subsequent to the Acquisition’s closing, as elaborated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Acquisition of Legacy GeneDx</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2022, we and our wholly-owned subsidiaries, Orion Merger Sub I, Inc. (“Merger Sub I”) and Orion Merger Sub II, LLC (“Merger Sub II”) entered into an Agreement and Plan of Merger and Reorganization (as amended, the “Acquisition Merger Agreement”), with GeneDx, Inc., a New Jersey corporation (“Legacy GeneDx”) and a wholly-owned subsidiary of OPKO, GeneDx Holding 2, Inc. (“Holdco”), and OPKO to acquire 100% of Legacy GeneDx (the “Acquisition”). Subject to the terms and conditions of the Acquisition Merger Agreement, we agreed to pay consideration to OPKO for the Acquisition of (i) $150 million in cash at the closing of the Acquisition, subject to certain adjustments as provided in the Acquisition Merger Agreement, (ii) 2.4 million shares of our Class A common stock to be issued at the closing of the Acquisition and (iii) up to $150 million payable following the closing of the Acquisition, if certain revenue-based milestones were achieved for each of the fiscal years ending December 31, 2022 and December 31, 2023. On April 14, 2023, as a result of the first milestone payment of $112.5 million becoming due and payable in full, we issued 701,460 shares of our Class A common stock to OPKO pursuant to the Acquisition Merger Agreement. The remaining milestone payment, if and to the extent earned under the terms of the Acquisition Merger Agreement, will be satisfied through the payment and/or issuance of a combination of cash and/or shares of our Class A common stock (valued at a fixed $160.38 per share, subject to adjustment for stock splits and similar changes), with such mix to be determined in our sole discretion.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Acquisition closed on April 29, 2022. Our net loss for the six months ended June 30, 2023 includes the results of operations of Legacy GeneDx from the date of acquisition.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Concurrently with the execution of the Acquisition Merger Agreement, we entered into subscription agreements with certain institutional investors, pursuant to, and on the terms and subject to the conditions of which, these investors collectively subscribed for 1.5 million shares of our Class A common stock for an aggregate purchase price equal to $200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million (the “Acquisition PIPE Investment”). The Acquisition PIPE Investment was consummated substantially concurrently with the closing of the Acquisition.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Russia and Ukraine Conflict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2022, Russia commenced a military invasion of Ukraine, and the ensuing conflict has created disruption in the region and around the world. Our reliance on in-country resources is inconsequential. To date, this has not had a material effect on our operations, and we have taken additional measures in securing and monitoring data and remote access.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closely monitor the ongoing conflict and related sanctions, which could impact our business, financial results and results of operations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COVID-19 Impact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our test volumes improved to what would, at this time, be considered normalized market conditions. A COVID-19 resurgence in the United States could however have a material impact on our results of operations, cash flows, and financial condition.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Coronavirus Aid, Relief and Economic Security Act (“CARES Act”), was signed into law. The CARES Act was a stimulus bill that, among other things, provided assistance to qualifying businesses and individuals and included funding for the healthcare system. We received $5.4 million in 2020 as part of the stimulus, comprised of $2.6 million received under the Provider Relief Fund (the “PRF”), and $2.8 million received under the Employee Retention Credit (the “ERC”). In 2021, we received an additional $5.6 million under the PRF.</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Funds provided under the PRF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funds received under the PRF distribution have been met. As a result, we recorded the funds received under the PRF in other income in the statements of operations and comprehensive loss during the periods in which we received the funds. </w:t>
      </w:r>
    </w:p>
    <w:p>
      <w:pPr>
        <w:pStyle w:val="TextBody"/>
        <w:bidi w:val="0"/>
        <w:spacing w:lineRule="auto" w:line="288" w:before="1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Funds provided under the ERC are refundable tax credits for 50% of qualified wages paid to employees during the pandemic. A company is eligible for the ERC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have re-evaluated our position and concluded that the funds received under the ERC needed to be repaid back. Therefore, in July 2023, we remitted $2.7 million of payment and reduced a liability initially recorded in other current liabilities on the unaudited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15, 2023, we released $12.1 million in restricted cash to OPKO upon expiration of the one year escrow period pursuant to the Acquisition Merger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6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periods discussed below, we derived the majority of our revenue from genetic and genomic diagnostic testing services. We recognized revenue from collaboration service agreements with biopharma companies and other third parties pursuant to which we provide health information and patient identification support services. The Legacy GeneDx business provided genetic and genomic diagnostic testing related to pediatrics, rare disease and hereditary cancer screening. The Legacy Sema4 diagnostics business provided reproductive and women’s health testing and screening, as well as somatic tumor testing. As discussed above, we discontinued Legacy Sema4’s COVID-19 testing services as of March 31, 2022 and no longer provide such testing services. We also discontinued Legacy Sema4’s somatic tumor profiling business and substantially discontinued the operations of Legacy Sema4’s reproductive and women’s health testing services as of December 31, 2022.</w:t>
      </w:r>
    </w:p>
    <w:p>
      <w:pPr>
        <w:pStyle w:val="TextBody"/>
        <w:bidi w:val="0"/>
        <w:spacing w:lineRule="auto" w:line="26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when control of the promised goods or services is transferred to the customer in an amount that reflects the consideration which we expect to be entitled to in exchange for those goods or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Diagnostic Test Revenue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generate revenue from performing diagnostic testing services for three groups of customers: healthcare professionals working with patients with third-party insurance coverage or without third-party insurance coverage, institutional clients such as hospitals, clinics, state governments and reference laboratories, or self-pay patients.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our diagnostic test revenue will depend on our ability to increase our market penetration, obtain contracted reimbursement coverage from third-party payors, enter into contracts with institutions, and increase our reimbursement rate for tests performed.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Revenue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health information and patient identification support services under both short-term and long-term project-based collaboration and service agreements with third parties. Certain of these contracts provide non-refundable payments, which we record as contract liabilities, and variable payments based upon the achievement of certain milestones during the contract term.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pStyle w:val="TextBody"/>
        <w:bidi w:val="0"/>
        <w:spacing w:lineRule="auto" w:line="288" w:before="200" w:after="180"/>
        <w:jc w:val="left"/>
        <w:rPr>
          <w:rFonts w:ascii="Times New Roman;sans-serif" w:hAnsi="Times New Roman;sans-serif"/>
          <w:b/>
          <w:i/>
          <w:color w:val="000000"/>
          <w:sz w:val="20"/>
        </w:rPr>
      </w:pPr>
      <w:r>
        <w:rPr>
          <w:rFonts w:ascii="Times New Roman;sans-serif" w:hAnsi="Times New Roman;sans-serif"/>
          <w:b/>
          <w:i/>
          <w:color w:val="000000"/>
          <w:sz w:val="20"/>
        </w:rPr>
        <w:t>Cost of Services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services reflect the aggregate costs incurred in performing services. These costs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if any, and allocated genetic counseling, facility and IT costs associated with delivery services. Allocated costs include depreciation of laboratory equipment, facility occupancy, and information technology costs. The cost of services are recorded as the services are performed.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before="0" w:after="0"/>
        <w:ind w:left="0" w:right="0" w:firstLine="360"/>
        <w:jc w:val="both"/>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Selling and Marketing Expenses</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expenses primarily consist of personnel-related expenses (comprising salaries and benefits) and stock-based compensation for employees performing commercial sales, account management, marketing, and allocation of genetic counseling services for GeneDx. Allocated genetic counseling service cost for Legacy Sema4 is recorded as general and administrative expenses as the activities are not expected to support selling and marketing expenses of Legacy Sema4. Selling and marketing costs are expensed as incurred. </w:t>
      </w:r>
    </w:p>
    <w:p>
      <w:pPr>
        <w:pStyle w:val="TextBody"/>
        <w:bidi w:val="0"/>
        <w:spacing w:before="0" w:after="0"/>
        <w:ind w:left="0" w:right="0" w:firstLine="360"/>
        <w:jc w:val="left"/>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primarily consist of personnel-related expenses (comprising salaries and benefits) and stock-based compensation for employees in executive leadership, legal, finance and accounting, human resources, information technology, and other administrative functions. In addition, these expenses include office occupancy and information technology costs. General and administrative costs are expensed as incurred.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Nasdaq and of the SEC, director and officer insurance premiums. We expect these expenses to decrease as a percentage of revenue in the long term as revenue increases, although the percentage may fluctuate from period to period due to fluctuations in our compensation-related charges.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Related Party Expenses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Related party expenses consist of amounts due to ISMMS for expenses under various service agreements. Additional information can be found in the audited financial statements in Note 7, </w:t>
      </w:r>
      <w:r>
        <w:rPr>
          <w:color w:val="000000"/>
        </w:rPr>
        <w:t>“</w:t>
      </w:r>
      <w:r>
        <w:rPr>
          <w:rFonts w:ascii="Times New Roman;sans-serif" w:hAnsi="Times New Roman;sans-serif"/>
          <w:b w:val="false"/>
          <w:i/>
          <w:color w:val="000000"/>
          <w:sz w:val="20"/>
        </w:rPr>
        <w:t>Related Party Transactions”</w:t>
      </w:r>
      <w:r>
        <w:rPr>
          <w:color w:val="000000"/>
        </w:rPr>
        <w:t xml:space="preserve"> </w:t>
      </w:r>
      <w:r>
        <w:rPr>
          <w:rFonts w:ascii="Times New Roman;sans-serif" w:hAnsi="Times New Roman;sans-serif"/>
          <w:b w:val="false"/>
          <w:color w:val="000000"/>
          <w:sz w:val="20"/>
        </w:rPr>
        <w:t xml:space="preserve">included within our Annual Report on Form 10-K for the year ended December 31, 2022, and our unaudited condensed consolidated financial statements in Note 7, </w:t>
      </w:r>
      <w:r>
        <w:rPr>
          <w:color w:val="000000"/>
        </w:rPr>
        <w:t>“</w:t>
      </w:r>
      <w:r>
        <w:rPr>
          <w:rFonts w:ascii="Times New Roman;sans-serif" w:hAnsi="Times New Roman;sans-serif"/>
          <w:b w:val="false"/>
          <w:i/>
          <w:color w:val="000000"/>
          <w:sz w:val="20"/>
        </w:rPr>
        <w:t xml:space="preserve">Related Party Transactions” </w:t>
      </w:r>
      <w:r>
        <w:rPr>
          <w:rFonts w:ascii="Times New Roman;sans-serif" w:hAnsi="Times New Roman;sans-serif"/>
          <w:b w:val="false"/>
          <w:color w:val="000000"/>
          <w:sz w:val="20"/>
        </w:rPr>
        <w:t xml:space="preserve">included within this Quarterly Report.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related party expenses to decrease as we establish our own internal and external resources to fulfill the administrative and other services we have historically procured from ISMMS and due to the expiration of majority of the services provided by OPKO under the OPKO Transition Services Agreement related to the acquisition of the Legacy GeneDx business at the end of the first quarter of 2023.</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Income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of interest earned on money market funds.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of interest costs incurred related to our finance leases and our long-term debt arrangements, including unused line fee and the amortization of deferred transaction costs related to the loan and security agreement entered into with Silicon Valley Bank, now a division of First Citizens BancShares, Inc. that provides a $125 million revolving credit facility described elsewhere in this report. No amounts have been drawn under the revolving credit facility as of June 30, 2023.</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Income </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shd w:fill="FFFFFF" w:val="clear"/>
        </w:rPr>
        <w:t xml:space="preserve">Other income consists primarily of the loan forgiveness as discussed in our unaudited condensed consolidated financial statements in Note 8 </w:t>
      </w:r>
      <w:r>
        <w:rPr>
          <w:color w:val="000000"/>
          <w:shd w:fill="FFFFFF" w:val="clear"/>
        </w:rPr>
        <w:t>“</w:t>
      </w:r>
      <w:r>
        <w:rPr>
          <w:rFonts w:ascii="Times New Roman;sans-serif" w:hAnsi="Times New Roman;sans-serif"/>
          <w:b w:val="false"/>
          <w:i/>
          <w:color w:val="000000"/>
          <w:sz w:val="20"/>
          <w:shd w:fill="FFFFFF" w:val="clear"/>
        </w:rPr>
        <w:t>Long-Term Debt</w:t>
      </w:r>
      <w:r>
        <w:rPr>
          <w:color w:val="000000"/>
          <w:shd w:fill="FFFFFF" w:val="clear"/>
        </w:rPr>
        <w:t xml:space="preserve">” </w:t>
      </w:r>
      <w:r>
        <w:rPr>
          <w:rFonts w:ascii="Times New Roman;sans-serif" w:hAnsi="Times New Roman;sans-serif"/>
          <w:b w:val="false"/>
          <w:color w:val="000000"/>
          <w:sz w:val="20"/>
          <w:shd w:fill="FFFFFF" w:val="clear"/>
        </w:rPr>
        <w:t>included within this Quarterly Report. We recogn</w:t>
      </w:r>
      <w:r>
        <w:rPr>
          <w:rFonts w:ascii="Times New Roman;sans-serif" w:hAnsi="Times New Roman;sans-serif"/>
          <w:b w:val="false"/>
          <w:color w:val="000000"/>
          <w:sz w:val="20"/>
        </w:rPr>
        <w:t xml:space="preserve">ized $2.8 </w:t>
      </w:r>
      <w:r>
        <w:rPr>
          <w:rFonts w:ascii="Times New Roman;sans-serif" w:hAnsi="Times New Roman;sans-serif"/>
          <w:b w:val="false"/>
          <w:color w:val="000000"/>
          <w:sz w:val="20"/>
          <w:shd w:fill="FFFFFF" w:val="clear"/>
        </w:rPr>
        <w:t>million of principal forgiven in the DECD loan during the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June 30, 2023 and 2022</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periods presented:</w:t>
      </w:r>
    </w:p>
    <w:tbl>
      <w:tblPr>
        <w:tblW w:w="8648" w:type="dxa"/>
        <w:jc w:val="left"/>
        <w:tblInd w:w="0" w:type="dxa"/>
        <w:tblLayout w:type="fixed"/>
        <w:tblCellMar>
          <w:top w:w="28" w:type="dxa"/>
          <w:left w:w="28" w:type="dxa"/>
          <w:bottom w:w="28" w:type="dxa"/>
          <w:right w:w="28" w:type="dxa"/>
        </w:tblCellMar>
      </w:tblPr>
      <w:tblGrid>
        <w:gridCol w:w="2184"/>
        <w:gridCol w:w="1909"/>
        <w:gridCol w:w="1951"/>
        <w:gridCol w:w="211"/>
        <w:gridCol w:w="796"/>
        <w:gridCol w:w="109"/>
        <w:gridCol w:w="109"/>
        <w:gridCol w:w="109"/>
        <w:gridCol w:w="109"/>
        <w:gridCol w:w="211"/>
        <w:gridCol w:w="796"/>
        <w:gridCol w:w="154"/>
      </w:tblGrid>
      <w:tr>
        <w:trPr/>
        <w:tc>
          <w:tcPr>
            <w:tcW w:w="2184"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6044" w:type="dxa"/>
            <w:gridSpan w:val="3"/>
            <w:tcBorders/>
            <w:tcMar>
              <w:top w:w="0" w:type="dxa"/>
              <w:left w:w="0" w:type="dxa"/>
              <w:bottom w:w="0" w:type="dxa"/>
              <w:right w:w="0" w:type="dxa"/>
            </w:tcMar>
            <w:vAlign w:val="center"/>
          </w:tcPr>
          <w:p>
            <w:pPr>
              <w:pStyle w:val="TableContents"/>
              <w:bidi w:val="0"/>
              <w:spacing w:before="53" w:after="30"/>
              <w:ind w:left="0" w:right="0" w:firstLine="360"/>
              <w:jc w:val="both"/>
              <w:rPr/>
            </w:pPr>
            <w:r>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44" w:type="dxa"/>
            <w:gridSpan w:val="3"/>
            <w:tcBorders/>
            <w:tcMar>
              <w:top w:w="0" w:type="dxa"/>
              <w:left w:w="0" w:type="dxa"/>
              <w:bottom w:w="0" w:type="dxa"/>
              <w:right w:w="0" w:type="dxa"/>
            </w:tcMar>
            <w:vAlign w:val="center"/>
          </w:tcPr>
          <w:p>
            <w:pPr>
              <w:pStyle w:val="TableContents"/>
              <w:bidi w:val="0"/>
              <w:spacing w:before="53" w:after="30"/>
              <w:ind w:left="0" w:right="0" w:firstLine="360"/>
              <w:jc w:val="both"/>
              <w:rPr/>
            </w:pPr>
            <w:r>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53" w:after="30"/>
              <w:ind w:left="0" w:right="0" w:firstLine="360"/>
              <w:jc w:val="both"/>
              <w:rPr/>
            </w:pPr>
            <w:r>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market value of warrant and earn-out contingent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and comprehensive loss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(85,742)</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tbl>
      <w:tblPr>
        <w:tblW w:w="6806" w:type="dxa"/>
        <w:jc w:val="left"/>
        <w:tblInd w:w="0" w:type="dxa"/>
        <w:tblLayout w:type="fixed"/>
        <w:tblCellMar>
          <w:top w:w="28" w:type="dxa"/>
          <w:left w:w="28" w:type="dxa"/>
          <w:bottom w:w="28" w:type="dxa"/>
          <w:right w:w="28" w:type="dxa"/>
        </w:tblCellMar>
      </w:tblPr>
      <w:tblGrid>
        <w:gridCol w:w="733"/>
        <w:gridCol w:w="644"/>
        <w:gridCol w:w="64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316"/>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decreased by $12.5 million, or 35%, to $48.7 million for the three months ended June 30, 2023, from $36.2 million for the three months ended June 30, 2022. </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Diagnostic test revenue period over period overall increased by $12.6 million, or 37%, to $46.6 million for the three months ended June 30, 2023, from $34.0 million for the three months ended June 30, 2022. The increase was attributable to the inclusion of $17.3 million in revenues from Legacy GeneDx following the closing of the Acquisition in April 2022, and as result of a significant increase in whole exome and genome sequencing test volumes and a $3.3 million increase for the partial release of a third party payor in reserve established in prior periods. This was partially offset by a decrease of $7.3 million with the Company’s decision to discontinue the Legacy Sema4 reproductive health and somatic oncology testing activities in 2022. </w:t>
      </w:r>
    </w:p>
    <w:p>
      <w:pPr>
        <w:pStyle w:val="TextBody"/>
        <w:bidi w:val="0"/>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decreased by a nominal amount from the three months ended June 30, 2022 to the three months ended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Cost of Services</w:t>
      </w:r>
    </w:p>
    <w:tbl>
      <w:tblPr>
        <w:tblW w:w="6325" w:type="dxa"/>
        <w:jc w:val="left"/>
        <w:tblInd w:w="0" w:type="dxa"/>
        <w:tblLayout w:type="fixed"/>
        <w:tblCellMar>
          <w:top w:w="28" w:type="dxa"/>
          <w:left w:w="28" w:type="dxa"/>
          <w:bottom w:w="28" w:type="dxa"/>
          <w:right w:w="28" w:type="dxa"/>
        </w:tblCellMar>
      </w:tblPr>
      <w:tblGrid>
        <w:gridCol w:w="504"/>
        <w:gridCol w:w="444"/>
        <w:gridCol w:w="446"/>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316"/>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both"/>
        <w:rPr/>
      </w:pPr>
      <w:r>
        <w:rPr>
          <w:rFonts w:ascii="Times New Roman;sans-serif" w:hAnsi="Times New Roman;sans-serif"/>
          <w:b w:val="false"/>
          <w:color w:val="000000"/>
          <w:sz w:val="20"/>
        </w:rPr>
        <w:t>Cost of services decreased by $35.8 million, or 54%, to $29.9 million for the three months ended June 30, 2023, from $65.8 million for the three months ended June 30, 2022. The decrease was primarily attributable to a $45.1 million decrease in cost of services as a result of the discontinuance of Legacy Sema4’s reproductive health and somatic oncology testing activities, and a $1.5 million decrease in stock-based compensation expense primarily due to the reversal of the expense based on forfeitures of unvested equity awards. This was offset by the inclusion of $10.2 million of Legacy GeneDx’s cost of services following the closing of the Acquisition in April 2022.</w:t>
      </w:r>
      <w:r>
        <w:rPr>
          <w:color w:val="000000"/>
          <w:shd w:fill="FFFFFF" w:val="clear"/>
        </w:rPr>
        <w:t>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tbl>
      <w:tblPr>
        <w:tblW w:w="7240" w:type="dxa"/>
        <w:jc w:val="left"/>
        <w:tblInd w:w="0" w:type="dxa"/>
        <w:tblLayout w:type="fixed"/>
        <w:tblCellMar>
          <w:top w:w="28" w:type="dxa"/>
          <w:left w:w="28" w:type="dxa"/>
          <w:bottom w:w="28" w:type="dxa"/>
          <w:right w:w="28" w:type="dxa"/>
        </w:tblCellMar>
      </w:tblPr>
      <w:tblGrid>
        <w:gridCol w:w="837"/>
        <w:gridCol w:w="734"/>
        <w:gridCol w:w="738"/>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decreased by $10.0 million, or 37%, to $17.1 million for the three months ended June 30, 2023, from $27.2 million for the three months ended June 30, 2022. The decrease was primarily attributable to a $6.0 million decrease in Legacy Sema4 research and development costs as a result of restructuring activities announced in 2022, and a $7.2 million decrease in stock-based compensation expense primarily due to the reversal of the expense based on forfeitures of unvested equity awards. The decrease was partially offset by the inclusion of $3.1 million of Legacy GeneDx research and development costs following the closing of the Acquisition in April 2022.</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Selling and Marketing</w:t>
      </w:r>
    </w:p>
    <w:tbl>
      <w:tblPr>
        <w:tblW w:w="6851" w:type="dxa"/>
        <w:jc w:val="left"/>
        <w:tblInd w:w="0" w:type="dxa"/>
        <w:tblLayout w:type="fixed"/>
        <w:tblCellMar>
          <w:top w:w="28" w:type="dxa"/>
          <w:left w:w="28" w:type="dxa"/>
          <w:bottom w:w="28" w:type="dxa"/>
          <w:right w:w="28" w:type="dxa"/>
        </w:tblCellMar>
      </w:tblPr>
      <w:tblGrid>
        <w:gridCol w:w="694"/>
        <w:gridCol w:w="611"/>
        <w:gridCol w:w="615"/>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316"/>
      </w:tblGrid>
      <w:tr>
        <w:trPr/>
        <w:tc>
          <w:tcPr>
            <w:tcW w:w="69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 decreased by $17.6 million, or 54%, to $15.2 million for the three months ended June 30, 2023, from $32.8 million for the three months ended June 30, 2022. The decrease was primarily attributable to the decrease of $23.4 million in selling and marketing costs associated with the discontinuance of Legacy Sema4’s reproductive health and somatic oncology testing activities, and a $1.4 million decrease in stock-based compensation expense primarily due to the reversal of the expense based on forfeitures of unvested equity awards. This decrease was partially offset by the inclusion of $7.7 million of Legacy GeneDx costs following the closing of the Acquisition in April 2022.</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7240" w:type="dxa"/>
        <w:jc w:val="left"/>
        <w:tblInd w:w="0" w:type="dxa"/>
        <w:tblLayout w:type="fixed"/>
        <w:tblCellMar>
          <w:top w:w="28" w:type="dxa"/>
          <w:left w:w="28" w:type="dxa"/>
          <w:bottom w:w="28" w:type="dxa"/>
          <w:right w:w="28" w:type="dxa"/>
        </w:tblCellMar>
      </w:tblPr>
      <w:tblGrid>
        <w:gridCol w:w="837"/>
        <w:gridCol w:w="735"/>
        <w:gridCol w:w="737"/>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 decreased by $34.0 million, or 48%, to $37.3 million for the three months ended June 30, 2023, from $71.3 million for the three months ended June 30, 2022. The decrease was primarily attributable to costs associated with the discontinuance of Legacy Sema4’s reproductive health and somatic oncology testing activities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4605" cy="14605"/>
                <wp:effectExtent l="0" t="0" r="0" b="0"/>
                <wp:wrapNone/>
                <wp:docPr id="49" name="Frame48"/>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prior year, which reflects a decrease in overall headcount costs, including $12.5 million of lower stock-based compensation expense resulting from forfeitures of unvested equity awards and $2.9 million of lower restructuring costs. In addition, prior year costs include $9.1 million of transaction and business integration costs associated with the Legacy GeneDx Acquisition. This decrease was partially offset by the inclusion of $9.9 million of Legacy GeneDx costs following the closing of the Acquisition in April 2022.</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Related Party Expenses</w:t>
      </w:r>
    </w:p>
    <w:tbl>
      <w:tblPr>
        <w:tblW w:w="6481" w:type="dxa"/>
        <w:jc w:val="left"/>
        <w:tblInd w:w="0" w:type="dxa"/>
        <w:tblLayout w:type="fixed"/>
        <w:tblCellMar>
          <w:top w:w="28" w:type="dxa"/>
          <w:left w:w="28" w:type="dxa"/>
          <w:bottom w:w="28" w:type="dxa"/>
          <w:right w:w="28" w:type="dxa"/>
        </w:tblCellMar>
      </w:tblPr>
      <w:tblGrid>
        <w:gridCol w:w="722"/>
        <w:gridCol w:w="634"/>
        <w:gridCol w:w="638"/>
        <w:gridCol w:w="213"/>
        <w:gridCol w:w="622"/>
        <w:gridCol w:w="110"/>
        <w:gridCol w:w="110"/>
        <w:gridCol w:w="110"/>
        <w:gridCol w:w="110"/>
        <w:gridCol w:w="213"/>
        <w:gridCol w:w="622"/>
        <w:gridCol w:w="110"/>
        <w:gridCol w:w="109"/>
        <w:gridCol w:w="109"/>
        <w:gridCol w:w="109"/>
        <w:gridCol w:w="211"/>
        <w:gridCol w:w="541"/>
        <w:gridCol w:w="109"/>
        <w:gridCol w:w="109"/>
        <w:gridCol w:w="109"/>
        <w:gridCol w:w="109"/>
        <w:gridCol w:w="218"/>
        <w:gridCol w:w="218"/>
        <w:gridCol w:w="316"/>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expenses decreased by $0.7 million, or 39%, to $1.1 million for the three months ended June 30, 2023, from $1.7 million for the three months ended June 30, 2022. The decrease was primarily attributable to the expiration of a majority of the services provided by OPKO under the OPKO Transition Services Agreement.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net</w:t>
      </w:r>
    </w:p>
    <w:tbl>
      <w:tblPr>
        <w:tblW w:w="5601" w:type="dxa"/>
        <w:jc w:val="left"/>
        <w:tblInd w:w="0" w:type="dxa"/>
        <w:tblLayout w:type="fixed"/>
        <w:tblCellMar>
          <w:top w:w="28" w:type="dxa"/>
          <w:left w:w="28" w:type="dxa"/>
          <w:bottom w:w="28" w:type="dxa"/>
          <w:right w:w="28" w:type="dxa"/>
        </w:tblCellMar>
      </w:tblPr>
      <w:tblGrid>
        <w:gridCol w:w="331"/>
        <w:gridCol w:w="291"/>
        <w:gridCol w:w="292"/>
        <w:gridCol w:w="270"/>
        <w:gridCol w:w="270"/>
        <w:gridCol w:w="246"/>
        <w:gridCol w:w="246"/>
        <w:gridCol w:w="246"/>
        <w:gridCol w:w="246"/>
        <w:gridCol w:w="246"/>
        <w:gridCol w:w="246"/>
        <w:gridCol w:w="246"/>
        <w:gridCol w:w="109"/>
        <w:gridCol w:w="109"/>
        <w:gridCol w:w="109"/>
        <w:gridCol w:w="211"/>
        <w:gridCol w:w="541"/>
        <w:gridCol w:w="109"/>
        <w:gridCol w:w="203"/>
        <w:gridCol w:w="203"/>
        <w:gridCol w:w="109"/>
        <w:gridCol w:w="203"/>
        <w:gridCol w:w="203"/>
        <w:gridCol w:w="316"/>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54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2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net increased by $0.3 million for the three months ended June 30, 2023, from zero for the three months ended June 30, 2022. The increase was due primarily to gain of $3.0 million recognized on the sale of certain assets sold as a result of an auction held during the current period. This was partially offset by a $2.6 million inventory reserve established during the second quarter of 2023 for obsolete inventory.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tbl>
      <w:tblPr>
        <w:tblW w:w="5954" w:type="dxa"/>
        <w:jc w:val="left"/>
        <w:tblInd w:w="0" w:type="dxa"/>
        <w:tblLayout w:type="fixed"/>
        <w:tblCellMar>
          <w:top w:w="28" w:type="dxa"/>
          <w:left w:w="28" w:type="dxa"/>
          <w:bottom w:w="28" w:type="dxa"/>
          <w:right w:w="28" w:type="dxa"/>
        </w:tblCellMar>
      </w:tblPr>
      <w:tblGrid>
        <w:gridCol w:w="494"/>
        <w:gridCol w:w="433"/>
        <w:gridCol w:w="437"/>
        <w:gridCol w:w="228"/>
        <w:gridCol w:w="667"/>
        <w:gridCol w:w="118"/>
        <w:gridCol w:w="118"/>
        <w:gridCol w:w="118"/>
        <w:gridCol w:w="118"/>
        <w:gridCol w:w="228"/>
        <w:gridCol w:w="505"/>
        <w:gridCol w:w="118"/>
        <w:gridCol w:w="109"/>
        <w:gridCol w:w="109"/>
        <w:gridCol w:w="109"/>
        <w:gridCol w:w="211"/>
        <w:gridCol w:w="616"/>
        <w:gridCol w:w="109"/>
        <w:gridCol w:w="109"/>
        <w:gridCol w:w="109"/>
        <w:gridCol w:w="109"/>
        <w:gridCol w:w="233"/>
        <w:gridCol w:w="233"/>
        <w:gridCol w:w="316"/>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$1.3 million, to $1.7 million for the three months ended June 30, 2023, from $0.4 million for the three months ended June 30, 2022 due to increase in the average cash balances held in our interest-bearing and money market deposit accounts and increases in interest rates.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tbl>
      <w:tblPr>
        <w:tblW w:w="5834" w:type="dxa"/>
        <w:jc w:val="left"/>
        <w:tblInd w:w="0" w:type="dxa"/>
        <w:tblLayout w:type="fixed"/>
        <w:tblCellMar>
          <w:top w:w="28" w:type="dxa"/>
          <w:left w:w="28" w:type="dxa"/>
          <w:bottom w:w="28" w:type="dxa"/>
          <w:right w:w="28" w:type="dxa"/>
        </w:tblCellMar>
      </w:tblPr>
      <w:tblGrid>
        <w:gridCol w:w="516"/>
        <w:gridCol w:w="452"/>
        <w:gridCol w:w="456"/>
        <w:gridCol w:w="228"/>
        <w:gridCol w:w="586"/>
        <w:gridCol w:w="118"/>
        <w:gridCol w:w="118"/>
        <w:gridCol w:w="118"/>
        <w:gridCol w:w="118"/>
        <w:gridCol w:w="228"/>
        <w:gridCol w:w="586"/>
        <w:gridCol w:w="118"/>
        <w:gridCol w:w="109"/>
        <w:gridCol w:w="109"/>
        <w:gridCol w:w="109"/>
        <w:gridCol w:w="211"/>
        <w:gridCol w:w="466"/>
        <w:gridCol w:w="109"/>
        <w:gridCol w:w="109"/>
        <w:gridCol w:w="109"/>
        <w:gridCol w:w="109"/>
        <w:gridCol w:w="218"/>
        <w:gridCol w:w="218"/>
        <w:gridCol w:w="316"/>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by a nominal amount from the three months ended June 30, 2022 to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Income (Expense) </w:t>
      </w:r>
    </w:p>
    <w:tbl>
      <w:tblPr>
        <w:tblW w:w="5623" w:type="dxa"/>
        <w:jc w:val="left"/>
        <w:tblInd w:w="0" w:type="dxa"/>
        <w:tblLayout w:type="fixed"/>
        <w:tblCellMar>
          <w:top w:w="28" w:type="dxa"/>
          <w:left w:w="28" w:type="dxa"/>
          <w:bottom w:w="28" w:type="dxa"/>
          <w:right w:w="28" w:type="dxa"/>
        </w:tblCellMar>
      </w:tblPr>
      <w:tblGrid>
        <w:gridCol w:w="440"/>
        <w:gridCol w:w="386"/>
        <w:gridCol w:w="389"/>
        <w:gridCol w:w="277"/>
        <w:gridCol w:w="474"/>
        <w:gridCol w:w="143"/>
        <w:gridCol w:w="143"/>
        <w:gridCol w:w="143"/>
        <w:gridCol w:w="143"/>
        <w:gridCol w:w="277"/>
        <w:gridCol w:w="474"/>
        <w:gridCol w:w="143"/>
        <w:gridCol w:w="109"/>
        <w:gridCol w:w="109"/>
        <w:gridCol w:w="109"/>
        <w:gridCol w:w="211"/>
        <w:gridCol w:w="361"/>
        <w:gridCol w:w="109"/>
        <w:gridCol w:w="109"/>
        <w:gridCol w:w="109"/>
        <w:gridCol w:w="109"/>
        <w:gridCol w:w="269"/>
        <w:gridCol w:w="271"/>
        <w:gridCol w:w="316"/>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increased by a nominal amount from the three months ended June 30, 2022 to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Comparison of the six months ended June 30, 2023 and 2022</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periods presented:</w:t>
      </w:r>
    </w:p>
    <w:tbl>
      <w:tblPr>
        <w:tblW w:w="8858" w:type="dxa"/>
        <w:jc w:val="left"/>
        <w:tblInd w:w="0" w:type="dxa"/>
        <w:tblLayout w:type="fixed"/>
        <w:tblCellMar>
          <w:top w:w="28" w:type="dxa"/>
          <w:left w:w="28" w:type="dxa"/>
          <w:bottom w:w="28" w:type="dxa"/>
          <w:right w:w="28" w:type="dxa"/>
        </w:tblCellMar>
      </w:tblPr>
      <w:tblGrid>
        <w:gridCol w:w="2184"/>
        <w:gridCol w:w="1909"/>
        <w:gridCol w:w="1951"/>
        <w:gridCol w:w="211"/>
        <w:gridCol w:w="901"/>
        <w:gridCol w:w="109"/>
        <w:gridCol w:w="109"/>
        <w:gridCol w:w="109"/>
        <w:gridCol w:w="109"/>
        <w:gridCol w:w="211"/>
        <w:gridCol w:w="901"/>
        <w:gridCol w:w="154"/>
      </w:tblGrid>
      <w:tr>
        <w:trPr/>
        <w:tc>
          <w:tcPr>
            <w:tcW w:w="2184"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044" w:type="dxa"/>
            <w:gridSpan w:val="3"/>
            <w:tcBorders/>
            <w:tcMar>
              <w:top w:w="0" w:type="dxa"/>
              <w:left w:w="0" w:type="dxa"/>
              <w:bottom w:w="0" w:type="dxa"/>
              <w:right w:w="0" w:type="dxa"/>
            </w:tcMar>
            <w:vAlign w:val="center"/>
          </w:tcPr>
          <w:p>
            <w:pPr>
              <w:pStyle w:val="TableContents"/>
              <w:bidi w:val="0"/>
              <w:spacing w:before="53" w:after="30"/>
              <w:ind w:left="0" w:right="0" w:firstLine="360"/>
              <w:jc w:val="both"/>
              <w:rPr/>
            </w:pPr>
            <w:r>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44" w:type="dxa"/>
            <w:gridSpan w:val="3"/>
            <w:tcBorders/>
            <w:tcMar>
              <w:top w:w="0" w:type="dxa"/>
              <w:left w:w="0" w:type="dxa"/>
              <w:bottom w:w="0" w:type="dxa"/>
              <w:right w:w="0" w:type="dxa"/>
            </w:tcMar>
            <w:vAlign w:val="center"/>
          </w:tcPr>
          <w:p>
            <w:pPr>
              <w:pStyle w:val="TableContents"/>
              <w:bidi w:val="0"/>
              <w:spacing w:before="53" w:after="30"/>
              <w:ind w:left="0" w:right="0" w:firstLine="360"/>
              <w:jc w:val="both"/>
              <w:rPr/>
            </w:pPr>
            <w:r>
              <w:rPr/>
            </w:r>
          </w:p>
        </w:tc>
        <w:tc>
          <w:tcPr>
            <w:tcW w:w="28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53" w:after="30"/>
              <w:ind w:left="0" w:right="0" w:firstLine="360"/>
              <w:jc w:val="both"/>
              <w:rPr/>
            </w:pPr>
            <w:r>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market value of warrant and earn-out contingent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(162,638)</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70" w:type="dxa"/>
        <w:jc w:val="left"/>
        <w:tblInd w:w="0" w:type="dxa"/>
        <w:tblLayout w:type="fixed"/>
        <w:tblCellMar>
          <w:top w:w="28" w:type="dxa"/>
          <w:left w:w="28" w:type="dxa"/>
          <w:bottom w:w="28" w:type="dxa"/>
          <w:right w:w="28" w:type="dxa"/>
        </w:tblCellMar>
      </w:tblPr>
      <w:tblGrid>
        <w:gridCol w:w="733"/>
        <w:gridCol w:w="644"/>
        <w:gridCol w:w="64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64"/>
        <w:gridCol w:w="166"/>
        <w:gridCol w:w="316"/>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increased by $1.7 million, or 2%, to $91.8 million for the six months ended June 30, 2023, from $90.1 million for the three months ended June 30,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Diagnostic test revenue period over period overall increased by $2.0 million, or 2%, to $88.5 million for the six months ended June 30, 2023, from $86.5 million for the six months ended June 30, 2022. The increase was attributable to inclusion of revenue of $51.4 million from Legacy GeneDx following the closing of the Acquisition in April 2022 and a $3.3 million increase for the partial release of a third party payor reserve established in prior periods. This was partially offset by $52.8 million due to the Company’s decision to discontinue the Legacy Sema4 reproductive health and somatic oncology testing activities in 2022. </w:t>
      </w:r>
    </w:p>
    <w:p>
      <w:pPr>
        <w:pStyle w:val="TextBody"/>
        <w:bidi w:val="0"/>
        <w:spacing w:before="0" w:after="180"/>
        <w:ind w:left="0" w:right="0" w:firstLine="360"/>
        <w:jc w:val="both"/>
        <w:rPr/>
      </w:pPr>
      <w:r>
        <w:rPr/>
      </w:r>
    </w:p>
    <w:p>
      <w:pPr>
        <w:pStyle w:val="TextBody"/>
        <w:bidi w:val="0"/>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decreased by a nominal amount from the six months ended June 30, 2022 to the six months ended June 30, 2023.</w:t>
      </w:r>
    </w:p>
    <w:tbl>
      <w:tblPr>
        <w:tblW w:w="6430" w:type="dxa"/>
        <w:jc w:val="left"/>
        <w:tblInd w:w="0" w:type="dxa"/>
        <w:tblLayout w:type="fixed"/>
        <w:tblCellMar>
          <w:top w:w="28" w:type="dxa"/>
          <w:left w:w="28" w:type="dxa"/>
          <w:bottom w:w="28" w:type="dxa"/>
          <w:right w:w="28" w:type="dxa"/>
        </w:tblCellMar>
      </w:tblPr>
      <w:tblGrid>
        <w:gridCol w:w="504"/>
        <w:gridCol w:w="444"/>
        <w:gridCol w:w="446"/>
        <w:gridCol w:w="211"/>
        <w:gridCol w:w="721"/>
        <w:gridCol w:w="109"/>
        <w:gridCol w:w="109"/>
        <w:gridCol w:w="109"/>
        <w:gridCol w:w="109"/>
        <w:gridCol w:w="211"/>
        <w:gridCol w:w="826"/>
        <w:gridCol w:w="109"/>
        <w:gridCol w:w="109"/>
        <w:gridCol w:w="109"/>
        <w:gridCol w:w="109"/>
        <w:gridCol w:w="211"/>
        <w:gridCol w:w="796"/>
        <w:gridCol w:w="109"/>
        <w:gridCol w:w="109"/>
        <w:gridCol w:w="109"/>
        <w:gridCol w:w="109"/>
        <w:gridCol w:w="218"/>
        <w:gridCol w:w="218"/>
        <w:gridCol w:w="316"/>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decreased by $56.2 million, or 49%, to $57.9 million for the six months ended June 30, 2023, from $114.1 million for the six months ended June 30, 2022. The decrease was primarily attributable to a $87.3 million decrease in cost of services as a result of the discontinuance of Legacy Sema4’s reproductive health and somatic oncology testing activities, and a $4.6 million decrease in stock-based compensation expense primarily due to the reversal of the expense based on forfeitures of unvested equity awards. This was offset by the inclusion of $35.5 million of Legacy GeneDx’s cost of services following the closing of the Acquisition in April 2022.</w:t>
      </w:r>
    </w:p>
    <w:tbl>
      <w:tblPr>
        <w:tblW w:w="7240" w:type="dxa"/>
        <w:jc w:val="left"/>
        <w:tblInd w:w="0" w:type="dxa"/>
        <w:tblLayout w:type="fixed"/>
        <w:tblCellMar>
          <w:top w:w="28" w:type="dxa"/>
          <w:left w:w="28" w:type="dxa"/>
          <w:bottom w:w="28" w:type="dxa"/>
          <w:right w:w="28" w:type="dxa"/>
        </w:tblCellMar>
      </w:tblPr>
      <w:tblGrid>
        <w:gridCol w:w="837"/>
        <w:gridCol w:w="734"/>
        <w:gridCol w:w="738"/>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decreased by $16.8 million, or 35%, to $31.7 million for the six months ended June 30, 2023, from $48.5 million for the six months ended June 30, 2022. The decrease was primarily attributable to a $13.0 million decrease in Legacy Sema4 research and development costs as a result of restructuring activities announced in 2022, and a $10.6 million decrease in stock-based compensation expense primarily due to the reversal of the expense based on forfeitures of unvested equity awards. The decrease was partially offset by the inclusion of $7.0 million of Legacy GeneDx research and development costs following the closing of the Acquisition in April 2022.</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Selling and Marketing</w:t>
      </w:r>
    </w:p>
    <w:tbl>
      <w:tblPr>
        <w:tblW w:w="6851" w:type="dxa"/>
        <w:jc w:val="left"/>
        <w:tblInd w:w="0" w:type="dxa"/>
        <w:tblLayout w:type="fixed"/>
        <w:tblCellMar>
          <w:top w:w="28" w:type="dxa"/>
          <w:left w:w="28" w:type="dxa"/>
          <w:bottom w:w="28" w:type="dxa"/>
          <w:right w:w="28" w:type="dxa"/>
        </w:tblCellMar>
      </w:tblPr>
      <w:tblGrid>
        <w:gridCol w:w="694"/>
        <w:gridCol w:w="611"/>
        <w:gridCol w:w="615"/>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316"/>
      </w:tblGrid>
      <w:tr>
        <w:trPr/>
        <w:tc>
          <w:tcPr>
            <w:tcW w:w="69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 decreased by $29.8 million, or 51%, to $28.6 million for the six months ended June 30, 2023, from $58.4 million for the six months ended June 30, 2022. The decrease was primarily attributable to the decrease of $46.0 million in selling and marketing costs associated with the discontinuance of Legacy Sema4’s reproductive health and somatic oncology testing activities, and a $3.7 million decrease in stock-based compensation expense primarily due to the reversal of the expense based on forfeitures of unvested equity awards. This decrease was partially offset by the inclusion of $20.0 million of Legacy GeneDx costs following the closing of the Acquisition in April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7345" w:type="dxa"/>
        <w:jc w:val="left"/>
        <w:tblInd w:w="0" w:type="dxa"/>
        <w:tblLayout w:type="fixed"/>
        <w:tblCellMar>
          <w:top w:w="28" w:type="dxa"/>
          <w:left w:w="28" w:type="dxa"/>
          <w:bottom w:w="28" w:type="dxa"/>
          <w:right w:w="28" w:type="dxa"/>
        </w:tblCellMar>
      </w:tblPr>
      <w:tblGrid>
        <w:gridCol w:w="837"/>
        <w:gridCol w:w="735"/>
        <w:gridCol w:w="737"/>
        <w:gridCol w:w="211"/>
        <w:gridCol w:w="721"/>
        <w:gridCol w:w="109"/>
        <w:gridCol w:w="109"/>
        <w:gridCol w:w="109"/>
        <w:gridCol w:w="109"/>
        <w:gridCol w:w="211"/>
        <w:gridCol w:w="826"/>
        <w:gridCol w:w="109"/>
        <w:gridCol w:w="109"/>
        <w:gridCol w:w="109"/>
        <w:gridCol w:w="109"/>
        <w:gridCol w:w="211"/>
        <w:gridCol w:w="796"/>
        <w:gridCol w:w="109"/>
        <w:gridCol w:w="109"/>
        <w:gridCol w:w="109"/>
        <w:gridCol w:w="109"/>
        <w:gridCol w:w="218"/>
        <w:gridCol w:w="218"/>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decreased by $37.0 million, or 31%, to $81.0 million for the six months ended June 30, 2023, from $118.0 million for the six months ended June 30, 2022. The decrease was primarily attributable to the decrease of $39.9 million in general and administrative costs associated with the discontinuance of Legacy Sema4’s reproductive health and somatic oncology testing activities and a $21.2 million decrease in stock-based compensation expense primarily due to the reversal of the expense based on forfeitures of unvested equity awards. This decrease was partially offset by the inclusion of $24.5 million of Legacy GeneDx costs following the closing of the Acquisition in April 2022.</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Related Party Expenses</w:t>
      </w:r>
    </w:p>
    <w:tbl>
      <w:tblPr>
        <w:tblW w:w="6354" w:type="dxa"/>
        <w:jc w:val="left"/>
        <w:tblInd w:w="0" w:type="dxa"/>
        <w:tblLayout w:type="fixed"/>
        <w:tblCellMar>
          <w:top w:w="28" w:type="dxa"/>
          <w:left w:w="28" w:type="dxa"/>
          <w:bottom w:w="28" w:type="dxa"/>
          <w:right w:w="28" w:type="dxa"/>
        </w:tblCellMar>
      </w:tblPr>
      <w:tblGrid>
        <w:gridCol w:w="722"/>
        <w:gridCol w:w="634"/>
        <w:gridCol w:w="638"/>
        <w:gridCol w:w="211"/>
        <w:gridCol w:w="616"/>
        <w:gridCol w:w="109"/>
        <w:gridCol w:w="109"/>
        <w:gridCol w:w="109"/>
        <w:gridCol w:w="109"/>
        <w:gridCol w:w="211"/>
        <w:gridCol w:w="616"/>
        <w:gridCol w:w="109"/>
        <w:gridCol w:w="109"/>
        <w:gridCol w:w="109"/>
        <w:gridCol w:w="109"/>
        <w:gridCol w:w="211"/>
        <w:gridCol w:w="541"/>
        <w:gridCol w:w="109"/>
        <w:gridCol w:w="109"/>
        <w:gridCol w:w="109"/>
        <w:gridCol w:w="109"/>
        <w:gridCol w:w="164"/>
        <w:gridCol w:w="166"/>
        <w:gridCol w:w="316"/>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expenses decreased by $0.2 million, or 7%, to $2.7 million for the six months ended June 30, 2023, from $3.0 million for the six months ended June 30, 2022. The decrease was primarily attributable to the expiration of a majority of the services provided by OPKO under the OPKO Transition Services Agreement.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Impairment Loss</w:t>
      </w:r>
    </w:p>
    <w:tbl>
      <w:tblPr>
        <w:tblW w:w="5973" w:type="dxa"/>
        <w:jc w:val="left"/>
        <w:tblInd w:w="0" w:type="dxa"/>
        <w:tblLayout w:type="fixed"/>
        <w:tblCellMar>
          <w:top w:w="28" w:type="dxa"/>
          <w:left w:w="28" w:type="dxa"/>
          <w:bottom w:w="28" w:type="dxa"/>
          <w:right w:w="28" w:type="dxa"/>
        </w:tblCellMar>
      </w:tblPr>
      <w:tblGrid>
        <w:gridCol w:w="511"/>
        <w:gridCol w:w="448"/>
        <w:gridCol w:w="451"/>
        <w:gridCol w:w="388"/>
        <w:gridCol w:w="228"/>
        <w:gridCol w:w="225"/>
        <w:gridCol w:w="225"/>
        <w:gridCol w:w="225"/>
        <w:gridCol w:w="225"/>
        <w:gridCol w:w="225"/>
        <w:gridCol w:w="225"/>
        <w:gridCol w:w="225"/>
        <w:gridCol w:w="109"/>
        <w:gridCol w:w="109"/>
        <w:gridCol w:w="109"/>
        <w:gridCol w:w="211"/>
        <w:gridCol w:w="616"/>
        <w:gridCol w:w="109"/>
        <w:gridCol w:w="109"/>
        <w:gridCol w:w="109"/>
        <w:gridCol w:w="109"/>
        <w:gridCol w:w="233"/>
        <w:gridCol w:w="233"/>
        <w:gridCol w:w="316"/>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Impairment loss increased by $2.1 million for the six months ended June 30, 2023, from zero for the six months ended June 30, 2022. The increase was due primarily to impairment loss recorded in connection with the lease modification as further described in Note 9, “Leases” in our unaudited condensed consolidated financial statements included within this Quarterly Report.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net</w:t>
      </w:r>
    </w:p>
    <w:tbl>
      <w:tblPr>
        <w:tblW w:w="5454" w:type="dxa"/>
        <w:jc w:val="left"/>
        <w:tblInd w:w="0" w:type="dxa"/>
        <w:tblLayout w:type="fixed"/>
        <w:tblCellMar>
          <w:top w:w="28" w:type="dxa"/>
          <w:left w:w="28" w:type="dxa"/>
          <w:bottom w:w="28" w:type="dxa"/>
          <w:right w:w="28" w:type="dxa"/>
        </w:tblCellMar>
      </w:tblPr>
      <w:tblGrid>
        <w:gridCol w:w="331"/>
        <w:gridCol w:w="291"/>
        <w:gridCol w:w="292"/>
        <w:gridCol w:w="310"/>
        <w:gridCol w:w="230"/>
        <w:gridCol w:w="225"/>
        <w:gridCol w:w="225"/>
        <w:gridCol w:w="225"/>
        <w:gridCol w:w="225"/>
        <w:gridCol w:w="225"/>
        <w:gridCol w:w="225"/>
        <w:gridCol w:w="225"/>
        <w:gridCol w:w="109"/>
        <w:gridCol w:w="109"/>
        <w:gridCol w:w="109"/>
        <w:gridCol w:w="211"/>
        <w:gridCol w:w="541"/>
        <w:gridCol w:w="109"/>
        <w:gridCol w:w="203"/>
        <w:gridCol w:w="203"/>
        <w:gridCol w:w="109"/>
        <w:gridCol w:w="203"/>
        <w:gridCol w:w="203"/>
        <w:gridCol w:w="316"/>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54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22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net increased by $0.3 million for the six months ended June 30, 2023, from zero for the six months ended June 30, 2022. The increase was due primarily to gain of $3.0 million recognized on the sale of certain assets sold as a result of an auction held during the current period. This was partially offset by a $2.6 million inventory reserve established during the second quarter of 2023 for obsolete inventory.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4605" cy="14605"/>
                <wp:effectExtent l="0" t="0" r="0" b="0"/>
                <wp:wrapNone/>
                <wp:docPr id="53" name="Frame5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Interest Income</w:t>
      </w:r>
    </w:p>
    <w:tbl>
      <w:tblPr>
        <w:tblW w:w="5785" w:type="dxa"/>
        <w:jc w:val="left"/>
        <w:tblInd w:w="0" w:type="dxa"/>
        <w:tblLayout w:type="fixed"/>
        <w:tblCellMar>
          <w:top w:w="28" w:type="dxa"/>
          <w:left w:w="28" w:type="dxa"/>
          <w:bottom w:w="28" w:type="dxa"/>
          <w:right w:w="28" w:type="dxa"/>
        </w:tblCellMar>
      </w:tblPr>
      <w:tblGrid>
        <w:gridCol w:w="494"/>
        <w:gridCol w:w="433"/>
        <w:gridCol w:w="437"/>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33"/>
        <w:gridCol w:w="233"/>
        <w:gridCol w:w="316"/>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$2.0 million, or 495%, to $2.4 million for the six months ended June 30, 2023, from $0.4 million for the six months ended June 30, 2022. The increase was due to increases in the average cash balances held in our interest-bearing and money market deposit accounts and increases in interest rates.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tbl>
      <w:tblPr>
        <w:tblW w:w="5965" w:type="dxa"/>
        <w:jc w:val="left"/>
        <w:tblInd w:w="0" w:type="dxa"/>
        <w:tblLayout w:type="fixed"/>
        <w:tblCellMar>
          <w:top w:w="28" w:type="dxa"/>
          <w:left w:w="28" w:type="dxa"/>
          <w:bottom w:w="28" w:type="dxa"/>
          <w:right w:w="28" w:type="dxa"/>
        </w:tblCellMar>
      </w:tblPr>
      <w:tblGrid>
        <w:gridCol w:w="516"/>
        <w:gridCol w:w="452"/>
        <w:gridCol w:w="456"/>
        <w:gridCol w:w="211"/>
        <w:gridCol w:w="691"/>
        <w:gridCol w:w="109"/>
        <w:gridCol w:w="109"/>
        <w:gridCol w:w="109"/>
        <w:gridCol w:w="109"/>
        <w:gridCol w:w="211"/>
        <w:gridCol w:w="691"/>
        <w:gridCol w:w="109"/>
        <w:gridCol w:w="109"/>
        <w:gridCol w:w="109"/>
        <w:gridCol w:w="109"/>
        <w:gridCol w:w="211"/>
        <w:gridCol w:w="466"/>
        <w:gridCol w:w="109"/>
        <w:gridCol w:w="109"/>
        <w:gridCol w:w="109"/>
        <w:gridCol w:w="109"/>
        <w:gridCol w:w="218"/>
        <w:gridCol w:w="218"/>
        <w:gridCol w:w="316"/>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by a nominal amount from the six months ended June 30, 2022 to June 30, 2023.</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Income </w:t>
      </w:r>
    </w:p>
    <w:tbl>
      <w:tblPr>
        <w:tblW w:w="5681" w:type="dxa"/>
        <w:jc w:val="left"/>
        <w:tblInd w:w="0" w:type="dxa"/>
        <w:tblLayout w:type="fixed"/>
        <w:tblCellMar>
          <w:top w:w="28" w:type="dxa"/>
          <w:left w:w="28" w:type="dxa"/>
          <w:bottom w:w="28" w:type="dxa"/>
          <w:right w:w="28" w:type="dxa"/>
        </w:tblCellMar>
      </w:tblPr>
      <w:tblGrid>
        <w:gridCol w:w="440"/>
        <w:gridCol w:w="386"/>
        <w:gridCol w:w="389"/>
        <w:gridCol w:w="219"/>
        <w:gridCol w:w="641"/>
        <w:gridCol w:w="113"/>
        <w:gridCol w:w="113"/>
        <w:gridCol w:w="113"/>
        <w:gridCol w:w="113"/>
        <w:gridCol w:w="219"/>
        <w:gridCol w:w="376"/>
        <w:gridCol w:w="113"/>
        <w:gridCol w:w="109"/>
        <w:gridCol w:w="109"/>
        <w:gridCol w:w="109"/>
        <w:gridCol w:w="211"/>
        <w:gridCol w:w="616"/>
        <w:gridCol w:w="109"/>
        <w:gridCol w:w="109"/>
        <w:gridCol w:w="109"/>
        <w:gridCol w:w="109"/>
        <w:gridCol w:w="269"/>
        <w:gridCol w:w="271"/>
        <w:gridCol w:w="316"/>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200" w:after="283"/>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increased by $2.8 million, or 100%, for the six months ended June 30, 2023, from a nominal amount mainly due to the principal loan forgiveness under the amendment to the DECD loan. See Note 8. “Long-Term Debt” in our unaudited condensed consolidated financial statements included within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Reconciliation of Non-GAAP Financial Measures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all expenditures or future requirements for capital expenditures or contractual commitments;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our working capital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costs of replacing the assets being depreciated, which will often have to be replaced in the future;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non-cash component of employee compensation expense;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impact of earnings or charges resulting from matters we consider not to be reflective, on a recurring basis, of our ongoing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Adjusted Gross Profit and Adjusted Gross Margin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Gross Profit is a non-GAAP financial measure that we define as revenue less cost of services, excluding depreciation and amortization expense,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gross profit to our Adjusted Gross Profit and of our gross margin to Adjusted Gross Margin for the three months ended June 30, 2023 and 2022:</w:t>
      </w:r>
    </w:p>
    <w:tbl>
      <w:tblPr>
        <w:tblW w:w="5844" w:type="dxa"/>
        <w:jc w:val="left"/>
        <w:tblInd w:w="0" w:type="dxa"/>
        <w:tblLayout w:type="fixed"/>
        <w:tblCellMar>
          <w:top w:w="28" w:type="dxa"/>
          <w:left w:w="28" w:type="dxa"/>
          <w:bottom w:w="28" w:type="dxa"/>
          <w:right w:w="28" w:type="dxa"/>
        </w:tblCellMar>
      </w:tblPr>
      <w:tblGrid>
        <w:gridCol w:w="1193"/>
        <w:gridCol w:w="1051"/>
        <w:gridCol w:w="1056"/>
        <w:gridCol w:w="211"/>
        <w:gridCol w:w="736"/>
        <w:gridCol w:w="109"/>
        <w:gridCol w:w="109"/>
        <w:gridCol w:w="109"/>
        <w:gridCol w:w="109"/>
        <w:gridCol w:w="211"/>
        <w:gridCol w:w="796"/>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(29,598)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(82)%</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costs</w:t>
            </w:r>
            <w:r>
              <w:rPr>
                <w:color w:val="000000"/>
              </w:rPr>
              <w:t xml:space="preserve"> </w:t>
            </w:r>
            <w:r>
              <w:rPr>
                <w:rFonts w:ascii="Times New Roman;sans-serif" w:hAnsi="Times New Roman;sans-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color w:val="000000"/>
                <w:sz w:val="20"/>
              </w:rPr>
            </w:pPr>
            <w:r>
              <w:rPr>
                <w:rFonts w:ascii="Times New Roman;sans-serif" w:hAnsi="Times New Roman;sans-serif"/>
                <w:b/>
                <w:color w:val="000000"/>
                <w:sz w:val="20"/>
              </w:rPr>
              <w:t xml:space="preserve">Adjusted Gross Profit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20,254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(24,267)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both"/>
              <w:rPr/>
            </w:pPr>
            <w:r>
              <w:rPr>
                <w:rFonts w:ascii="Times New Roman;sans-serif" w:hAnsi="Times New Roman;sans-serif"/>
                <w:b/>
                <w:color w:val="000000"/>
                <w:sz w:val="20"/>
                <w:shd w:fill="BFE4FF" w:val="clear"/>
              </w:rPr>
              <w:t>Adjusted Gross Margin</w:t>
            </w:r>
            <w:r>
              <w:rPr>
                <w:color w:val="000000"/>
                <w:shd w:fill="BFE4FF" w:val="clear"/>
              </w:rPr>
              <w:t xml:space="preserve"> </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(67)%</w:t>
            </w:r>
          </w:p>
        </w:tc>
      </w:tr>
    </w:tbl>
    <w:p>
      <w:pPr>
        <w:pStyle w:val="TextBody"/>
        <w:bidi w:val="0"/>
        <w:spacing w:lineRule="auto" w:line="288" w:before="2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24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(1)Represent costs incurred for restructuring activities, which include severance packages offered to impacted employees and third party consulting costs incurred during the periods presented.</w:t>
      </w:r>
    </w:p>
    <w:tbl>
      <w:tblPr>
        <w:tblW w:w="5844" w:type="dxa"/>
        <w:jc w:val="left"/>
        <w:tblInd w:w="0" w:type="dxa"/>
        <w:tblLayout w:type="fixed"/>
        <w:tblCellMar>
          <w:top w:w="28" w:type="dxa"/>
          <w:left w:w="28" w:type="dxa"/>
          <w:bottom w:w="28" w:type="dxa"/>
          <w:right w:w="28" w:type="dxa"/>
        </w:tblCellMar>
      </w:tblPr>
      <w:tblGrid>
        <w:gridCol w:w="1193"/>
        <w:gridCol w:w="1051"/>
        <w:gridCol w:w="1056"/>
        <w:gridCol w:w="211"/>
        <w:gridCol w:w="736"/>
        <w:gridCol w:w="109"/>
        <w:gridCol w:w="109"/>
        <w:gridCol w:w="109"/>
        <w:gridCol w:w="109"/>
        <w:gridCol w:w="211"/>
        <w:gridCol w:w="796"/>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33,993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(23,973)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costs</w:t>
            </w:r>
            <w:r>
              <w:rPr>
                <w:color w:val="000000"/>
              </w:rPr>
              <w:t xml:space="preserve"> </w:t>
            </w:r>
            <w:r>
              <w:rPr>
                <w:rFonts w:ascii="Times New Roman;sans-serif" w:hAnsi="Times New Roman;sans-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color w:val="000000"/>
                <w:sz w:val="20"/>
              </w:rPr>
            </w:pPr>
            <w:r>
              <w:rPr>
                <w:rFonts w:ascii="Times New Roman;sans-serif" w:hAnsi="Times New Roman;sans-serif"/>
                <w:b/>
                <w:color w:val="000000"/>
                <w:sz w:val="20"/>
              </w:rPr>
              <w:t xml:space="preserve">Adjusted Gross Profit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34,487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(14,339)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both"/>
              <w:rPr/>
            </w:pPr>
            <w:r>
              <w:rPr>
                <w:rFonts w:ascii="Times New Roman;sans-serif" w:hAnsi="Times New Roman;sans-serif"/>
                <w:b/>
                <w:color w:val="000000"/>
                <w:sz w:val="20"/>
                <w:shd w:fill="BFE4FF" w:val="clear"/>
              </w:rPr>
              <w:t>Adjusted Gross Margin</w:t>
            </w:r>
            <w:r>
              <w:rPr>
                <w:color w:val="000000"/>
                <w:shd w:fill="BFE4FF" w:val="clear"/>
              </w:rPr>
              <w:t xml:space="preserve"> </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(16)%</w:t>
            </w:r>
          </w:p>
        </w:tc>
      </w:tr>
    </w:tbl>
    <w:p>
      <w:pPr>
        <w:pStyle w:val="TextBody"/>
        <w:bidi w:val="0"/>
        <w:spacing w:lineRule="auto" w:line="288" w:before="2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24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(1)Represent costs incurred for restructuring activities, which include severance packages offered to impacted employees and third party consulting costs incurred during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non-GAAP financial measure that we define as net loss adjusted for interest expense (income), net, income tax benefit, depreciation and amortization, stock-based compensation expenses, transaction costs, other (income) expense, net, impairment loss, restructuring and business exit related charges, acquisition costs and change in fair market value of warrant and earn-out contingent liabilities. We believe Adjusted EBITDA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our net loss to Adjusted EBITDA for the three months ended June 30, 2023 and 2022:</w:t>
      </w:r>
    </w:p>
    <w:tbl>
      <w:tblPr>
        <w:tblW w:w="9226" w:type="dxa"/>
        <w:jc w:val="left"/>
        <w:tblInd w:w="0" w:type="dxa"/>
        <w:tblLayout w:type="fixed"/>
        <w:tblCellMar>
          <w:top w:w="28" w:type="dxa"/>
          <w:left w:w="28" w:type="dxa"/>
          <w:bottom w:w="28" w:type="dxa"/>
          <w:right w:w="28" w:type="dxa"/>
        </w:tblCellMar>
      </w:tblPr>
      <w:tblGrid>
        <w:gridCol w:w="2239"/>
        <w:gridCol w:w="1951"/>
        <w:gridCol w:w="1990"/>
        <w:gridCol w:w="211"/>
        <w:gridCol w:w="796"/>
        <w:gridCol w:w="109"/>
        <w:gridCol w:w="109"/>
        <w:gridCol w:w="109"/>
        <w:gridCol w:w="109"/>
        <w:gridCol w:w="211"/>
        <w:gridCol w:w="901"/>
        <w:gridCol w:w="491"/>
      </w:tblGrid>
      <w:tr>
        <w:trPr/>
        <w:tc>
          <w:tcPr>
            <w:tcW w:w="223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6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(85,742)</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expense, net </w:t>
            </w:r>
            <w:r>
              <w:rPr>
                <w:rFonts w:ascii="Times New Roman;sans-serif" w:hAnsi="Times New Roman;sans-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w:t>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(49,077)</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22,721 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Transaction, acquisition and business integration costs </w:t>
            </w:r>
            <w:r>
              <w:rPr>
                <w:rFonts w:ascii="Times New Roman;sans-serif" w:hAnsi="Times New Roman;sans-serif"/>
                <w:b w:val="false"/>
                <w:color w:val="000000"/>
                <w:sz w:val="13"/>
              </w:rPr>
              <w:t>(2)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costs</w:t>
            </w:r>
            <w:r>
              <w:rPr>
                <w:color w:val="000000"/>
              </w:rPr>
              <w:t xml:space="preserve"> </w:t>
            </w:r>
            <w:r>
              <w:rPr>
                <w:rFonts w:ascii="Times New Roman;sans-serif" w:hAnsi="Times New Roman;sans-serif"/>
                <w:b w:val="false"/>
                <w:color w:val="000000"/>
                <w:sz w:val="13"/>
              </w:rPr>
              <w:t>(3)</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Change in fair market value of financial liabilities </w:t>
            </w:r>
            <w:r>
              <w:rPr>
                <w:rFonts w:ascii="Times New Roman;sans-serif" w:hAnsi="Times New Roman;sans-serif"/>
                <w:b w:val="false"/>
                <w:color w:val="000000"/>
                <w:sz w:val="13"/>
              </w:rPr>
              <w:t>(4)</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(28,182)</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party payor reserve release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excess and obsolete inventory associated with Legacy Sema4</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(43,117)</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(115,033)</w:t>
            </w:r>
          </w:p>
        </w:tc>
        <w:tc>
          <w:tcPr>
            <w:tcW w:w="49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(1)Represents the total of interest expense related to our finance leases and interest-bearing loans and interest income earned on money market funds. This also includes the unused line fee and amortization of deferred transaction costs related to the loan and security agreement entered into with Silicon Valley Bank.</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(2)2022 amounts represent professional service costs incurred in connection with the Legacy GeneDx Acquisition, which include due diligence and legal costs.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(3)Represent costs incurred for restructuring activities, which include severance packages offered to impacted employees and third party consulting costs incurred during the periods presented.</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(4)Represents the change in fair market value of the liabilities associated with our public warrants, private placement warrants and the earn-out shares that were issuable under the terms of the merger agreement for our business combination.</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our net loss to Adjusted EBITDA for the six months ended June 30, 2023 and 2022:</w:t>
      </w:r>
    </w:p>
    <w:tbl>
      <w:tblPr>
        <w:tblW w:w="9375" w:type="dxa"/>
        <w:jc w:val="left"/>
        <w:tblInd w:w="0" w:type="dxa"/>
        <w:tblLayout w:type="fixed"/>
        <w:tblCellMar>
          <w:top w:w="28" w:type="dxa"/>
          <w:left w:w="28" w:type="dxa"/>
          <w:bottom w:w="28" w:type="dxa"/>
          <w:right w:w="28" w:type="dxa"/>
        </w:tblCellMar>
      </w:tblPr>
      <w:tblGrid>
        <w:gridCol w:w="2255"/>
        <w:gridCol w:w="1965"/>
        <w:gridCol w:w="2004"/>
        <w:gridCol w:w="211"/>
        <w:gridCol w:w="901"/>
        <w:gridCol w:w="109"/>
        <w:gridCol w:w="109"/>
        <w:gridCol w:w="109"/>
        <w:gridCol w:w="109"/>
        <w:gridCol w:w="211"/>
        <w:gridCol w:w="901"/>
        <w:gridCol w:w="491"/>
      </w:tblGrid>
      <w:tr>
        <w:trPr/>
        <w:tc>
          <w:tcPr>
            <w:tcW w:w="2255"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(162,638)</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expense, net </w:t>
            </w:r>
            <w:r>
              <w:rPr>
                <w:rFonts w:ascii="Times New Roman;sans-serif" w:hAnsi="Times New Roman;sans-serif"/>
                <w:b w:val="false"/>
                <w:color w:val="000000"/>
                <w:sz w:val="13"/>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(49,077)</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14,767 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40,280 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Transaction, acquisition and business integration costs </w:t>
            </w:r>
            <w:r>
              <w:rPr>
                <w:rFonts w:ascii="Times New Roman;sans-serif" w:hAnsi="Times New Roman;sans-serif"/>
                <w:b w:val="false"/>
                <w:color w:val="000000"/>
                <w:sz w:val="13"/>
              </w:rPr>
              <w:t>(2)</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costs</w:t>
            </w:r>
            <w:r>
              <w:rPr>
                <w:color w:val="000000"/>
              </w:rPr>
              <w:t xml:space="preserve"> </w:t>
            </w:r>
            <w:r>
              <w:rPr>
                <w:rFonts w:ascii="Times New Roman;sans-serif" w:hAnsi="Times New Roman;sans-serif"/>
                <w:b w:val="false"/>
                <w:color w:val="000000"/>
                <w:sz w:val="13"/>
              </w:rPr>
              <w:t>(3)</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9,561 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Change in fair market value of financial liabilities </w:t>
            </w:r>
            <w:r>
              <w:rPr>
                <w:rFonts w:ascii="Times New Roman;sans-serif" w:hAnsi="Times New Roman;sans-serif"/>
                <w:b w:val="false"/>
                <w:color w:val="000000"/>
                <w:sz w:val="13"/>
              </w:rPr>
              <w:t>(4)</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(41,372)</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party payor reserve release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excess and obsolete inventory associated with Legacy Sema4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income, net </w:t>
            </w:r>
            <w:r>
              <w:rPr>
                <w:rFonts w:ascii="Times New Roman;sans-serif" w:hAnsi="Times New Roman;sans-serif"/>
                <w:b w:val="false"/>
                <w:color w:val="000000"/>
                <w:sz w:val="13"/>
              </w:rPr>
              <w:t>(5)</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(173,910)</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(1)Represents the total of interest expense related to our finance leases and interest-bearing loans and interest income earned on money market funds. This also includes the unused line fee and amortization of deferred transaction costs related to the loan and security agreement entered into with Silicon Valley Bank.</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(2)2022 amounts represent professional service costs incurred in connection with the Legacy GeneDx Acquisition, which include due diligence and legal costs.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(3)Represent costs incurred for restructuring activities, which include severance packages offered to impacted employees and third party consulting costs incurred during the periods presented.</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(4)Represents the change in fair market value of the liabilities associated with our public warrants, private placement warrants and the earn-out shares that were issuable under the terms of the merger agreement for our business combination.</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(5)For the six months ended June 30, 2023, the amount includes $2.8 million of gain on debt forgiveness under the amendment to the DECD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6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upon the closing of the Acquisition, we received gross proceeds of $200 million from the issuance of 1.5 million shares of our Class A common stock pursuant to the Acquisition PIPE Investment. The gross proceeds were partially used to pay for the cash consideration of the Acquisition and transaction costs incurred in connection with the Acquisition.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2023, we announced the closing of an underwritten public offering of 9,956,710 shares of our Class A common stock and a concurrent registered direct offering of 2,353,436 shares of our Class A common stock. On April 17, 2023, we issued the remaining 676,868 shares of our Class A common stock in the registered direct offering. The total gross proceeds were approximately $150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believes that our cash and cash equivalents provide us with sufficient liquidity for at least twelve months from the filing date of this Quarterly Report.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the condensed consolidated financial statements included in this Quarterly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the entry into other credit facilities or another form of third-party funding or by seeking other debt financing. For example, we have an effective shelf registration statement that we filed with the SEC in August of 2022, registering $300 million shares of our Class A common stock and other securities. Following the underwritten and registered direct offerings described above, approximately $150 million of securities remained available under this registration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Material Cash Requirements for Known Contractual Obligations and Commitments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We anticipate fulfilling our contractual obligations and commitments with existing cash and cash equivalents, which amounted to $156.7 million as of June 30, 2023, or through additional capital raised to finance our operations; see “</w:t>
      </w:r>
      <w:r>
        <w:rPr>
          <w:rFonts w:ascii="Times New Roman;sans-serif" w:hAnsi="Times New Roman;sans-serif"/>
          <w:b w:val="false"/>
          <w:i/>
          <w:color w:val="000000"/>
          <w:sz w:val="20"/>
        </w:rPr>
        <w:t>Liquidity and Capital Resources</w:t>
      </w:r>
      <w:r>
        <w:rPr>
          <w:color w:val="000000"/>
        </w:rPr>
        <w:t>”</w:t>
      </w:r>
      <w:r>
        <w:rPr>
          <w:rFonts w:ascii="Times New Roman;sans-serif" w:hAnsi="Times New Roman;sans-serif"/>
          <w:b w:val="false"/>
          <w:color w:val="000000"/>
          <w:sz w:val="20"/>
        </w:rPr>
        <w:t>.</w:t>
      </w:r>
    </w:p>
    <w:p>
      <w:pPr>
        <w:pStyle w:val="TextBody"/>
        <w:bidi w:val="0"/>
        <w:spacing w:before="20" w:after="283"/>
        <w:ind w:left="0" w:right="0" w:firstLine="36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 xml:space="preserve">Our future minimum payments under non-cancellable operating lease agreements were $70.3 million as of June 30, 2023 and $80.1 million as of December 31, 2022. Our future payments under finance leases were $33.2 million as of June 30, 2023 and $60.8 million as of December 31, 2022. The timing of these future payments, by year, can be found in our audited financial statements in Note 9, </w:t>
      </w:r>
      <w:r>
        <w:rPr>
          <w:color w:val="000000"/>
        </w:rPr>
        <w:t>“</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included within our Annual Report on Form 10-K for the year ended December 31, 2022, and our unaudited condensed consolidated financial statements in Note 9, </w:t>
      </w:r>
      <w:r>
        <w:rPr>
          <w:color w:val="000000"/>
        </w:rPr>
        <w:t>“</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included within this Quarterly Report, respectively.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 xml:space="preserve">We entered into a settlement agreement related to the Legacy Sema4 business with one of our third-party payors in 2022, in order to settle the claims related to coverage and billing matters allegedly resulting in overpayments by the payor to the Legacy Sema4 business including those related to multi-gene tests, such as carrier screening services. Under the settlement agreement, the total settlement amount is $42 million, to be paid by us to the payor in a series of installments over the next four years with the final installment payment scheduled to be on or before June 30, 2026. The first installment payment of $15 million was made on December 30, 2022 and the next installment of $5.0 million is due in December 2023. In consideration for the payments, the payor has agreed to provide releases of the disputed claims, which releases became effective on or about March 31, 2023. For more information regarding this matter, see Note 4, </w:t>
      </w:r>
      <w:r>
        <w:rPr>
          <w:color w:val="000000"/>
        </w:rPr>
        <w:t>“</w:t>
      </w:r>
      <w:r>
        <w:rPr>
          <w:rFonts w:ascii="Times New Roman;sans-serif" w:hAnsi="Times New Roman;sans-serif"/>
          <w:b w:val="false"/>
          <w:i/>
          <w:color w:val="000000"/>
          <w:sz w:val="20"/>
        </w:rPr>
        <w:t xml:space="preserve">Revenue Recognition” </w:t>
      </w:r>
      <w:r>
        <w:rPr>
          <w:rFonts w:ascii="Times New Roman;sans-serif" w:hAnsi="Times New Roman;sans-serif"/>
          <w:b w:val="false"/>
          <w:color w:val="000000"/>
          <w:sz w:val="20"/>
        </w:rPr>
        <w:t xml:space="preserve">included within our Annual Report on Form 10-K for the year ended December 31, 2022, and our unaudited condensed consolidated financial statements in Note 4, </w:t>
      </w:r>
      <w:r>
        <w:rPr>
          <w:color w:val="000000"/>
        </w:rPr>
        <w:t>“</w:t>
      </w:r>
      <w:r>
        <w:rPr>
          <w:rFonts w:ascii="Times New Roman;sans-serif" w:hAnsi="Times New Roman;sans-serif"/>
          <w:b w:val="false"/>
          <w:i/>
          <w:color w:val="000000"/>
          <w:sz w:val="20"/>
        </w:rPr>
        <w:t>Revenue Recognition,”</w:t>
      </w:r>
      <w:r>
        <w:rPr>
          <w:color w:val="000000"/>
        </w:rPr>
        <w:t xml:space="preserve"> </w:t>
      </w:r>
      <w:r>
        <w:rPr>
          <w:rFonts w:ascii="Times New Roman;sans-serif" w:hAnsi="Times New Roman;sans-serif"/>
          <w:b w:val="false"/>
          <w:color w:val="000000"/>
          <w:sz w:val="20"/>
        </w:rPr>
        <w:t xml:space="preserve">included within this Quarterly Report, respectively.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Cash Flows</w:t>
      </w:r>
    </w:p>
    <w:tbl>
      <w:tblPr>
        <w:tblW w:w="7029" w:type="dxa"/>
        <w:jc w:val="left"/>
        <w:tblInd w:w="0" w:type="dxa"/>
        <w:tblLayout w:type="fixed"/>
        <w:tblCellMar>
          <w:top w:w="28" w:type="dxa"/>
          <w:left w:w="28" w:type="dxa"/>
          <w:bottom w:w="28" w:type="dxa"/>
          <w:right w:w="28" w:type="dxa"/>
        </w:tblCellMar>
      </w:tblPr>
      <w:tblGrid>
        <w:gridCol w:w="1525"/>
        <w:gridCol w:w="1343"/>
        <w:gridCol w:w="1347"/>
        <w:gridCol w:w="211"/>
        <w:gridCol w:w="901"/>
        <w:gridCol w:w="109"/>
        <w:gridCol w:w="109"/>
        <w:gridCol w:w="109"/>
        <w:gridCol w:w="109"/>
        <w:gridCol w:w="211"/>
        <w:gridCol w:w="90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during the six months ended June 30, 2023 was $109.1 million, which was primarily attributable to a net loss of $107.7 million, a gain on sale of assets of $3.0 million and a gain on debt forgiveness of $2.8 million. This was partially offset by non-cash depreciation and amortization of $19.0 million, an impairment loss of $2.1 million and a provision for excess and obsolete inventory of $2.6 million. The net change in our operating assets and liabilities primarily reflected a $10.2 million decrease in accounts receivable primarily resulting from our decision to discontinue Legacy Sema4 reproductive health and somatic oncology testing activities in 2022, and a $5.4 million decrease in prepaid expenses and other current assets mainly driven by the amortization of insurance policy premiums. Additionally, there was a reduction of $25.4 million in accounts payable and accrued expenses primarily driven by the wind down of the Legacy Sema4 business and a $5.6 million decrease in other current liabilities was mainly driven by the payment of 2022 performance bonuses.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during the six months ended June 30, 2022 was $166.1 million, which was primarily attributable to a net loss of $162.6 million and a change in fair value of the warrant and earn-out liabilities of $41.4 million and an income tax benefit of $49.1 million. This was partially offset by non-cash depreciation and amortization of $14.8 million, non-cash stock-based compensation expense of $40.3 million, a provision for excess and obsolete inventory of $0.4 million and non-cash lease expense of $0.3 million. The net change in our operating assets and liabilities primarily reflected a $2.3 million increase in inventories driven by an increase in reagents and a reduction in inventory reserves, a $35.7 million increase in accounts payable and accrued expenses driven by reserves for refunds to insurance carriers established during the second quarter of 2022, a $4.8 million decrease in other current liabilities mainly driven by the payment of 2021 bonuses, offset by the accrual of the 2022 expected bonus payment, a $2.4 million decrease in accounts receivable primarily from institutional payors and a $2.9 million decrease in prepaid expenses and other current assets mainly driven by the amortization of insurance policy premiums.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six months ended June 30, 2023 was $11.7 million, which was primarily attributable to the $12.1 million in consideration on escrow paid for the Legacy GeneDx Acquisition.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six months ended June 30, 2022 was $134.2 million, which was attributable to $127 million cash consideration for the Acquisition of Legacy GeneDx, $2.7 million in purchases of property and equipment and $4.5 million of costs related to development of internal-use software assets.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six months ended June 30, 2023 was $140.0 million, which was primarily driven by the $143.0 million net proceeds from the underwritten public offering and concurrent registered direct offering, net of issuance costs, which was offset partially by the DECD loan payment of $2 million and $1.2 million of finance lease payments.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six months ended June 30, 2022 was $197.9 million, which was driven by proceeds from the Acquisition PIPE Investment, net of issuance costs of $197.7 million, and the exercise of stock options of $1.8 million which was offset by $1.6 million of finance lease principal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as compared to the critical accounting policies and estimates disclosed in our audited consolidated financial statements and notes thereto included within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JOBS Act Accounting Election</w:t>
      </w:r>
    </w:p>
    <w:p>
      <w:pPr>
        <w:pStyle w:val="TextBody"/>
        <w:bidi w:val="0"/>
        <w:spacing w:lineRule="auto" w:line="288" w:before="20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remain an emerging growth company until the earliest of (1) September 1, 2025, (2) the last day of the fiscal year in which we have total annual gross revenue of at least $1.235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Additional information on recent accounting pronouncements can be found in the audited financial statements in Note 2, </w:t>
      </w:r>
      <w:r>
        <w:rPr>
          <w:color w:val="000000"/>
        </w:rPr>
        <w:t>“</w:t>
      </w:r>
      <w:r>
        <w:rPr>
          <w:rFonts w:ascii="Times New Roman;sans-serif" w:hAnsi="Times New Roman;sans-serif"/>
          <w:b w:val="false"/>
          <w:i/>
          <w:color w:val="000000"/>
          <w:sz w:val="20"/>
        </w:rPr>
        <w:t xml:space="preserve">Summary of Significant Accounting Policies” </w:t>
      </w:r>
      <w:r>
        <w:rPr>
          <w:rFonts w:ascii="Times New Roman;sans-serif" w:hAnsi="Times New Roman;sans-serif"/>
          <w:b w:val="false"/>
          <w:color w:val="000000"/>
          <w:sz w:val="20"/>
        </w:rPr>
        <w:t xml:space="preserve">included within our Annual Report on Form 10-K for the year ended December 31, 2022, and our unaudited condensed consolidated financial statements in Note 2, </w:t>
      </w:r>
      <w:r>
        <w:rPr>
          <w:color w:val="000000"/>
        </w:rPr>
        <w:t>“</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included within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We are exposed to market risks in the ordinary course of our business. These risks primarily relate to interest rates. Our cash, cash equivalents, and restricted cash consists of bank deposits and money market funds, which totaled $157.6 million as of June 30, 2023 and $138.3 million as of December 31, 2022, respectively.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w:t>
      </w:r>
      <w:r>
        <w:rPr>
          <w:rFonts w:ascii="Times New Roman;sans-serif" w:hAnsi="Times New Roman;sans-serif"/>
          <w:b w:val="false"/>
          <w:color w:val="000000"/>
          <w:sz w:val="20"/>
          <w:shd w:fill="FFFFFF" w:val="clear"/>
        </w:rPr>
        <w:t xml:space="preserve">A 100 basis point change in interest rates would not have a material effect on the fair market value of our cash, cash equivalents and restricted cash. The majority of our cash, cash equivalents and restricted cash are uninsured with account balances in excess of the Federal Deposit Insurance Company limits. On March 14, 2023, we announced full access to our capital with nearly 100% of the Company’s cash and cash equivalents held in an institution designated as systematically important financial institutions. </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The revolving credit facility under the SVB Agreement includes variable interest rate terms for the outstanding principal amount of any advance. Therefore, changes change in interest rates can impact our interest payments we are obligated to pay. As of June 30, 2023, no amounts had been drawn under the SVB Agreement. Additional information on our long-term debt can be found in our audited financial statements in Note 8, </w:t>
      </w:r>
      <w:r>
        <w:rPr>
          <w:color w:val="000000"/>
        </w:rPr>
        <w:t>“</w:t>
      </w:r>
      <w:r>
        <w:rPr>
          <w:rFonts w:ascii="Times New Roman;sans-serif" w:hAnsi="Times New Roman;sans-serif"/>
          <w:b w:val="false"/>
          <w:i/>
          <w:color w:val="000000"/>
          <w:sz w:val="20"/>
        </w:rPr>
        <w:t xml:space="preserve">Long-Term Debt” </w:t>
      </w:r>
      <w:r>
        <w:rPr>
          <w:rFonts w:ascii="Times New Roman;sans-serif" w:hAnsi="Times New Roman;sans-serif"/>
          <w:b w:val="false"/>
          <w:color w:val="000000"/>
          <w:sz w:val="20"/>
        </w:rPr>
        <w:t xml:space="preserve">and our unaudited condensed consolidated financial statements in Note 8, </w:t>
      </w:r>
      <w:r>
        <w:rPr>
          <w:color w:val="000000"/>
        </w:rPr>
        <w:t>“</w:t>
      </w:r>
      <w:r>
        <w:rPr>
          <w:rFonts w:ascii="Times New Roman;sans-serif" w:hAnsi="Times New Roman;sans-serif"/>
          <w:b w:val="false"/>
          <w:i/>
          <w:color w:val="000000"/>
          <w:sz w:val="20"/>
        </w:rPr>
        <w:t>Long-Term Debt.”</w:t>
      </w:r>
    </w:p>
    <w:p>
      <w:pPr>
        <w:pStyle w:val="TextBody"/>
        <w:bidi w:val="0"/>
        <w:spacing w:before="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Rules 13a-15 and 15d-15 under the Exchange Act, our Chief Executive Officer and Chief Financial Officer carried out an evaluation of the effectiveness of the design and operation of our disclosure controls and procedures as of June 30, 2023. Based on that evaluation, our Chief Executive Officer and Chief Financial Officer concluded that our disclosure controls and procedures were not effective as of June 30, 2023 because of the material weaknesses in internal control over financial reporting as of December 31, 2022 that we previously identified in Item 9A. “Controls and Procedures” of our Annual Report on Form 10-K for the year ended December 31, 2022 has not been fully remediated as of June 30,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identified material weaknesses in internal control over financial reporting, our management has concluded that our condensed consolidated financial statements included in the Quarterly Report on Form 10-Q are fairly stated in all material respects in accordance with accounting principles generally accepted in the United States of America (“U.S. GAAP”).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Previously Reported Material Weaknesses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more detail in Item 9A. “Controls and Procedures” of our Annual Report on Form 10-K for the year ended December 31, 2022, the material weaknesses identified related to the fact that we did not design and maintain accounting policies, procedures and controls to ensure complete, accurate and timely financial reporting in accordance with U.S. GAAP.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Remediation Plan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actively engaged and committed to taking the steps necessary to remediate the control deficiencies that constituted the material weaknesses. The Company has continued to improve its organizational capabilities and continues to implement processes and controls to remediate the material weaknesses. Remediation actions undertaken during 2022 and planned are described in more detail in Item 9A. “Controls and Procedures” of our Annual Report on Form 10-K for the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performed certain remediation activities to strengthen our controls to address the identified material weaknesses, control weaknesses are not considered remediated until new internal controls have been operational for a period of time, are tested, and management concludes that these controls are operating effectively. We will continue to monitor the effectiveness of our remediation measures in connection with our future assessments of the effectiveness of internal control over financial reporting and disclosure controls and procedures, and we will make any changes to the design of our plan and take such other actions that we deem appropriate given the circumstances.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There was no change in our internal control over financial reporting that occurred during the six months ended June 30, 2023 covered by this Quarterly Report on Form 10-Q that has materially affected, or is reasonably likely to materially affect, our internal control over financial reporting, except that on January 1, 2023 a majority of the services provided by OPKO under the OPKO Transition Services Agreement that had been in place since the date of Acquisition related to certain accounting processes and financial systems expired. We are continuing to take steps to remediate the material weaknesses in our internal control over financial reporting, as discussed above.</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Inherent Limitation on the Effectiveness of Internal Control</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pStyle w:val="TextBody"/>
        <w:bidi w:val="0"/>
        <w:spacing w:before="2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below, we, and our subsidiaries, are currently not a party to, and our property is not currently the subject of, any material pending legal proceedings; however, we may become involved in various claims and legal actions arising in the ordinary course of business.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7, 2022, a shareholder class action lawsuit was filed in the United States District Court for the District of Connecticut against the Company and certain of the Company’s current and former officers. Following the appointment of a lead plaintiff, an amended complaint was filed on January 30, 2023. As amended, the complaint purports to bring suit on behalf of stockholders who purchased the Company’s publicly traded securities between March 14, 2022 and August 15, 2022. The complaint purports to allege that defendants made false and misleading statements about the Company’s business, operations and prospects in violation of Sections 10(b) and 20(a) of the Securities Exchange Act of 1934, and seeks unspecified compensatory damages, fees and costs. The Company believes the allegations and claims made in the complaint are without merit.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7, 2023, a stockholder commenced a lawsuit in the Delaware Court of Chancery. The suit was brought as a class action on behalf of stockholders of CMLS who did not redeem their shares in connection with the Business Combination. The suit names as defendants all directors of CMLS at the time of the transaction, including directors who continue to serve on the Company’s board of directors, as well as CMLS Holdings LLC, (the “Former Sponsor”). The Company is not named as a defendant. The complaint alleges that the July 2, 2021 proxy statement mailed to CMLS stockholders in connection with the transaction contained false and misleading statements, and purports to assert a claim of breach of fiduciary duty against all individual defendants, and a similar claim against the Former Sponsor and certain individuals for breach of fiduciary duty as control persons. The suit seeks to recover unspecified damages on behalf of the alleged class, among other relief. After defendants moved to dismiss the case, plaintiff filed an amended complaint on July 6, 2023. The Company believes the allegations and claims made in the amended complaint are without merit The Company is subject to certain claims for advancement and indemnification by the individual defendants in this proceeding.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carefully review and consider the following risk factors and the other information contained in this Quarterly Report on Form 10-Q as well as in our other filings with the SEC before deciding whether to invest in our securities.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securities could decline, and you could lose all or part of your investment. This discussion does not address all of the risks that we face, and we may face additional risks and uncertainties that are not presently known to us, or that we currently deem immaterial, which may also impair our business or financial condition. The following discussion should be read in conjunction with the condensed consolidated financial statements and notes thereto included herein.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subject to a number of risks and uncertainties, including those risks discussed at length below. These risks include, among others, the following: </w:t>
      </w:r>
    </w:p>
    <w:p>
      <w:pPr>
        <w:pStyle w:val="TextBody"/>
        <w:bidi w:val="0"/>
        <w:spacing w:before="0" w:after="0"/>
        <w:ind w:left="0" w:right="0" w:firstLine="36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need to scale our infrastructure in advance of demand for our products and services, and our failure to generate sufficient demand for our products and services would have a negative impact on our business and our ability to attain profitability.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face intense competition. If we do not continue to innovate and provide products and services that are useful to customers, including providers and patients, and partners, we may not remain competitive, which could harm our business and operating results.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have limited experience with the development and commercialization of our databases and our health information and genomic platforms.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need to raise additional capital to fund our existing operations, develop additional products and services, commercialize new products and services or expand our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fail to comply with federal and state laboratory licensing requirements or standards, we could lose the ability to perform our tests or experience disruptions to our business.</w:t>
      </w:r>
    </w:p>
    <w:p>
      <w:pPr>
        <w:pStyle w:val="TextBody"/>
        <w:bidi w:val="0"/>
        <w:spacing w:lineRule="auto" w:line="288" w:before="140" w:after="283"/>
        <w:ind w:left="0" w:right="0" w:hanging="360"/>
        <w:jc w:val="both"/>
        <w:rPr/>
      </w:pPr>
      <w:r>
        <w:rPr>
          <w:color w:val="000000"/>
        </w:rPr>
        <w:t>•</w:t>
      </w:r>
      <w:r>
        <w:rPr>
          <w:rFonts w:ascii="Times New Roman;sans-serif" w:hAnsi="Times New Roman;sans-serif"/>
          <w:b w:val="false"/>
          <w:color w:val="000000"/>
          <w:sz w:val="20"/>
        </w:rPr>
        <w:t>We rely on highly skilled personnel in a broad array of disciplines and, if we are unable to hire, retain or motivate these individuals, or maintain our corporate culture, we may not be able to maintain the quality of our services or grow effectively.</w:t>
      </w:r>
    </w:p>
    <w:p>
      <w:pPr>
        <w:pStyle w:val="TextBody"/>
        <w:bidi w:val="0"/>
        <w:spacing w:lineRule="auto" w:line="288" w:before="140" w:after="283"/>
        <w:ind w:left="0" w:right="0" w:hanging="360"/>
        <w:jc w:val="both"/>
        <w:rPr/>
      </w:pPr>
      <w:r>
        <w:rPr>
          <w:color w:val="000000"/>
        </w:rPr>
        <w:t>•</w:t>
      </w:r>
      <w:r>
        <w:rPr>
          <w:rFonts w:ascii="Times New Roman;sans-serif" w:hAnsi="Times New Roman;sans-serif"/>
          <w:b w:val="false"/>
          <w:color w:val="000000"/>
          <w:sz w:val="20"/>
        </w:rPr>
        <w:t>We rely on a limited number of suppliers or, in some cases, single suppliers, for some of our laboratory instruments and materials and may not be able to find replacements or immediately transition to alternative suppliers or service providers.</w:t>
      </w:r>
    </w:p>
    <w:p>
      <w:pPr>
        <w:pStyle w:val="TextBody"/>
        <w:bidi w:val="0"/>
        <w:spacing w:lineRule="auto" w:line="288" w:before="140" w:after="283"/>
        <w:ind w:left="0" w:right="0" w:hanging="360"/>
        <w:jc w:val="both"/>
        <w:rPr/>
      </w:pPr>
      <w:r>
        <w:rPr>
          <w:color w:val="000000"/>
        </w:rPr>
        <w:t>•</w:t>
      </w:r>
      <w:r>
        <w:rPr>
          <w:rFonts w:ascii="Times New Roman;sans-serif" w:hAnsi="Times New Roman;sans-serif"/>
          <w:b w:val="false"/>
          <w:color w:val="000000"/>
          <w:sz w:val="20"/>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pStyle w:val="TextBody"/>
        <w:bidi w:val="0"/>
        <w:spacing w:lineRule="auto" w:line="288" w:before="140" w:after="283"/>
        <w:ind w:left="0" w:right="0" w:hanging="360"/>
        <w:jc w:val="both"/>
        <w:rPr/>
      </w:pPr>
      <w:r>
        <w:rPr>
          <w:color w:val="000000"/>
        </w:rPr>
        <w:t>•</w:t>
      </w:r>
      <w:r>
        <w:rPr>
          <w:rFonts w:ascii="Times New Roman;sans-serif" w:hAnsi="Times New Roman;sans-serif"/>
          <w:b w:val="false"/>
          <w:color w:val="000000"/>
          <w:sz w:val="20"/>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pStyle w:val="TextBody"/>
        <w:bidi w:val="0"/>
        <w:spacing w:lineRule="auto" w:line="288" w:before="140" w:after="283"/>
        <w:ind w:left="0" w:right="0" w:hanging="360"/>
        <w:jc w:val="both"/>
        <w:rPr/>
      </w:pPr>
      <w:r>
        <w:rPr>
          <w:color w:val="000000"/>
        </w:rPr>
        <w:t>•</w:t>
      </w:r>
      <w:r>
        <w:rPr>
          <w:rFonts w:ascii="Times New Roman;sans-serif" w:hAnsi="Times New Roman;sans-serif"/>
          <w:b w:val="false"/>
          <w:color w:val="000000"/>
          <w:sz w:val="20"/>
        </w:rPr>
        <w:t>Uncertainty in the development and commercialization of our enhanced or new tests or services could materially adversely affect our business, financial condition and results of operations.</w:t>
      </w:r>
    </w:p>
    <w:p>
      <w:pPr>
        <w:pStyle w:val="TextBody"/>
        <w:bidi w:val="0"/>
        <w:spacing w:lineRule="auto" w:line="288" w:before="140" w:after="283"/>
        <w:ind w:left="0" w:right="0" w:hanging="360"/>
        <w:jc w:val="both"/>
        <w:rPr/>
      </w:pPr>
      <w:r>
        <w:rPr>
          <w:color w:val="000000"/>
        </w:rPr>
        <w:t>•</w:t>
      </w:r>
      <w:r>
        <w:rPr>
          <w:rFonts w:ascii="Times New Roman;sans-serif" w:hAnsi="Times New Roman;sans-serif"/>
          <w:b w:val="false"/>
          <w:color w:val="000000"/>
          <w:sz w:val="20"/>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pStyle w:val="TextBody"/>
        <w:bidi w:val="0"/>
        <w:spacing w:lineRule="auto" w:line="288" w:before="140" w:after="283"/>
        <w:ind w:left="0" w:right="0" w:hanging="360"/>
        <w:jc w:val="both"/>
        <w:rPr/>
      </w:pPr>
      <w:r>
        <w:rPr>
          <w:color w:val="000000"/>
        </w:rPr>
        <w:t>•</w:t>
      </w:r>
      <w:r>
        <w:rPr>
          <w:rFonts w:ascii="Times New Roman;sans-serif" w:hAnsi="Times New Roman;sans-serif"/>
          <w:b w:val="false"/>
          <w:color w:val="000000"/>
          <w:sz w:val="20"/>
        </w:rPr>
        <w:t>Our operating results could be subject to significant fluctuation, which could increase the volatility of our stock and warrant prices and cause losses to our stockholders.</w:t>
      </w:r>
    </w:p>
    <w:p>
      <w:pPr>
        <w:pStyle w:val="TextBody"/>
        <w:bidi w:val="0"/>
        <w:spacing w:lineRule="auto" w:line="288" w:before="140" w:after="283"/>
        <w:ind w:left="0" w:right="0" w:hanging="360"/>
        <w:jc w:val="both"/>
        <w:rPr/>
      </w:pPr>
      <w:r>
        <w:rPr>
          <w:color w:val="000000"/>
        </w:rPr>
        <w:t>•</w:t>
      </w:r>
      <w:r>
        <w:rPr>
          <w:rFonts w:ascii="Times New Roman;sans-serif" w:hAnsi="Times New Roman;sans-serif"/>
          <w:b w:val="false"/>
          <w:color w:val="000000"/>
          <w:sz w:val="20"/>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pStyle w:val="TextBody"/>
        <w:bidi w:val="0"/>
        <w:spacing w:lineRule="auto" w:line="288" w:before="140" w:after="283"/>
        <w:ind w:left="0" w:right="0" w:hanging="360"/>
        <w:jc w:val="both"/>
        <w:rPr/>
      </w:pPr>
      <w:r>
        <w:rPr>
          <w:color w:val="000000"/>
        </w:rPr>
        <w:t>•</w:t>
      </w:r>
      <w:r>
        <w:rPr>
          <w:rFonts w:ascii="Times New Roman;sans-serif" w:hAnsi="Times New Roman;sans-serif"/>
          <w:b w:val="false"/>
          <w:color w:val="000000"/>
          <w:sz w:val="20"/>
        </w:rPr>
        <w:t>We may be unable to realize the level of the anticipated benefits that we expect from exiting businesses and restructuring our operations, which may adversely impact our business and results of operations.</w:t>
      </w:r>
    </w:p>
    <w:p>
      <w:pPr>
        <w:pStyle w:val="TextBody"/>
        <w:bidi w:val="0"/>
        <w:spacing w:lineRule="auto" w:line="288" w:before="140" w:after="283"/>
        <w:ind w:left="0" w:right="0" w:hanging="360"/>
        <w:jc w:val="both"/>
        <w:rPr/>
      </w:pPr>
      <w:r>
        <w:rPr>
          <w:color w:val="000000"/>
        </w:rPr>
        <w:t>•</w:t>
      </w:r>
      <w:r>
        <w:rPr>
          <w:rFonts w:ascii="Times New Roman;sans-serif" w:hAnsi="Times New Roman;sans-serif"/>
          <w:b w:val="false"/>
          <w:color w:val="000000"/>
          <w:sz w:val="20"/>
        </w:rPr>
        <w:t>Future changes in FDA enforcement discretion for LDTs could subject our operations to much more significant regulatory requirements.</w:t>
      </w:r>
    </w:p>
    <w:p>
      <w:pPr>
        <w:pStyle w:val="TextBody"/>
        <w:bidi w:val="0"/>
        <w:spacing w:lineRule="auto" w:line="288" w:before="140" w:after="283"/>
        <w:ind w:left="0" w:right="0" w:hanging="360"/>
        <w:jc w:val="both"/>
        <w:rPr/>
      </w:pPr>
      <w:r>
        <w:rPr>
          <w:color w:val="000000"/>
        </w:rPr>
        <w:t>•</w:t>
      </w:r>
      <w:r>
        <w:rPr>
          <w:rFonts w:ascii="Times New Roman;sans-serif" w:hAnsi="Times New Roman;sans-serif"/>
          <w:b w:val="false"/>
          <w:color w:val="000000"/>
          <w:sz w:val="20"/>
        </w:rPr>
        <w:t>Compliance with the HIPAA security, privacy and breach notification regulations may increase our costs.</w:t>
      </w:r>
    </w:p>
    <w:p>
      <w:pPr>
        <w:pStyle w:val="TextBody"/>
        <w:bidi w:val="0"/>
        <w:spacing w:lineRule="auto" w:line="288" w:before="140" w:after="283"/>
        <w:ind w:left="0" w:right="0" w:hanging="360"/>
        <w:jc w:val="both"/>
        <w:rPr/>
      </w:pPr>
      <w:r>
        <w:rPr>
          <w:color w:val="000000"/>
        </w:rPr>
        <w:t>•</w:t>
      </w:r>
      <w:r>
        <w:rPr>
          <w:rFonts w:ascii="Times New Roman;sans-serif" w:hAnsi="Times New Roman;sans-serif"/>
          <w:b w:val="false"/>
          <w:color w:val="000000"/>
          <w:sz w:val="20"/>
        </w:rPr>
        <w:t>We face uncertainty related to healthcare reform, pricing, coverage and reimbursement, which could reduce our revenue.</w:t>
      </w:r>
    </w:p>
    <w:p>
      <w:pPr>
        <w:pStyle w:val="TextBody"/>
        <w:bidi w:val="0"/>
        <w:spacing w:lineRule="auto" w:line="288" w:before="140" w:after="283"/>
        <w:ind w:left="0" w:right="0" w:hanging="360"/>
        <w:jc w:val="both"/>
        <w:rPr/>
      </w:pPr>
      <w:r>
        <w:rPr>
          <w:color w:val="000000"/>
        </w:rPr>
        <w:t>•</w:t>
      </w:r>
      <w:r>
        <w:rPr>
          <w:rFonts w:ascii="Times New Roman;sans-serif" w:hAnsi="Times New Roman;sans-serif"/>
          <w:b w:val="false"/>
          <w:color w:val="000000"/>
          <w:sz w:val="20"/>
        </w:rPr>
        <w:t>Our inability to effectively protect our proprietary products, processes, and technologies, including the confidentiality of our trade secrets, could harm our competitive position.</w:t>
      </w:r>
    </w:p>
    <w:p>
      <w:pPr>
        <w:pStyle w:val="TextBody"/>
        <w:bidi w:val="0"/>
        <w:spacing w:lineRule="auto" w:line="288" w:before="140" w:after="283"/>
        <w:ind w:left="0" w:right="0" w:hanging="360"/>
        <w:jc w:val="both"/>
        <w:rPr/>
      </w:pPr>
      <w:r>
        <w:rPr>
          <w:color w:val="000000"/>
        </w:rPr>
        <w:t>•</w:t>
      </w:r>
      <w:r>
        <w:rPr>
          <w:rFonts w:ascii="Times New Roman;sans-serif" w:hAnsi="Times New Roman;sans-serif"/>
          <w:b w:val="false"/>
          <w:color w:val="000000"/>
          <w:sz w:val="20"/>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6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Industry and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need to scale our infrastructure in advance of demand for our tests, and our failure to generate sufficient demand for our tests would have a negative impact on our business and our ability to attain profitability.</w:t>
      </w:r>
    </w:p>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large part on our ability to extend our market position, to provide customers with high-quality test reports quickly and at a lower price than our competitors, and to achieve sufficient test volume to realize economies of scale. In addition, we regularly evaluate and refine our testing process, often significantly updating our workflows, including with respect to exome sequencing and whole genome sequencing. In order to execute our business model, we intend to continue to invest heavily in order to significantly scale our infrastructure, including our testing capacity, particularly with respect to exome sequencing and whole genome sequencing to supplement our panel testing capabilities and information systems, expand our commercial operations, customer service, billing and systems processes and enhance our internal quality assurance program. We expect that much of this growth will be in advance of demand for our tests. Our current and future expense levels are to a large extent fixed and are largely based on investment plans and estimates of future revenue. Because the timing and amount of revenue from our tests is difficult to forecast, when revenue does not meet expectations, we may not be able to adjust our spending promptly or reduce spending to levels commensurate with our revenue. Even if we successfully scale our infrastructure and operations, there can be no assurance that tests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are not able to continue to generate substantial demand for our tests, our commercial success will be negatively affected.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model assumes that we will be able to generate significant test volume, particularly with respect to exome sequencing and whole genome sequencing in addition to our panel testing offerings, and we may not succeed in continuing to drive adoption of our tests to achieve sufficient volumes. Inasmuch as detailed genetic data from exome and whole genome sequencing has only recently become available at relatively affordable prices, the continued pace and degree of clinical acceptance of the utility of such testing is uncertain. Specifically, it is uncertain how much genetic data will be accepted as necessary or useful, as well as how detailed that data should be, particularly since medical practitioners may have become accustomed to genetic testing that is specific to one or a few genes and may not embrace the utility of exome sequencing and whole genome sequencing. Given the substantial amount of additional information available from a broad-based testing panel such as ours, there may be distrust as to the reliability of such information when compared with more limited and focused genetic tests. To generate further demand for our tests, we will need to continue to make clinicians aware of the benefits of our tests, including the price, the breadth of our testing options, and the benefits of having additional genetic data available from which to make treatment decisions. A lack of or delay in clinical acceptance of our exome sequencing and whole genome sequencing testing, or our legacy broad-based panels testing, would negatively impact sales and market acceptance of our tests and limit our revenue growth and potential profitability. Genetic testing is expensive, and many potential customers may be sensitive to pricing. In addition, potential customers may not adopt our tests if adequate reimbursement is not available, or if we are not able to maintain low prices relative to our competitors.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not able to generate demand for our tests at sufficient volume, or if it takes significantly more time to generate this demand than we anticipate, our business, prospects, financial condition and results of operations could be materially harmed.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our laboratories become inoperable due to disasters, health epidemics or for any other reasons, we will be unable to perform tests and our business will be harmed.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perform all of our exome sequencing and whole genome sequencing tests at our production facilities in Gaithersburg, Maryland. Our laboratories and the equipment we use to perform our tests would be costly to replace and could require substantial lead time to replace and qualify for use. Our laboratories may be harmed or rendered inoperable by natural or man-made disasters, including flooding, fire and power outages, or by health epidemics, which may render it difficult or impossible for us to perform our tests for some period of time. The inability to perform our tests or the backlog that could develop if our laboratories are inoperable for even a short period of time may result in the loss of customers or harm our reputation. Although we maintain insurance for damage to our property and the disruption of our business, this insurance may not be sufficient to cover all potential losses and may not continue to be available to us on acceptable terms, if at all.</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Other companies or institutions may develop and market novel or improved technologies, which may make our technologies less competitive or obsolete.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exome and genome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testing and screening products, including exome and whole genome sequencing products, health information services, and analytics, and data science services, and other diagnostic products. These competitors include: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companies that offer clinical, research and data clinical services, molecular genetic testing and other clinical diagnostics, life science research and drug discovery services, data services and healthcare analytics, and consumer genetics products;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academic and scientific institutions;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governmental agencies;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public and private research organizations.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exome and whole genome sequencing,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face intense competition. If we do not continue to innovate and provide products and services that are useful to customers, including providers and patients, and partners, we may not remain competitive, which could harm our business and operating results.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joint ventures and partnerships, in order to enhance our current diagnostics and health information and data science technologies, and existing and new products and services based off these technologies.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than our Company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genetic testing and screening, health information and data science products and services. Our competitors may be able to innovate and provide products and services faster than we can or may foresee the need for products and services before we do.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genetic testing and screening, health information and data science products and services, our operating results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0" w:after="180"/>
        <w:jc w:val="both"/>
        <w:rPr/>
      </w:pPr>
      <w:r>
        <w:rPr>
          <w:rFonts w:ascii="Times New Roman;sans-serif" w:hAnsi="Times New Roman;sans-serif"/>
          <w:b/>
          <w:i/>
          <w:color w:val="000000"/>
          <w:sz w:val="20"/>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r>
        <w:rPr>
          <w:rFonts w:ascii="Times New Roman;sans-serif" w:hAnsi="Times New Roman;sans-serif"/>
          <w:b w:val="false"/>
          <w:i/>
          <w:color w:val="000000"/>
          <w:sz w:val="20"/>
        </w:rPr>
        <w: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correctly billed, and has received prior authorization. The commercial success of our current and future products, if approved, will depend on the extent to which our customers receive coverage and adequate reimbursement from third-party payors, including managed care organizations and government payers (e.g., Medicare and Medicaid).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(“CMS”).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 payments for our tests are paid or reimbursed under insurance programs with third-party payors. Billing and reimbursement for diagnostic tests is highly complex and closely scrutinized by payors. In particular, billing and reimbursement for multi-gene panel tests and other complex diagnostic tests continues to pose a particular risk of payor audit and potential overpayment obligations. Accurate billing requires sophisticated internal procedures and systems controls and ongoing oversight to ensure compliance with payor requirements.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We have been required to repay certain amounts to payers as a result of such audits, including but not limited to the $42 million settlement regarding certain overpayments to Legacy Sema4 allegedly received from a payor, and may be required to repay other payers for alleged overpayments due to lack of compliance with their reimbursement policies. For more information regarding this matter, see Note 4, “Revenue Recognition” to our unaudited condensed consolidated financial statements included within this Quarterly Report. In addition to potential repayment obligations, failure to comply with payor reimbursement policies could result in government enforcement actions and, potentially, exclusion from certain payor programs, which could have a material adverse effect on our business.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have limited experience with the development and commercialization of our databases and our health information and genomic platforms.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limited experience with the development or commercialization of clinical or research products in connection with the databases we manage and to which we have access, including our Centrellis® platform. Our partners’ usage of an advanced machine learning engine for therapeutic decision-making are at an early stage of development and usage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current and proposed collaborations, and we are continuing to develop 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(“GxP”) and data quality and integrity controls.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need to raise additional capital to fund our existing operations, develop additional products and services, commercialize new products and services or expand our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net losses and negative cash flows from operations since its inception, including net losses of $46.7 million for the six months ended June 30, 2023 and $549.0 million for the year ended December 31, 2022. As of June 30, 2023, we had an accumulated deficit of $1,232.1 million. We expect to continue to generate significant operating losses for the foreseeable future.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seek to sell common or preferred equity or convertible debt securities, enter into a credit facility or another form of third-party funding or seek other debt financing. For example, we have an effective shelf registration statement that we filed with the SEC in August of 2022, registering $300 million shares of our Class A common stock and other securities. Following the applicable closings of our underwritten offering and concurrent registered direct offering of our Class A common stock in January and April 2023, approximately $150 million of securities remained available under this registration statement.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consider raising additional capital in the future to expand our business, to pursue strategic investments, to take advantage of financing opportunities or for other reasons, including to: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increase our sales and marketing efforts to drive market adoption of our current and future products and services;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fund development efforts for our current and future products and services;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expand our products and services into other disease indications and clinical applications;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acquire, license or invest in technologies;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acquire or invest in complementary businesses or assets;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finance capital expenditures and general and administrative expenses.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present and future funding requirements will depend on many factors, including: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achieve revenue growth;</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rate of progress in establishing payor coverage and reimbursement arrangements with commercial third-party payors and government payors;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cost of expanding our laboratory operations and offerings, including our sales and marketing efforts;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rate of progress in, and cost of the sales and marketing activities associated with, establishing adoption of our Centrellis® solution;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rate of progress in, and cost of research and development activities associated with, products and services in research and early development;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effect of competing technological, product and market developments;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costs related to international expansion;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potential cost of and delays in product development as a result of any regulatory oversight applicable to our products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Class A common stock.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Ethical, legal and social concerns related to the use of genomic medicine and health information analysis could reduce demand for our tests.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federal and state laboratory licensing requirements or standards, we could lose the ability to perform our tests or experience disruptions to our business.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Clinical Laboratory Improvement Amendments of 1988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CAP, and other certifications to conduct our tests at our laboratories in Maryland. To renew these certifications, we are subject to survey and inspection on a regular basis and at the request of the certifying bodies. Moreover, CLIA inspectors may make random inspections of our clinical reference laboratories.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would also be required to maintain in-state licenses if we were to conduct testing in other states. Several states require the licensure of out-of-state laboratories that accept specimens from certain states.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having laboratory licenses in New York, our clinical reference laboratories are approved on test-specific bases for the tests they run as laboratory-developed tests (“LDTs”), by the New York State Department of Health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College of American Pathologists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 laboratories. Failure to maintain CAP accreditation could have a material adverse effect on the sales of our tests and the results of our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pStyle w:val="TextBody"/>
        <w:bidi w:val="0"/>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2020, we received $5.4 million as part of the stimulus, comprised of $2.6 million received under the PRF and $2.8 million received under the ERC. In 2021, we received an additional $5.6 million under the PRF distribution. Funds provided under the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Funds provided under the ERC distributions are refundable tax credits for 50% of qualified wages paid to employees during the pandemic. A company is eligible for the ERC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our accounting records, which impacted the applicable periods and calculations for determining eligibility and may no longer meet the eligibility requirements. As such, we have deferred the recognition of the funds received under the ERC distribution and recorded the proceeds in other liabilities on the balance sheets as of June 30, 2023 and December 31, 2022.</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high degree of uncertainty regarding the implementation of the CARES Act, the Consolidated Appropriations Act, 2021, other stimulus legislation and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terms and conditions of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COVID-19 pandemic affected and any similar public health emergency in the future may materially and adversely affect our business and financial results.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pandemic, together with related precautionary measures in response to the pandemic, materially disrupted our business during certain periods in 2021. Although our test volumes improved to what would be considered normalized market conditions during 2022 and continued to be so during the six months ended June 30, 2023, the COVID-19 pandemic, or other similar public health emergencies in the future, may disrupt our business in the future and materially and adversely affect our business and financial results. </w:t>
      </w:r>
    </w:p>
    <w:p>
      <w:pPr>
        <w:pStyle w:val="TextBody"/>
        <w:bidi w:val="0"/>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use artificial intelligence in our business, and challenges with properly managing its use could result in reputational harm, competitive harm, and legal liability, and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incorporate artificial intelligence (“AI”) solutions into our Centrellis® platform to access, combine, curate, and analyze health information, including longitudinal patient medical history data, and these applications may become important in our operations over time. Our competitors or other third parties may incorporate AI into their products and offerings more quickly or more successfully than us, which could impair our ability to compete effectively and adversely affect our results of operations. Additionally, if the content, analyses, or recommendations that AI applications assist in producing are or are alleged to be inaccurate, deficient, or biased, our business, financial condition, and results of operations may be adversely affected. The use of AI applications has resulted in, and may in the future result in, cybersecurity incidents that implicate the personal medical and genetic data of patients analyzed within such applications. Any such cybersecurity incidents related to our use of AI applications to analyze personal data could adversely affect our reputation and results of operations. AI also presents emerging ethical issues and if our use of AI becomes controversial, we may experience brand or reputational harm, competitive harm, or legal liability. The rapid evolution of AI, including potential government regulation of AI and it various uses, will require significant resources to develop, test and maintain our Centrellis® platform, offerings, services, and features to help us implement AI ethically in order to minimize unintended, harmful impact.</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 Model</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highly skilled personnel in a broad array of disciplines and, if we are unable to hire, retain or motivate these individuals, or maintain our corporate culture, we may not be able to maintain the quality of our services or grow effectively.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geographies in which we operate. Further, we may be unable to obtain the necessary visas for foreign personnel to work in the United States.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loss of any member or change in structure of our senior management team could adversely affect our business.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large part upon the skills, experience and performance of key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Chief Executive Officer, Katherine Stueland,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In addition, we do not have long-term retention agreements in place with our executive officers.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not be able to manage our future growth effectively, which could make it difficult to execute our business strategy.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both"/>
        <w:rPr/>
      </w:pPr>
      <w:r>
        <w:rPr>
          <w:rFonts w:ascii="Times New Roman;sans-serif" w:hAnsi="Times New Roman;sans-serif"/>
          <w:b w:val="false"/>
          <w:color w:val="000000"/>
          <w:sz w:val="20"/>
        </w:rPr>
        <w:t>As we grow, any failure of our controls or interruption of our facilities or systems could have a negative impact on our business and financial operations. We plan to develop and launch new versions of our Centrellis</w:t>
      </w:r>
      <w:r>
        <w:rPr>
          <w:rFonts w:ascii="Times New Roman;sans-serif" w:hAnsi="Times New Roman;sans-serif"/>
          <w:b w:val="false"/>
          <w:color w:val="008080"/>
          <w:sz w:val="16"/>
        </w:rPr>
        <w:t>®</w:t>
      </w:r>
      <w:r>
        <w:rPr>
          <w:color w:val="000000"/>
        </w:rPr>
        <w:t xml:space="preserve"> </w:t>
      </w:r>
      <w:r>
        <w:rPr>
          <w:rFonts w:ascii="Times New Roman;sans-serif" w:hAnsi="Times New Roman;sans-serif"/>
          <w:b w:val="false"/>
          <w:color w:val="000000"/>
          <w:sz w:val="20"/>
        </w:rPr>
        <w:t>platform and our core diagnostic products, which will affect a broad range of business processes and functional areas. The time and resources required to implement these new systems is uncertain, and failure to complete these activities in a timely and 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International expansion of our business could expose us to business, regulatory, political, operational, financial and economic risks associated with doing business outside of the United States and Canada.</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multiple, conflicting and changing laws and regulations such as privacy, security and data use regulations, tax laws, export and import restrictions, economic sanctions and embargoes, employment laws, anticorruption laws, regulatory requirements, reimbursement or payor regimes and other governmental approvals, permits and licenses;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failure by us, our collaborators or our distributors to obtain regulatory clearance, authorization or approval for the use of our products and services in various countries;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additional potentially relevant third-party patent rights;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complexities and difficulties in obtaining intellectual property protection and enforcing our intellectual property;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difficulties in staffing and managing foreign operations, including repatriating foreign earned profits;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complexities associated with managing multiple payor reimbursement regimes, government payors or patient self-pay systems;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difficulties in negotiating favorable reimbursement negotiations with governmental authorities;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logistics and regulations associated with shipping samples, including infrastructure conditions and transportation delays;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limits in our ability to penetrate international markets if we are not able to conduct our clinical diagnostic services locally;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financial risks, such as longer payment cycles, difficulty collecting accounts receivable, the impact of local and regional financial crises on demand and payment for our products and services and exposure to foreign currency exchange rate fluctuations;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international regulations and license requirements that may restrict foreign investment in and operation of the internet, IT infrastructure, data centers and other sectors, and international transfers of data;</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natural disasters, political and economic instability, including wars, terrorism and political unrest, and outbreak of disease;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boycotts, curtailment of trade and other business restrictions; and</w:t>
      </w:r>
    </w:p>
    <w:p>
      <w:pPr>
        <w:pStyle w:val="TextBody"/>
        <w:bidi w:val="0"/>
        <w:spacing w:lineRule="auto" w:line="268" w:before="200" w:after="283"/>
        <w:ind w:left="0" w:right="0" w:hanging="360"/>
        <w:jc w:val="left"/>
        <w:rPr/>
      </w:pPr>
      <w:r>
        <w:rPr>
          <w:color w:val="000000"/>
        </w:rPr>
        <w:t>•</w:t>
      </w:r>
      <w:r>
        <w:rPr>
          <w:rFonts w:ascii="Times New Roman;sans-serif" w:hAnsi="Times New Roman;sans-serif"/>
          <w:b w:val="false"/>
          <w:color w:val="000000"/>
          <w:sz w:val="20"/>
        </w:rPr>
        <w:t>regulatory and compliance risks that relate to maintaining accurate information and control over sales and distributors’ activities that may fall within the purview of the Foreign Corrupt Practices Act of 1977 (the “FCPA”), its books and records provisions, or its anti-bribery provisions, Canada’s Corruption of Foreign Public Officials Act, or laws similar to the FCPA in other jurisdictions in which we may in the future operate, such as the United Kingdom’s Bribery Act of 2010 and anti-bribery requirements of member states in the European Union (the “EU”).</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significantly harm our future international expansion and operations and, consequently, our revenue and 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Unfavorable U.S. or global economic conditions could adversely affect our business, financial condition or results of operations.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could be adversely affected by general conditions in the global economy and financial markets. A severe or prolonged economic downturn or increase in inflation and interest rates could result in a variety of risks to our business, including weakened demand for our products and services, increased costs and expenses and a reduced ability to raise additional capital when needed on favorable terms, if at all. A weak declining or inflationary economy could also strain our collaborators and suppliers, resulting in supply disruption, or cause delays in their payments to us. For example, we have experienced and may continue to experience interruptions in the supply of the diagnostic testing materials necessary for our testing products and material and shipping cost increases. We also have significant supply contracts that are short-term and, as we enter into the renewal cycles for these contracts, we may face material price increases upon renewal.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challenging macroeconomic conditions, including cost inflation, decreases in per capita income and levels of disposable income, increased and/or prolonged unemployment or a decline in consumer confidence, as well as limited or significantly reduced points of access of our tests, could have a material adverse effect on the demand for our tests. Under difficult economic conditions, consumers may seek to reduce discretionary spending by forgoing our tests. Decreased demand for our tests, could negatively affect our overall financial performance.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foregoing could harm our business and we cannot anticipate all of the ways in which the current economic climate and financial market conditions could adversely impact our business, financial condition, or 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a limited number of suppliers or, in some cases, single suppliers, for some of our laboratory instruments and materials and may not be able to find replacements or immediately transition to alternative suppliers or service providers.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sourced and will continue to source components of our diagnostic testing workflow, including sequencers and other laboratory equipment, reagents, lab supplies and other laboratory services and materials and related services, from third parties.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we face.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a supply that meets our quality control requirements, or changes to or termination of our agreements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rely upon third-party services for data storage and workflow management, including cloud storage solution providers, such as Microsoft Azure (“Azure”), Amazon Web Services (“AWS”), and Google Cloud Platform (“GCP”). We rely on each of these providers to complete several vital workflows in our health information and data science service delivery. To varying degrees some of those services are proprietary to how each platform performs in connection with our current usage of the services.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Nearly all of our data storage and analytics are conducted on, and the data and content we generate on our platforms are processed through, servers hosted by these providers, particularly Azure,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Azure, AWS or GCP, and if such agreements are terminated, we may not be able to enter into similar relationships in the future on reasonable terms or at all.</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current and future products and services may never achieve significant commercial market acceptance.</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Our success depends on the market’s confidence that we can provide data-driven research and diagnostic products and services that improve clinical outcomes, lower healthcare costs and enable better product development by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w:t>
      </w:r>
      <w:r>
        <w:rPr>
          <w:rFonts w:ascii="Times New Roman;sans-serif" w:hAnsi="Times New Roman;sans-serif"/>
          <w:b w:val="false"/>
          <w:color w:val="008080"/>
          <w:sz w:val="16"/>
        </w:rPr>
        <w:t xml:space="preserve">® </w:t>
      </w:r>
      <w:r>
        <w:rPr>
          <w:rFonts w:ascii="Times New Roman;sans-serif" w:hAnsi="Times New Roman;sans-serif"/>
          <w:b w:val="false"/>
          <w:color w:val="000000"/>
          <w:sz w:val="20"/>
        </w:rPr>
        <w:t>platform in general.</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collaborators may not succeed in achieving significant commercial market acceptance for our current or future products and services due to a number of factors, including:</w:t>
      </w:r>
    </w:p>
    <w:p>
      <w:pPr>
        <w:pStyle w:val="TextBody"/>
        <w:bidi w:val="0"/>
        <w:spacing w:lineRule="auto" w:line="276" w:before="200" w:after="283"/>
        <w:ind w:left="0" w:right="0" w:hanging="360"/>
        <w:jc w:val="left"/>
        <w:rPr/>
      </w:pPr>
      <w:r>
        <w:rPr>
          <w:color w:val="000000"/>
        </w:rPr>
        <w:t>•</w:t>
      </w:r>
      <w:r>
        <w:rPr>
          <w:rFonts w:ascii="Times New Roman;sans-serif" w:hAnsi="Times New Roman;sans-serif"/>
          <w:b w:val="false"/>
          <w:color w:val="000000"/>
          <w:sz w:val="20"/>
        </w:rPr>
        <w:t>our ability to demonstrate the utility of our platforms including Centrellis</w:t>
      </w:r>
      <w:r>
        <w:rPr>
          <w:rFonts w:ascii="Times New Roman;sans-serif" w:hAnsi="Times New Roman;sans-serif"/>
          <w:b w:val="false"/>
          <w:color w:val="008080"/>
          <w:sz w:val="16"/>
        </w:rPr>
        <w:t>®</w:t>
      </w:r>
      <w:r>
        <w:rPr>
          <w:rFonts w:ascii="Times New Roman;sans-serif" w:hAnsi="Times New Roman;sans-serif"/>
          <w:b w:val="false"/>
          <w:color w:val="000000"/>
          <w:sz w:val="20"/>
        </w:rPr>
        <w:t xml:space="preserve">, and related products and services and their potential advantages over existing clinical artificial intelligence technology, life sciences research,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76"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and drug discovery technologies to academic institutions, biopharma companies and the medical community;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rate of adoption of our platforms and related products and services by academic institutions, clinicians, patients, key opinion leaders, advocacy groups and biopharma companies;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impact of our investments in product and services, and technological innovation and commercial growth.</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customers and collaborators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estimated the global market opportunity for our current and future products and services, and these markets may be smaller than we estimate.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estimates of the global market opportunity for our current products and services and those under development are based on a number of internal and third-party estimates, including, the market opportunity for rare disease and pediatric developmental disorders, adult disorders and newborn screening.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Uncertainty in the development and commercialization of our enhanced or new tests or services could materially adversely affect our business, financial condition and results of operations.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part on our ability to effectively introduce enhanced or new offerings, with a focus on expanding the clinical utility and application of exome and whole genome sequencing and developing solutions our health information platform can provide to partners.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relatively limited experience developing and commercializing products and services outside of the diagnostics business,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Class A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provide assurance that we can successfully complete the development of any new or enhanced product, or that we can establish or maintain the collaborative relationships that may be essential to our collaborators’ goals, including clinical development or commercialization efforts. For example,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pStyle w:val="TextBody"/>
        <w:bidi w:val="0"/>
        <w:spacing w:before="0" w:after="0"/>
        <w:jc w:val="left"/>
        <w:rPr/>
      </w:pPr>
      <w:r>
        <w:rPr/>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Accessing, combining, curating, and analyzing health information, including longitudinal patient medical history data and genetic data, are core features of the Centrellis</w:t>
      </w:r>
      <w:r>
        <w:rPr>
          <w:rFonts w:ascii="Times New Roman;sans-serif" w:hAnsi="Times New Roman;sans-serif"/>
          <w:b w:val="false"/>
          <w:color w:val="008080"/>
          <w:sz w:val="16"/>
        </w:rPr>
        <w:t>®</w:t>
      </w:r>
      <w:r>
        <w:rPr>
          <w:color w:val="000000"/>
        </w:rPr>
        <w:t xml:space="preserve"> </w:t>
      </w:r>
      <w:r>
        <w:rPr>
          <w:rFonts w:ascii="Times New Roman;sans-serif" w:hAnsi="Times New Roman;sans-serif"/>
          <w:b w:val="false"/>
          <w:color w:val="000000"/>
          <w:sz w:val="20"/>
        </w:rPr>
        <w:t>platform and key elements of our long-term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collaborations may result in us incurring significant expenses in pursuit of potential products and services, and we may not be successful in identifying, developing or commercializing any potential products or services.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in part on our ability to maintain and grow our existing relationships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our products and services do not perform as expected, we may not realize the expected benefits of such products and services.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Class A common stock, which could result in additional dilution of the percentage ownership of our stockholders and could cause the price of our Class A common stock and warrants to decline.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our relationships are not successful, our ability to develop and improve of products, services and technologies, and to successfully execute our commercial strategy regarding such products, services and technologies, could be compromised.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deploy and maintain effective sales, marketing and medical affairs capabilities, we will have difficulty achieving market awareness and selling our products and services.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never become profitable.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losses since our formation and we expect to continue to generate significant operating losses for the foreseeable future. As of June 30, 2023 and December 31, 2022, we have an accumulated deficit of approximately $1,232.1 million and $1.1 billion, respectively. We expect to continue investing significantly toward development and commercialization of our products and services and expect to continue efforts to reduce operating costs. If our revenue does not grow significantly, or if we are unable to achieve planned cost reductions, we will not be profitable. We cannot be certain that the revenue from the sale of any products or services based on our technologies will be sufficient to make us profitable.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operating results could be subject to significant fluctuation, which could increase the volatility of our stock and warrant prices and cause losses to our stockholders.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and results of operations may fluctuate significantly, depending on a variety of factors, including the following: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success in marketing and selling, and changes in demand for, our tests, and the level of reimbursement and collection obtained for such tests;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success in collecting payments from third-party payors, patients and collaborative partners, variation in the timing of these payments and recognition of these payments as revenues;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pricing of our tests, including potential changes in CMS or other reimbursement rates;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circumstances affecting our ability to provide our tests, including weather events, supply shortages, or regulatory or other circumstances that adversely affect our ability to manufacture our tests or process tests in our clinical laboratories;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fluctuations in the amount and timing of our selling and marketing costs and our ability to manage costs and expenses and effectively implement our business;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research and development activities;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to collect, use, and commercialize data in a changing regulatory environment at a time when the public is growing increasingly concerned about privacy.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revenue growth rate could decline over time, and it may experience downward pressure on our operating margins in the future.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these factors and the evolving nature of our business, our historical projected revenue growth rate and historical gross operating margins may not be indicative of our future performance.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course of preparing Legacy Sema4’s financial statements as of December 31, 2020, we previously identified material weaknesses in our internal control over financial reporting. Certain of these material weaknesses remain unremediated as of June 30, 2023. For a discussion of these material weaknesses, see “Item 4. Controls and Procedures”,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actively engaged and committed to taking the steps necessary to remediate the control deficiencies that constituted the material weaknesses. However, we cannot guarantee that the steps we have taken or may subsequently take have been or will be sufficient to remediate the material weaknesses or ensure that our internal controls are effective. For a discussion of our remediation plan and actions, see “Item 4. Controls and Procedures.” </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Times New Roman;sans-serif" w:hAnsi="Times New Roman;sans-serif"/>
          <w:b w:val="false"/>
          <w:i/>
          <w:color w:val="000000"/>
          <w:sz w:val="20"/>
        </w:rPr>
        <w:t>Risks Related to Being a Public Company—Our internal controls over financial reporting may not be effective and our independent registered public accounting firm may not be able to certify as to their effectiveness, which could have a significant and adverse effect on our business and reputation.</w:t>
      </w:r>
      <w:r>
        <w:rPr>
          <w:color w:val="000000"/>
        </w:rPr>
        <w:t>”</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 forwards and certain other tax attributes may be limited.</w:t>
      </w:r>
    </w:p>
    <w:p>
      <w:pPr>
        <w:pStyle w:val="TextBody"/>
        <w:bidi w:val="0"/>
        <w:spacing w:lineRule="auto" w:line="26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our total gross deferred tax assets were $281.0 million. Future realization of the tax benefits of existing temporary differences and carryforwards ultimately depends on the existence of sufficient taxable income within the carryforward period. As of December 31, 2022, 2021, and 2020, the Company performed an evaluation to determine whether a valuation allowance was needed. Based on the Company’s analysis, which considered all available evidence, both positive and negative, the Company determined that it is more likely than not that a significant portion of its deferred tax assets will not be realized. Accordingly, the Company maintained a partial valuation allowance as of December 31, 2022 and a full valuation allowance as of December 31, 2021 and 2020.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under Section 382 of the Internal Revenue Code of 1986, as amended (the “Internal Revenue Code”), if a corporation undergoes an “ownership change,” the corporation’s ability to use its pre-change net operating loss carryforwards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or the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Key Relationships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Mount Sinai, a related party, for a portion of our data programs, and we have entered into certain other arrangements with Mount Sinai.</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the Mount Sinai Health System (together with its related entities, “Mount Sinai”), which is a related party, for substantially all of the de-identified clinical records in our databases. In addition, we sublease certain facilities from Mount Sinai, we provide certain research and data services to Mount Sinai, and we and Mount Sinai have entered into certain collaborative and commercial arrangements. Certain of our employees perform duties for or on behalf of Mount Sinai. Furthermore, we may in the future enter into other contracts for services or other engagements with Mount Sinai.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Mount Sinai is primarily made up of not-for-profit hospitals, a medical and graduate school and employed clinicians. The charitable missions of the Mount Sinai entities include patient care, teaching and research. As such, the Mount Sinai entities are required to deal with us strictly on an arms-length, fair market value basis, and the interests of Mount Sinai may not necessarily be aligned with our interests or those of our other stockholders.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Icahn School of Medicine at Mount Sinai (“ISMMS”) is one of our significant stockholders. ISMMS may choose to dispose of some or all of the shares of our Class A common stock held by it. Any disposal of shares of Class A common stock by ISMMS, or the perception that these sales could occur, could cause the market price of our stock or warrants to decline.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commercial delivery services to transport samples to our facilities in a timely and cost-efficient manner and if these delivery services are disrupted, our business could be harmed.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core business depends on our ability to quickly and reliably deliver test results to our customers. We typically receive blood and saliva samples for analysis at our laboratory facilities within days of collection from the patient. Disruptions and errors in these delivery service and accessioning errors and breaches, whether due to error by the delivery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Acquisitions and Other Strategic Transactions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have incurred and will continue to incur significant transaction and transition costs in connection with the Acquisition.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non-recurring costs in connection with consummating the Acquisition and with the integration of the businesses, which may adversely affect our results of operations.</w:t>
      </w:r>
    </w:p>
    <w:p>
      <w:pPr>
        <w:pStyle w:val="TextBody"/>
        <w:bidi w:val="0"/>
        <w:spacing w:lineRule="auto" w:line="235"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unable to realize the level of the anticipated benefits that we expect from exiting businesses and restructuring our operations, which may adversely impact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decide to exit certain businesses or otherwise undertake restructuring, reorganization, or other strategic initiatives and business transformation plans to realign our resources with our growth strategies, operate more efficiently and control costs. The successful implementation of our restructuring activities may from time to time require us to effect business and asset dispositions, workforce reductions, management restructurings, decisions to limit investments in or otherwise exit businesses, facility consolidations and closures, and other actions, each of which may depend on a number of factors that may not be within our control. For example, as described in more detail elsewhere in this Quarterly Report, we exited our reproductive and women’s health testing business, during the first quarter of 2023 and we exited our somatic tumor testing business during the fourth quarter of 2022. </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such effort to realign or streamline our organization may result in the recording of restructuring or other charges, such as asset impairment charges, contract and lease termination costs, exit costs, termination benefits and other restructuring costs. In particular, we expect that material cash and non-cash charges will be incurred and recorded in our future reporting periods as a result of the exit of the reproductive and women’s health testing and somatic tumor testing businesses. Further, as a result of restructuring initiatives, we may experience a loss of continuity, loss of accumulated knowledge and proficiency, adverse effects on employee morale, loss of key employees and/or other retention issues during transitional periods. Reorganization and restructuring can impact a significant amount of management and other employees’ time and focus, which may divert attention from operating and growing our business. Further, upon completion of any restructuring initiatives, our business may not be more efficient or effective than prior to the implementation of the plan and we may be unable to achieve anticipated operating enhancements or cost reductions, which would adversely affect our business, competitive position, operating results and financial condition.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have assumed Legacy GeneDx’s risks arising from various legal proceedings.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as of the closing, we assumed Legacy GeneDx’s risks arising from legal proceedings. In particular, Legacy GeneDx has received from the Medicaid offices of certain states requests for refunds of up to approximately $1.8 million of previously issued reimbursements for certain services and testing provided by Legacy GeneDx both prior to and following the Acquisition. This amount represents the initial amounts expressed in writing by the Medicaid offices as well as our estimate based on our participation in discussions with OPKO and the Medicaid offices. We are working with OPKO to investigate these issues and in discussions with these payors regarding their requests and, at this time, we can express no opinion as to the likelihood of an unfavorable outcome or the range of potential loss in this matter. Although we expect OPKO’s indemnification obligations under the merger agreement related to the Acquisition (the “Acquisition Merger Agreement”) would apply to certain of the requested refunds related to the services and testing provided prior to the closing of the Acquisition, we would be responsible for any refunds related to services and testing provided after the closing of the Acquisition. Furthermore, following the closing of the Acquisition, the strategies or motivations of a party or parties with respect to actual or potential litigation against us may change. We cannot predict with certainty the eventual outcome of Legacy GeneDx’s pending or future legal proceedings and the ultimate outcome of such matters could be material to our results of operations, cash flows and financial condition.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Finally, the Acquisition may result in post-transaction disputes with OPKO or the other counterparties to the Acquisition Merger Agreement and the related agreements regarding a number of matters, including any post-closing adjustments to the cash consideration, the occurrence or non-occurrence of any Milestone Event (as defined in the Acquisition Merger Agreement for the Acquisition) or payment of the remaining Milestone Payment (as defined in the Acquisition Merger Agreement) or any liabilities for which we or OPKO believes it was indemnified under the Acquisition Merger Agreement.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seek to grow our business through additional acquisitions of complementary products or technologies and we may from time to time dispose of businesses or assets, and the failure to manage these acquisitions or dispositions, or the failure to integrate acquired businesses with our existing business, could have a material adverse effect on our business, financial condition and operating results.</w:t>
      </w:r>
    </w:p>
    <w:p>
      <w:pPr>
        <w:pStyle w:val="TextBody"/>
        <w:bidi w:val="0"/>
        <w:spacing w:before="20" w:after="283"/>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consider additional opportunities to acquire other products or technologies that may enhance our product platform or technology, expand the breadth of our markets or customer base, or advance our business strategies. In addition, we exited both our reproductive and women’s health testing business and our somatic tumor testing business, which involves the divestiture of these businesses, and we may consider disposing other assets or businesses in the future.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Potential acquisitions involve numerous risks, including:</w:t>
      </w:r>
    </w:p>
    <w:p>
      <w:pPr>
        <w:pStyle w:val="TextBody"/>
        <w:bidi w:val="0"/>
        <w:spacing w:lineRule="auto" w:line="288" w:before="140" w:after="283"/>
        <w:ind w:left="0" w:right="0" w:hanging="720"/>
        <w:jc w:val="both"/>
        <w:rPr/>
      </w:pPr>
      <w:r>
        <w:rPr>
          <w:color w:val="000000"/>
        </w:rPr>
        <w:t>•</w:t>
      </w:r>
      <w:r>
        <w:rPr>
          <w:rFonts w:ascii="Times New Roman;sans-serif" w:hAnsi="Times New Roman;sans-serif"/>
          <w:b w:val="false"/>
          <w:color w:val="000000"/>
          <w:sz w:val="20"/>
        </w:rPr>
        <w:t>problems assimilating the acquired products or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140" w:after="283"/>
        <w:ind w:left="0" w:right="0" w:hanging="720"/>
        <w:jc w:val="both"/>
        <w:rPr/>
      </w:pPr>
      <w:r>
        <w:rPr>
          <w:color w:val="000000"/>
        </w:rPr>
        <w:t>•</w:t>
      </w:r>
      <w:r>
        <w:rPr>
          <w:rFonts w:ascii="Times New Roman;sans-serif" w:hAnsi="Times New Roman;sans-serif"/>
          <w:b w:val="false"/>
          <w:color w:val="000000"/>
          <w:sz w:val="20"/>
        </w:rPr>
        <w:t>issues maintaining uniform standards, procedures, controls and policies;</w:t>
      </w:r>
    </w:p>
    <w:p>
      <w:pPr>
        <w:pStyle w:val="TextBody"/>
        <w:bidi w:val="0"/>
        <w:spacing w:lineRule="auto" w:line="288" w:before="140" w:after="283"/>
        <w:ind w:left="0" w:right="0" w:hanging="720"/>
        <w:jc w:val="both"/>
        <w:rPr/>
      </w:pPr>
      <w:r>
        <w:rPr>
          <w:color w:val="000000"/>
        </w:rPr>
        <w:t>•</w:t>
      </w:r>
      <w:r>
        <w:rPr>
          <w:rFonts w:ascii="Times New Roman;sans-serif" w:hAnsi="Times New Roman;sans-serif"/>
          <w:b w:val="false"/>
          <w:color w:val="000000"/>
          <w:sz w:val="20"/>
        </w:rPr>
        <w:t>unanticipated costs associated with acquisitions;</w:t>
      </w:r>
    </w:p>
    <w:p>
      <w:pPr>
        <w:pStyle w:val="TextBody"/>
        <w:bidi w:val="0"/>
        <w:spacing w:lineRule="auto" w:line="288" w:before="140" w:after="283"/>
        <w:ind w:left="0" w:right="0" w:hanging="720"/>
        <w:jc w:val="both"/>
        <w:rPr/>
      </w:pPr>
      <w:r>
        <w:rPr>
          <w:color w:val="000000"/>
        </w:rPr>
        <w:t>•</w:t>
      </w:r>
      <w:r>
        <w:rPr>
          <w:rFonts w:ascii="Times New Roman;sans-serif" w:hAnsi="Times New Roman;sans-serif"/>
          <w:b w:val="false"/>
          <w:color w:val="000000"/>
          <w:sz w:val="20"/>
        </w:rPr>
        <w:t>diversion of management’s attention from our existing business;</w:t>
      </w:r>
    </w:p>
    <w:p>
      <w:pPr>
        <w:pStyle w:val="TextBody"/>
        <w:bidi w:val="0"/>
        <w:spacing w:lineRule="auto" w:line="288" w:before="140" w:after="283"/>
        <w:ind w:left="0" w:right="0" w:hanging="720"/>
        <w:jc w:val="both"/>
        <w:rPr/>
      </w:pPr>
      <w:r>
        <w:rPr>
          <w:color w:val="000000"/>
        </w:rPr>
        <w:t>•</w:t>
      </w:r>
      <w:r>
        <w:rPr>
          <w:rFonts w:ascii="Times New Roman;sans-serif" w:hAnsi="Times New Roman;sans-serif"/>
          <w:b w:val="false"/>
          <w:color w:val="000000"/>
          <w:sz w:val="20"/>
        </w:rPr>
        <w:t>risks associated with entering new markets in which we have limited or no experience; and</w:t>
      </w:r>
    </w:p>
    <w:p>
      <w:pPr>
        <w:pStyle w:val="TextBody"/>
        <w:bidi w:val="0"/>
        <w:spacing w:lineRule="auto" w:line="288" w:before="140" w:after="283"/>
        <w:ind w:left="0" w:right="0" w:hanging="720"/>
        <w:jc w:val="both"/>
        <w:rPr/>
      </w:pPr>
      <w:r>
        <w:rPr>
          <w:color w:val="000000"/>
        </w:rPr>
        <w:t>•</w:t>
      </w:r>
      <w:r>
        <w:rPr>
          <w:rFonts w:ascii="Times New Roman;sans-serif" w:hAnsi="Times New Roman;sans-serif"/>
          <w:b w:val="false"/>
          <w:color w:val="000000"/>
          <w:sz w:val="20"/>
        </w:rPr>
        <w:t>increased legal and accounting costs relating to the acquisitions or compliance with regulatory matters.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Dispositions may similarly involve</w:t>
      </w:r>
      <w:r>
        <w:rPr>
          <w:color w:val="212529"/>
        </w:rPr>
        <w:t xml:space="preserve"> </w:t>
      </w:r>
      <w:r>
        <w:rPr>
          <w:rFonts w:ascii="Times New Roman;sans-serif" w:hAnsi="Times New Roman;sans-serif"/>
          <w:b w:val="false"/>
          <w:color w:val="212529"/>
          <w:sz w:val="20"/>
        </w:rPr>
        <w:t>risks associated with the potential disruption of our ongoing business and distraction of our management team, and the anticipated benefits and cost savings of these transactions may not be realized fully, or at all, or take longer to realize than anticipated.</w:t>
      </w:r>
      <w:r>
        <w:rPr>
          <w:color w:val="212529"/>
        </w:rPr>
        <w:t xml:space="preserve"> </w:t>
      </w:r>
      <w:r>
        <w:rPr>
          <w:rFonts w:ascii="Times New Roman;sans-serif" w:hAnsi="Times New Roman;sans-serif"/>
          <w:b w:val="false"/>
          <w:color w:val="212529"/>
          <w:sz w:val="20"/>
        </w:rPr>
        <w:t>In addition, dispositions</w:t>
      </w:r>
      <w:r>
        <w:rPr>
          <w:color w:val="000000"/>
        </w:rPr>
        <w:t xml:space="preserve"> </w:t>
      </w:r>
      <w:r>
        <w:rPr>
          <w:rFonts w:ascii="Times New Roman;sans-serif" w:hAnsi="Times New Roman;sans-serif"/>
          <w:b w:val="false"/>
          <w:color w:val="000000"/>
          <w:sz w:val="20"/>
        </w:rPr>
        <w:t>may involve our continued financial involvement in a divested business, such as through continuing equity ownership, transition service agreements, guarantees, indemnities or other current or contingent financial obligations. Under these arrangements, performance by the acquired or divested business, or other conditions outside our control, could affect our future financial results.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Legal, Regulatory and Compliance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increased compliance risks as a result of our rapid growth, including our dependence on our sales, marketing and billing efforts.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use hazardous materials in a manner that causes injury, we could be liable for resulting damages.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Future changes in FDA enforcement discretion for LDTs could subject our operations to much more significant regulatory requirements.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offer a laboratory-developed test (“LDT”) version of certain tests. The FDA has a policy of enforcement discretion with respect to LDTs, whereby the FDA does not actively enforce its medical device regulatory requirements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both"/>
        <w:rPr/>
      </w:pPr>
      <w:r>
        <w:rPr>
          <w:rFonts w:ascii="Times New Roman;sans-serif" w:hAnsi="Times New Roman;sans-serif"/>
          <w:b w:val="false"/>
          <w:color w:val="000000"/>
          <w:sz w:val="20"/>
        </w:rPr>
        <w:t xml:space="preserve">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(“CDRH”) have expressed significant concerns regarding disparities between some LDTs and </w:t>
      </w:r>
      <w:r>
        <w:rPr>
          <w:rFonts w:ascii="Times New Roman;sans-serif" w:hAnsi="Times New Roman;sans-serif"/>
          <w:b w:val="false"/>
          <w:i/>
          <w:color w:val="000000"/>
          <w:sz w:val="20"/>
        </w:rPr>
        <w:t>in vitro</w:t>
      </w:r>
      <w:r>
        <w:rPr>
          <w:color w:val="000000"/>
        </w:rPr>
        <w:t xml:space="preserve"> </w:t>
      </w:r>
      <w:r>
        <w:rPr>
          <w:rFonts w:ascii="Times New Roman;sans-serif" w:hAnsi="Times New Roman;sans-serif"/>
          <w:b w:val="false"/>
          <w:color w:val="000000"/>
          <w:sz w:val="20"/>
        </w:rPr>
        <w:t xml:space="preserve">diagnostics that have been reviewed, 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its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Recently, the FDA has also taken a more active role in certain diagnostic areas, including the oversight of pharmacogenetic (“PGx”)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various complex laws and regulations applicable to clinical diagnostics. We could be subject to significant fines and penalties if we or our partners fail to comply with these laws and regulations.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provider of clinical diagnostic products and services, we and our partners are subject to extensive and frequently changing federal, state, local and foreign laws and regulations governing various aspects of our business.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 clinical laboratory and healthcare industry is subject to significant governmental certification and licensing regulations, as well as federal, state and foreign laws regarding:</w:t>
      </w:r>
    </w:p>
    <w:p>
      <w:pPr>
        <w:pStyle w:val="TextBody"/>
        <w:bidi w:val="0"/>
        <w:spacing w:before="200" w:after="283"/>
        <w:ind w:left="0" w:right="0" w:firstLine="360"/>
        <w:jc w:val="both"/>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test ordering and billing practices;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marketing, sales and pricing practices;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health information privacy and security, including the federal Health Insurance Portability and Accountability Act (“HIPAA”) and comparable state laws;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insurance;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anti-markup legislation;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fraud and abuse;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consumer protection.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required to comply with FDA regulations, including with respect to our labeling and promotion activities. In addition, advertising and marketing of our clinical products are subject to regulation by the Federal Trade Commission (the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or products and services and our expansion outside of the U.S. may increase the potential of violating these laws, regulations or our internal policies and procedures.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Compliance with the HIPAA security, privacy and breach notification regulations may increase our costs.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HIPAA privacy, security and breach notification regulations, which include requirements implemented under the HITECH Act, establish federal standards with respect to the uses and disclosures of protected health information (“PHI”), by health plans, healthcare providers and healthcare clearinghouses. The HIPAA regulations generally prohibit the use and disclosure of PHI without patient authorization, unless the use or disclosure is for payment, treatment or healthcare operations purposes. In setting standards to protect the confidentiality, integrity and security of PHI, the regulations establish a regulatory framework that addresses a variety of subjects, including: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circumstances under which uses and disclosures of PHI are permitted or required without a written authorization from the patient, including but not limited to treatment purposes, activities to obtain payments for our services, and our healthcare operations activities;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 patient’s rights to access, amend and receive an accounting of certain disclosures of PHI;</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requirements to notify individuals if there is a breach of their PHI;</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contents of notices of privacy practices related to the use and disclosure of PHI;</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administrative, technical and physical safeguards required of entities that use or receive PHI;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criteria related to the deidentification and aggregation of PHI;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use and protection of electronic PHI.</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required to comply with applicable state privacy, security and breach notification laws and regulations, which may be more stringent than federal HIPAA requirements. In addition, for healthcare data transfers from other countries relating to citizens and/or residents of those countries, we are also required to comply with the laws of those countries. Furthermore, on December 1, 2022, the U.S. Department of Health and Human Services, Office for Civil Rights (“OCR”) issued a Bulletin highlighting the obligations of HIPAA covered entities and business associates with respect to the use of online tracking technologies. To the extent that a covered entity or business associate permits a tracking technology vendor to collect PHI of its customers, the parties must enter into a business associate agreement. In addition, the PHI collected may only be used for treatment or health care operation purposes, in accordance with HIPAA. The PHI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cannot be used for marketing purposes that are not connected with treatment or health care operations absent a HIPAA compliant authorization from each customer whose information is being shared.</w:t>
      </w:r>
    </w:p>
    <w:p>
      <w:pPr>
        <w:pStyle w:val="TextBody"/>
        <w:bidi w:val="0"/>
        <w:spacing w:before="0" w:after="0"/>
        <w:jc w:val="left"/>
        <w:rPr/>
      </w:pPr>
      <w:r>
        <w:rPr/>
      </w:r>
    </w:p>
    <w:p>
      <w:pPr>
        <w:pStyle w:val="TextBody"/>
        <w:bidi w:val="0"/>
        <w:spacing w:lineRule="auto" w:line="259"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HIPAA does not provide for private rights of action, HIPAA gives OCR and the Department of Justice the authority to assess significant fines and other penalties for wrongful use or disclosure of PHI, including potential civil and criminal fines and penalties. OCR may require an entity to enter into a settlement agreement which may include ongoing oversight and auditing of a company’s HIPAA compliance program.</w:t>
      </w:r>
    </w:p>
    <w:p>
      <w:pPr>
        <w:pStyle w:val="TextBody"/>
        <w:bidi w:val="0"/>
        <w:spacing w:before="0" w:after="0"/>
        <w:jc w:val="left"/>
        <w:rPr/>
      </w:pPr>
      <w:r>
        <w:rPr/>
      </w:r>
    </w:p>
    <w:p>
      <w:pPr>
        <w:pStyle w:val="TextBody"/>
        <w:bidi w:val="0"/>
        <w:spacing w:lineRule="auto" w:line="259"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Despite such protections, unauthorized persons may also be able to gain access to PHI stored in such third parties’ computer networks. Any wrongful use or disclosure of PHI by us or such third-parties, including disclosure due to data theft or unauthorized access to us or such third-parties’ computer networks, could subject us to fines or penalties that could adversely affect our business and results of operations. In addition, we distribute PHI to patients in physical form (e.g., test materials and/or test results), which introduces additional risk that human error will result in unauthorized disclosures of PHI. Although HIPAA does not expressly provide for a private right of action for damages, we could also be liable for damages under state privacy laws to private parties for the wrongful use or disclosure of confidential health information or other private personal information.</w:t>
      </w:r>
    </w:p>
    <w:p>
      <w:pPr>
        <w:pStyle w:val="TextBody"/>
        <w:bidi w:val="0"/>
        <w:spacing w:before="0" w:after="0"/>
        <w:jc w:val="left"/>
        <w:rPr/>
      </w:pPr>
      <w:r>
        <w:rPr/>
      </w:r>
    </w:p>
    <w:p>
      <w:pPr>
        <w:pStyle w:val="TextBody"/>
        <w:bidi w:val="0"/>
        <w:spacing w:lineRule="auto" w:line="254"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implemented practices intended to meet the requirements of the HIPAA privacy, security and breach notification regulations, as required by law, but cannot guarantee that such practices fully satisfy all applicable requirements under HIPAA. In addition, the Company has experienced a number of “security incidents” (as defined under HIPAA) that involved the unauthorized disclosure of PHI. A subset of these incidents was determined to be reportable breaches requiring disclosure to OCR, as well as to the affected patients. Moreover, we cannot confirm that we have identified all previous incidents that could constitute reportable breaches, or that the mitigation steps undertaken in response to known breaches are adequate to satisfy applicable regulatory requirements and prevent any future unauthorized disclosures.</w:t>
      </w:r>
    </w:p>
    <w:p>
      <w:pPr>
        <w:pStyle w:val="TextBody"/>
        <w:bidi w:val="0"/>
        <w:spacing w:before="0" w:after="0"/>
        <w:jc w:val="left"/>
        <w:rPr/>
      </w:pPr>
      <w:r>
        <w:rPr/>
      </w:r>
    </w:p>
    <w:p>
      <w:pPr>
        <w:pStyle w:val="TextBody"/>
        <w:bidi w:val="0"/>
        <w:spacing w:lineRule="auto" w:line="259"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in addition to HIPAA, we are subject to myriad federal, state, and local requirements pertaining to the collection, retention, and disclosure of genetic material. While we endeavor to remain current with such requirements, we can provide no assurance that we are, or will remain, in compliance with all applicable requirements. Failure to comply with privacy and data security requirements could result in a variety of consequences, including significant fines and penalties as well as damage to our reputation, any of which could have a material adverse effect on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Some of our activities may subject the Company to risks under federal and state laws prohibiting ‘kickbacks’ and false or fraudulent claims.</w:t>
      </w:r>
    </w:p>
    <w:p>
      <w:pPr>
        <w:pStyle w:val="TextBody"/>
        <w:bidi w:val="0"/>
        <w:spacing w:before="0" w:after="0"/>
        <w:jc w:val="left"/>
        <w:rPr/>
      </w:pPr>
      <w:r>
        <w:rPr/>
      </w:r>
    </w:p>
    <w:p>
      <w:pPr>
        <w:pStyle w:val="TextBody"/>
        <w:bidi w:val="0"/>
        <w:spacing w:lineRule="auto" w:line="259"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among others, a federal law commonly known as the federal Anti-Kickback Statute, the federal False Claims Act, the federal physician self-referral law, known as the Stark Law, and corollary state laws. These laws constrain, among other things, the sales, marketing and other promotional activities of manufacturers of medical devices and providers of laboratory services by limiting the kinds of financial arrangements, including sales programs, free goods and services, consulting arrangements, speaker programs, compensated service arrangements (including specimen collection and processing), and other non-monetary compensation (e.g., meals, gifts and other business courtesies), that may be used with hospitals, healthcare providers, laboratories and other potential purchasers or prescribers of medical devices and laboratory services. The federal and state fraud and abuse laws prescribe civil and, in some cases, criminal penalties (including fines) for noncompliance that can be substantial. In addition, various states have enacted false claim laws analogous to the federal laws that apply where a claim is submitted to any third-party payor and not only a governmental payer program. Moreover, any claim for reimbursement that is predicated on a violation of the Anti-Kickback Statute may constitute a “false claim” under the False Claims Act (discussed in further detail below).</w:t>
      </w:r>
    </w:p>
    <w:p>
      <w:pPr>
        <w:pStyle w:val="TextBody"/>
        <w:bidi w:val="0"/>
        <w:spacing w:before="0" w:after="0"/>
        <w:jc w:val="left"/>
        <w:rPr/>
      </w:pPr>
      <w:r>
        <w:rPr/>
      </w:r>
    </w:p>
    <w:p>
      <w:pPr>
        <w:pStyle w:val="TextBody"/>
        <w:bidi w:val="0"/>
        <w:spacing w:lineRule="auto" w:line="259"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2018, Congress passed the Eliminating Kickbacks in Recovery Act (“EKRA”), as part of the Substance Use-Disorder Prevention that Promotes Opioid Recovery and Treatment for Patients and Communities Act. Similar to the Anti-Kickback Statute,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Anti-Kickback Statute,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Anti-Kickback Statute, includes certain exceptions that are widely relied upon in the healthcare industry, including safe harbors applicable to certain employees and personal service contracts, and not all of those same exceptions apply under EKRA. EKRA expressly does not protect employee compensation that varies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59"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number of individuals referred to a laboratory, the number of tests performed by a laboratory, or the amount billed to or received from a health benefit program from individuals referred to a laboratory. Because EKRA is a relatively new law, there is no agency guidance and only two courts have addressed the application of EKRA and those courts reached opposite conclusions. One Court ruled that the commission-based compensation provisions of a laboratory employee’s contract did not violate EKRA while the other court expressly disagreed. Given the conflicting opinions, we cannot be assured that courts in our jurisdiction will reach the same conclusion or that the decision will not be overturned if there is an appeal. We cannot assure you that our relationships with healthcare providers, hospitals, customers, our own sales representatives, or any other party will not be subject to scrutiny or will survive regulatory challenge under EKRA or other anti-kickback laws.</w:t>
      </w:r>
    </w:p>
    <w:p>
      <w:pPr>
        <w:pStyle w:val="TextBody"/>
        <w:bidi w:val="0"/>
        <w:spacing w:before="0" w:after="0"/>
        <w:jc w:val="left"/>
        <w:rPr/>
      </w:pPr>
      <w:r>
        <w:rPr/>
      </w:r>
    </w:p>
    <w:p>
      <w:pPr>
        <w:pStyle w:val="TextBody"/>
        <w:bidi w:val="0"/>
        <w:spacing w:lineRule="auto" w:line="259"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False Claims Act prohibits knowingly presenting (or causing the presentation of) a false claim for reimbursement by a federal health care program. Violation of the False Claims Act can result in substantial penalties, including treble damages. Moreover, the False Claims Act permits enforcement by qui tam relators (i.e., whistleblowers), such as competitors, customers, or current/former employees, who will receive a portion of any settlement. As discussed above, violations of the Anti-Kickback statute can serve as the basis for enforcement under the False Claims Act. In addition, inaccurate or otherwise improper claims for reimbursement could constitute a false claim, meaning that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(“CERT”), program, and payments may be recouped by CMS if it is determined that they were improperly made. Currently, a small percentage of our revenues are generated by payments from Medicare. </w:t>
      </w:r>
    </w:p>
    <w:p>
      <w:pPr>
        <w:pStyle w:val="TextBody"/>
        <w:bidi w:val="0"/>
        <w:spacing w:before="0" w:after="0"/>
        <w:ind w:left="0" w:right="0" w:firstLine="360"/>
        <w:jc w:val="left"/>
        <w:rPr/>
      </w:pPr>
      <w:r>
        <w:rPr/>
      </w:r>
    </w:p>
    <w:p>
      <w:pPr>
        <w:pStyle w:val="TextBody"/>
        <w:bidi w:val="0"/>
        <w:spacing w:lineRule="auto" w:line="259"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In addition, while we have and will continue to enter into certain financial arrangements with referral sources, and we endeavor to ensure that such arrangements are designed to comply with applicable rules, laws and regulations, we can offer no assurance that such arrangements will not result in regulatory or enforcement scrutiny.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Complying with numerous statutes and regulations pertaining to our business is an expensive and time-consuming process, and any failure to comply could result in substantial penalties.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other extensive federal, state, local and foreign laws and regulations, all of which are subject to change. These laws and regulations currently include, among others: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HIPAA, which establishes comprehensive federal standards with respect to the privacy and security of protected health information and requirements for the use of certain standardized electronic transactions;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pStyle w:val="TextBody"/>
        <w:bidi w:val="0"/>
        <w:spacing w:before="0" w:after="180"/>
        <w:jc w:val="both"/>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General Data Protection Regulation (“GDPR”) and UK Data Protection Act 2018 (“UK GDPR”),, which imposes strict privacy and security requirements on controllers and processors of European and UK personal data, including enhanced protections for “special categories” of personal data, including sensitive information such as health and genetic information of data subjects;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CCPA , and similar consumer privacy laws in Colorado, Connecticut, Utah, and Virginia, which, among other things, regulate how subject businesses may collect, use, disclose and/or sell the personal information of consumers who reside in each state, affords rights to consumers that they may exercise against businesses that collect their information, and requires implementation of reasonable security measures to safeguard personal information of consumers;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Laws governing genetic counseling services, relating to, among other things, the adequacy of health care, the practice of medicine and other health professions (including the provision of remote care and cross-coverage practice), equipment, personnel, operating policies and procedures and the prerequisites for ordering laboratory tests. Some states have enacted regulations specific to providing services to patients via telehealth. Such regulations include, among other things, informed consent requirements that some states require providers to obtain from their patients before providing telehealth services. Health professionals who provide professional services using telehealth modalities must, in most instances, hold a valid license to practice the applicable health profession in the state in which the patient is located. In addition, certain states require a healthcare professional providing telehealth to be physically located in the same state as the patient. Any failure to comply with these laws and regulations could result in civil or criminal penalties against telehealth providers.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Clinical and human subjects research regulations, including but not limited to the federal Policy for Protection of Human Subjects (45 C.F.R. Part 46), the Food, Drug, and Cosmetics Act and its applicable implementing regulations at 21 C.F.R. Parts 11, 50, 54, 56, 58 and 812, and all equivalent legal requirements in other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item or service for which payment may be made, in whole or in part, under a federal healthcare program;</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EKRA, which prohibits payments for referrals to recovery homes, clinical treatment facilities, and laboratories and reaches beyond federal health care programs, to include private insurance;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federal False Claims Act, which imposes liability on any person or entity that, among other things, knowingly presents, or causes to be presented, a false or fraudulent claim for payment to the federal government;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21st Century Cures Act information blocking prohibition, which prohibits covered actors from engaging in certain practices that are likely to interfere with the access, exchange, or use of electronic health information;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of medicine, osteopathy, dentists, optometrists, podiatrists and chiropractors), physician assistants, nurse practitioners, clinical nurse specialists, certified registered nurse anesthetists, anesthesiologist assistants, certified nurse midwives and teaching hospitals as well as ownership and investment interests held by physicians and their immediate family members;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state laws that limit or prohibit the provision of certain payments and other transfers of value to certain covered healthcare providers;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prohibition on reassignment of Medicare claims, which, subject to certain exceptions, precludes the reassignment of Medicare claims to any other party;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similar foreign laws and regulations that may apply to us in the countries in which we operate or may operate in the future; and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laws that relate to maintaining accurate information and control over activities that may fall within the purview of the U.S. Foreign Corrupt Practices Act, its books and records provisions, or anti-bribery provisions.</w:t>
      </w:r>
    </w:p>
    <w:p>
      <w:pPr>
        <w:pStyle w:val="TextBody"/>
        <w:bidi w:val="0"/>
        <w:spacing w:before="0" w:after="0"/>
        <w:jc w:val="left"/>
        <w:rPr/>
      </w:pPr>
      <w:r>
        <w:rPr/>
      </w:r>
    </w:p>
    <w:p>
      <w:pPr>
        <w:pStyle w:val="TextBody"/>
        <w:bidi w:val="0"/>
        <w:spacing w:lineRule="auto" w:line="259"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adopted policies and procedures designed to comply with these laws and regulations. While the Company continues to develop and improve its compliance program, we acknowledge that further development will be necessary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59"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help mitigate enforcement risk. Our compliance may also be subject to governmental review and, in the event of a violation of certain legal requirements, any deficiencies in our policies, procedures, and controls may subject us to increased sanctions that could materially affect our business.. </w:t>
      </w:r>
    </w:p>
    <w:p>
      <w:pPr>
        <w:pStyle w:val="TextBody"/>
        <w:bidi w:val="0"/>
        <w:spacing w:before="0" w:after="0"/>
        <w:jc w:val="left"/>
        <w:rPr/>
      </w:pPr>
      <w:r>
        <w:rPr/>
      </w:r>
    </w:p>
    <w:p>
      <w:pPr>
        <w:pStyle w:val="TextBody"/>
        <w:bidi w:val="0"/>
        <w:spacing w:lineRule="auto" w:line="259"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face uncertainty related to healthcare reform, pricing, coverage and reimbursement, which could reduce our revenue.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Healthcare reform laws, including the Patient Protection and Affordable Care Act (“ACA”) and the Protecting Access to Medicare Act of 2014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if the plaintiffs in any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unless delayed by an act of Congress,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payers that provide reimbursement for our tests may suspend, revoke or discontinue coverage at any time, may require co-payments from patients, or may reduce the reimbursement rates payable to us. Any such action could have a negative impact on our revenues.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Product and professional liability suits against us could result in expensive and time-consuming litigation, payment of substantial damages and increases in our insurance rates.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Errors, defects, or mistakes in our products or services, and operations could harm our reputation, decrease market acceptance of our products or services.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increasingly complex taxation rules and practices, which may affect how we conduct our business and our results of operations.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Our Intellectual Property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inability to effectively protect our proprietary products, processes, and technologies, could harm our competitive position.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rely upon trade secret protection and copyright, as well as non-disclosure agreements and confidentiality and intellectual property ownership provisions in agreements with our consultants collaborators, vendors and other third parties, confidentiality and proprietary rights agreements, including invention assignment provisions, with our employees, and, to a limited extent, patent protection, to protect our confidential and proprietary information. As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we deem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rejected during examination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It would be expensive, if we initiate lawsuits to protect or enforce our patents or trade secrets, or defend against third-party IP claims, and if we lose, we may lose some of our intellectual property rights. Furthermore, these lawsuits may divert the attention of our management and technical personnel.</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relying substantially upon trade secrets and proprietary know-how protection for our confidential and proprietary information, and we have taken security measures to maintain such protection for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become known.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Any inability to effectively protect our proprietary technologies under certain jurisdictions and legal regimes could harm our competitive position.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outside of the United States. The laws of some foreign countries do not protect proprietary rights to the same extent as the laws of the United States, and we may encounter difficulties in establishing and enforcing its proprietary rights in some jurisdictions.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issues arising under patents and patent applications owned or controlled by our collaborators and licensors.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adversely affect our ability to obtain commercially relevant or competitively advantageous patent protection for our products.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patent regulations or standards are modified, such changes could have a negative impact on our business.</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U.S. Supreme Court, other federal courts, the U.S. Congress or the U.S. Patent &amp; Trademark Office (“USPTO”) may change the standards of patentability and validity of patents within the screening and diagnostics space, and any such changes could have a negative impact on our business.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There have been several cases involving “gene patents” and diagnostic claims that have been considered by the U.S. Supreme Court. In March 2012, the Supreme Court </w:t>
      </w:r>
      <w:r>
        <w:rPr>
          <w:rFonts w:ascii="Times New Roman;sans-serif" w:hAnsi="Times New Roman;sans-serif"/>
          <w:b w:val="false"/>
          <w:i/>
          <w:color w:val="000000"/>
          <w:sz w:val="20"/>
        </w:rPr>
        <w:t>in Mayo Collaborative Services v. Prometheus Laboratories, Inc,</w:t>
      </w:r>
      <w:r>
        <w:rPr>
          <w:color w:val="000000"/>
        </w:rPr>
        <w:t xml:space="preserve"> </w:t>
      </w:r>
      <w:r>
        <w:rPr>
          <w:rFonts w:ascii="Times New Roman;sans-serif" w:hAnsi="Times New Roman;sans-serif"/>
          <w:b w:val="false"/>
          <w:color w:val="000000"/>
          <w:sz w:val="20"/>
        </w:rPr>
        <w:t xml:space="preserve">found a patented diagnostic method claim unpatentable because the relationship between a metabolite concentration and optimized dosage was a patent-ineligible “law of nature.” In June 2013, the Supreme Court ruled in </w:t>
      </w:r>
      <w:r>
        <w:rPr>
          <w:rFonts w:ascii="Times New Roman;sans-serif" w:hAnsi="Times New Roman;sans-serif"/>
          <w:b w:val="false"/>
          <w:i/>
          <w:color w:val="000000"/>
          <w:sz w:val="20"/>
        </w:rPr>
        <w:t>ACLU v. Myriad Genetics, Inc,</w:t>
      </w:r>
      <w:r>
        <w:rPr>
          <w:color w:val="000000"/>
        </w:rPr>
        <w:t xml:space="preserve"> </w:t>
      </w:r>
      <w:r>
        <w:rPr>
          <w:rFonts w:ascii="Times New Roman;sans-serif" w:hAnsi="Times New Roman;sans-serif"/>
          <w:b w:val="false"/>
          <w:color w:val="000000"/>
          <w:sz w:val="20"/>
        </w:rPr>
        <w:t xml:space="preserve">that an isolated genomic DNA sequence is not patent eligible while complementary DNA, or “cDNA” is eligible. The </w:t>
      </w:r>
      <w:r>
        <w:rPr>
          <w:rFonts w:ascii="Times New Roman;sans-serif" w:hAnsi="Times New Roman;sans-serif"/>
          <w:b w:val="false"/>
          <w:i/>
          <w:color w:val="000000"/>
          <w:sz w:val="20"/>
        </w:rPr>
        <w:t>Prometheus and Myriad</w:t>
      </w:r>
      <w:r>
        <w:rPr>
          <w:color w:val="000000"/>
        </w:rPr>
        <w:t xml:space="preserve"> </w:t>
      </w:r>
      <w:r>
        <w:rPr>
          <w:rFonts w:ascii="Times New Roman;sans-serif" w:hAnsi="Times New Roman;sans-serif"/>
          <w:b w:val="false"/>
          <w:color w:val="000000"/>
          <w:sz w:val="20"/>
        </w:rPr>
        <w:t>decisions, as well as subsequent case law, affect the legal concept of subject matter eligibility by seemingly narrowing the scope of the statute defining patentable inventions.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In December 2014 and again in 2019, the USPTO published revised guidelines for patent examiners to apply when examining process claims for patent eligibility in view of several recent Supreme Court decisions, including </w:t>
      </w:r>
      <w:r>
        <w:rPr>
          <w:rFonts w:ascii="Times New Roman;sans-serif" w:hAnsi="Times New Roman;sans-serif"/>
          <w:b w:val="false"/>
          <w:i/>
          <w:color w:val="000000"/>
          <w:sz w:val="20"/>
        </w:rPr>
        <w:t>Mayo, Association for Molecular Pathology v. Myriad Genetics, Inc.</w:t>
      </w:r>
      <w:r>
        <w:rPr>
          <w:rFonts w:ascii="Times New Roman;sans-serif" w:hAnsi="Times New Roman;sans-serif"/>
          <w:b w:val="false"/>
          <w:color w:val="000000"/>
          <w:sz w:val="20"/>
        </w:rPr>
        <w:t xml:space="preserve">, and </w:t>
      </w:r>
      <w:r>
        <w:rPr>
          <w:rFonts w:ascii="Times New Roman;sans-serif" w:hAnsi="Times New Roman;sans-serif"/>
          <w:b w:val="false"/>
          <w:i/>
          <w:color w:val="000000"/>
          <w:sz w:val="20"/>
        </w:rPr>
        <w:t>Alice Corporation Pty. Ltd. v. CLS Bank International</w:t>
      </w:r>
      <w:r>
        <w:rPr>
          <w:rFonts w:ascii="Times New Roman;sans-serif" w:hAnsi="Times New Roman;sans-serif"/>
          <w:b w:val="false"/>
          <w:color w:val="000000"/>
          <w:sz w:val="20"/>
        </w:rPr>
        <w:t>, and others. The guidance indicates that claims directed to a law of nature, a natural phenomenon, or an 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substantive changes to patent law, whether new or associated with the America Invents Act which substantially revised the U.S. patent system,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are not able to adequately protect our trade secrets and other proprietary information, including the databases we manage and to which we have access, the value of our technology and products could be significantly diminished.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non-disclosure agreements and our employees to enter into confidentiality and proprietary rights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we may not be able to build name recognition in our markets of interest, and our business may be adversely affected.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Litigation or other proceedings resulting from either third-party claims of patent infringement, or asserting infringement by third parties of our technology, could be costly, time-consuming, and could limit our ability to commercialize our products or services.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USPTO maintains patent applications in secrecy until a patent application publishes or the patent is issued, we have no way of knowing if others may have filed patent applications covering technologies used by it or our partners. Additionally, there may be third-party patents, and other intellectual property rights relevant to our technologies that may block us from commercializing our technologies. From time-to-time, we have received correspondence from third parties alleging to hold intellectual property rights that could block our development or commercialization of products. While none of these inquiries to date have had any material effect on us,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we would prevail in any such suits to the extent necessary to conduct our business according to our strategic plan or that the damages or other remedies, if any, awarded against us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use of open-source software could subject our business to possible litigation or cause us to subject our platform to unwanted open-source license conditions that could negatively impact our sales.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strategic collaborative and licensing arrangements with third parties to develop intellectual property. We may not be able to successfully establish and maintain such intellectual property.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Cybersecurity, Privacy and Information Technology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Interruption, interference with, or failure of our information technology and communications systems could hurt our ability to effectively provide our products and services, which could harm our reputation, financial condition, and operating results.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Security breaches, privacy issues, loss of data and other incidents could continue to compromise sensitive, protected, or personal information related to our business, could prevent it from accessing critical information, and could expose it to regulatory liability, which could adversely affect our business.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our collection and storing of PHI also includes more sensitive data, such as genetic information, as well as personally identifiable information, genetic information, credit card information, financial information, intellectual property and proprietary business information owned or controlled by us or our customers, payers and other parties. We manage and maintain our applications and data utilizing a combination of on-site systems, managed data center systems and cloud-based systems. We also communicate PHI and other sensitive patient data through our various customer tools and platforms, and in physical form.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continue to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lost or stolen technology, or other disruptions. Any such breach or interruption could compromise our networks and the information stored therein could be accessed by unauthorized parties, altered, publicly disclosed, lost or stolen.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For example, as noted above, pursuant to guidance recently issued by OCR, HIPAA covered entities and business associates who permit tracking technology vendors to collect PHI from their patients must enter into a HIPAA compliant business associate agreement with that vendor or obtain advance consent. We have utilized, and may continue to utilize, tracking technologies on one or more of our websites, and may not be able to do so in a manner that is consistent with what HIPAA requires. Should we actually violate, or be perceived to have violated, any privacy promises our business makes to patients or consumers, we could be subject to a complaint from an affected individual or interested privacy regulator, such as OCR, the FTC, a state Attorney General, an EU Member State Data Protection Authority, or a data protection authority in another international jurisdiction. This risk is heightened given the sensitivity of the data we collect.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(“UDAP”), statutes may also vary significantly.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approved the California Privacy Rights Act of 2020 (“CPRA,”) that went into effect on January 1, 2023. The CPRA among other things, amends the CCPA to give California residents the ability to limit the use of their sensitive information provides for penalties for CPRA violations concerning California residents under the age of 16, and establishes a new California Privacy Protection Agency to implement and enforce the law. Other jurisdictions in the United States are beginning to propose and enact laws similar to the CCPA. Some observers have noted that the CCPA could mark the beginning of a trend toward more stringent privacy legislation, which could increase our potential liability and adversely affect our business, results of operations, and financial condition.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and services involve the storage and transmission of protected health information and other personal information,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depend on our scientific computing and information technology and management systems and any failure of these systems could harm our business.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 and collaborator reporting and related functions. We also depend on our proprietary workflow software to support new product and service launches and regulatory compliance.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installed, and expect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payors,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transfer data stored outside of the United States could be limited by international regulations or other action by foreign governments, which could adversely affect our business.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data we process in the ordinary course of our business may be stored outside of the United States.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Being a Public Company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will incur increased costs and demands on management as a result of compliance with laws and regulations applicable to public companies, which could harm our operating results.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we incur significant legal, accounting and other expenses, including costs associated with public company reporting requirements. In addition, the Sarbanes-Oxley Act of 2002 (the “Sarbanes-Oxley Act”) as well as rules implemented by the SEC and the Nasdaq Stock Market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 market for our securities may not continue, which would adversely affect the liquidity and price of our securities.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 of our securities may fluctuate significantly due to general market and economic conditions. An active trading market for our securities may not be sustained, including if we fail to comply with the continued listing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requirements of Nasdaq and our securities are delisted from the Nasdaq. See “-Risks Related to Our Common Stock and Warrants-If we fail to comply with the continued listing requirements of the Nasdaq, our Class A common stock and our public warrants may be delisted and the price of our Class A common stock and our warrants and our ability to access the capital markets could be negatively impacted.”.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do not meet the expectations of investors, stockholders or financial analysts, the market price of our securities may decline.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Factors affecting the trading price of our securities may include: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actual or anticipated fluctuations in our quarterly financial results or the quarterly financial results of companies perceived to be similar to us;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the market’s expectations about our operating results;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public’s reaction to our press releases, our other public announcements and our filings with the SEC;</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speculation in the press or investment community;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announcements of technological innovation, new products, acquisitions, strategic alliances, significant agreements by us or competitors;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success of competitors;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operating results falling below our financial guidance or other projections or failing to meet the expectation of securities analysts or investors in a particular period;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financial estimates and recommendations by securities analysts concerning us or the market in general;</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operating and stock price performance of other companies that investors deem comparable to us;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to market new and enhanced products on a timely basis;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laws and regulations affecting our business;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commencement of, or involvement in, litigation involving us;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our capital structure, such as future issuances of securities or the incurrence of additional debt;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volume of shares of our Class A common stock available for public sale;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any major change in our Board or management;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sales of substantial amounts of Class A common stock by our directors, officers or significant stockholders or the perception that such sales could occur;</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expiration of the market stand-off or contractual lock-up agreements;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realization of any of the risk factors described herein;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additions or departures of key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failure to comply with the requirements of the Nasdaq;</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failure to comply with the Sarbanes-Oxley Act or other laws or regulations;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actual, potential or perceived control, accounting or reporting problems;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accounting principles, policies and guidelines;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general economic and political conditions such as recessions, rising inflation and interest rates, global conflicts such as the war in Ukraine, fuel prices, international currency fluctuations and acts of war or terrorism.</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 Further, the price of our Class A common stock may be subject to additional volatility as a result of our Reverse Stock Split. It is not uncommon for the market price of a company’s common stock to decline in the period following a reverse stock split.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securities class action litigation has often been initiated against companies following periods of volatility in their stock price. In particular, on September 7, 2022, a shareholder class action lawsuit was filed in the United States District Court for the District of Connecticut against the Company and certain of the Company’s current and former officers. For more information, see “Item 1. Legal Proceedings.” This type of litigation could result in substantial costs and divert our management’s attention and resources, and could also require us to make substantial payments to satisfy judgments or to settle litigation.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cease publishing research or reports about us, our business, or our market, or if they change their recommendations regarding our Class A common stock adversely, then the price and trading volume of our Class A common stock could decline.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Class A common stock would likely decline. If any analyst who covers us were to cease coverage of us or fail to regularly publish reports on us, we could lose visibility in the financial markets, which could cause our stock price or trading volume to decline.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Changes in laws, regulations or rules, or a failure to comply with any laws, regulations or rules, may adversely affect our business, investments and results of operations.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Anti-takeover provisions contained in our Charter and Bylaws, as well as provisions of Delaware law, could impair a takeover attempt.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Third Amended and Restated Certificate of Incorporation, as amended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no cumulative voting in the election of directors, which limits the ability of minority stockholders to elect director candidates;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the Board;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requirement that directors may only be removed from the Board for cause;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right of our Board to elect a director to fill a vacancy created by the expansion of our Board or the resignation, death or removal of a director in certain circumstances, which prevents stockholders from being able to fill vacancies on our Board;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requirement that changes or amendments to certain provisions of our Charter must be approved by holders of at least two-thirds of our Class A common stock;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JOBS Act permits “emerging growth companies” like us to take advantage of certain exemptions from various reporting requirements applicable to other public companies that are not emerging growth companies.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$1.235 billion; or (c) in which we are deemed to be a large accelerated filer, which means the market value of our Class A common stock that is held by non-affiliates exceeds $700.0 million as of the prior June 30th, and (ii) the date on which we have issued more than $1.0 billion in non-convertible debt during the prior three-year period.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Class A common stock held by non-affiliates exceeds $250 million as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June 30, or (ii) our annual revenues exceeded $100 million during such completed fiscal year and the market value of our Class A common stock held by non-affiliates exceeds $700 million as of the prior June 30.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internal controls over financial reporting may not be effective which could have a significant and adverse effect on our business and reputation.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Class A common stock could be negatively affected, and we could become subject to investigations by the SEC or other regulatory authorities, which could require additional financial and management resources.</w:t>
      </w:r>
    </w:p>
    <w:p>
      <w:pPr>
        <w:pStyle w:val="TextBody"/>
        <w:bidi w:val="0"/>
        <w:spacing w:lineRule="auto" w:line="288" w:before="200" w:after="283"/>
        <w:ind w:left="0" w:right="0" w:hanging="90"/>
        <w:jc w:val="both"/>
        <w:rPr>
          <w:rFonts w:ascii="Times New Roman;sans-serif" w:hAnsi="Times New Roman;sans-serif"/>
          <w:b/>
          <w:i/>
          <w:color w:val="000000"/>
          <w:sz w:val="20"/>
        </w:rPr>
      </w:pPr>
      <w:r>
        <w:rPr>
          <w:rFonts w:ascii="Times New Roman;sans-serif" w:hAnsi="Times New Roman;sans-serif"/>
          <w:b/>
          <w:i/>
          <w:color w:val="000000"/>
          <w:sz w:val="20"/>
        </w:rPr>
        <w:t>Our Charter and our Bylaws designate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Charter and our Amended and Restated Bylaws (as amended, our “Bylaws”) designate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and our Bylaws provide that, subject to limited exceptions, the Court of Chancery of the State of Delaware and federal court within the State of Delaware will be exclusive forums for 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derivative action or proceeding brought on our behalf;</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action asserting a claim of breach of a fiduciary duty owed by, or other wrongdoing by, any of our directors, officers, stockholders, employees or agents to us or our stockholders;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action asserting a claim against the us or any of our directors, officers, stockholders, employees or agents arising pursuant to any provision of the General Corporation Law, our Charter or our Bylaws or as to which the General Corporation Law confers jurisdiction on the Court of Chancery of the State of Delaware: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action to interpret, apply, enforce or determine the validity of our Charter or our Bylaws; or</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other action asserting a claim against us or any of our directors, officers, stockholders, employees or agents that is governed by the internal affairs doctrine.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provisions do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Act. Any person or entity purchasing or otherwise acquiring or holding any interest in any of our securities shall be deemed to have notice of and consented these provisions in our Charter and our Bylaws.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provisions contained in our Charter and our Bylaws to be inapplicable or unenforceable in an action, we may incur additional costs associated with resolving such action in other jurisdictions, which could harm our business, results of operations and financial condition.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stockholders will not be deemed to have waived our compliance with the federal securities laws and the regulations promulgated thereunder.</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or holding any interest in any of our securities shall be deemed to have notice of and consented to our exclusive forum provisions.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Common Stock and Warrants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Class A common stock purchasable upon exercise of a public warrant could be decreased, all without the approval of that warrant holder.</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redeem unexpired public warrants prior to their exercise at a time that is disadvantageous to warrant holders, thereby making their public warrants worthless.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the ability to redeem outstanding public warrants at any time after they become exercisable and prior to their expiration, at a price of $0.33 per public warrant; provided that the last reported sales price of our Class A common stock equals or exceeds $594.00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the Former Sponsor or its permitted transferees.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warrants are exercisable for our Class A common stock, which will increase the number of shares eligible for future resale in the public market and result in dilution to our stockholders.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our public warrants are exercisable for 447,223 shares of Class A common stock at $379.50 per share. Our private warrants are exercisable for 219,293 shares of Class A common stock at $379.50 per share. The additional shares of our Class A common stock issuable upon exercise of our warrants will result in dilution to the then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existing holders of our Class A common stock and increase the number of shares eligible for resale in the public market. Sales of substantial numbers of such shares in the public market could adversely affect the market price of our Class A common stock.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warrants are accounted for as liabilities and the changes in value of our warrants could have a material effect on our financial results.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Included on our condensed consolidated balance sheet as of June 30, 2023 are derivative liabilities related to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 For example, during the first half of 2023, we recognized a $0.2 million in non-cash gains on the fair value of our warrants due to the change in fair market value. If the price of our Class A common stock decreases, we expect we would incur non-cash gains on our warrants in future reporting periods.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Future resales of our Class A common stock could cause the market price of our Class A common stock to drop significantly, even if our business is doing well.</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After giving effect to the Reverse Stock Split, we had 25,761,147 shares of Class A common stock outstanding as of June 30, 2023. We have filed a registration statement which registers the offer and sale from time to time by certain selling stockholders of up to 356,524,688 shares of our Class A common stock, although the 676,878 shares of our Class A common stock registered on behalf of OPKO pursuant to this registration statement will be subject to certain transfer restrictions pursuant to the shareholder agreements that were entered into in connection with the Acquisition. To the extent shares of our Class A common stock are sold into the market pursuant to an effective registration statement, under Rule 144 under the Securities Act or otherwise, particularly in substantial quantities and following the end of the transfer restrictions provided for in the shareholder agreements in the case of OPKO and the other stockholders party to such shareholder agreements, the market price of our Class A common stock could decline.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There is no guarantee that the public warrants will ever be in the money, and they may expire worthless and the terms of our public warrants may be amended.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exercise price for the public warrants is $379.50 per share of Class A common stock. There is no guarantee that the public warrants will ever be in the money prior to their expiration, and as such, the public warrants may expire worthless.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the continued listing requirements of the Nasdaq, our Class A common stock and our public warrants may be delisted and the price of our Class A common stock and our public warrants and our ability to access the capital markets could be negatively impacted.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A common stock and public warrants are listed on the Nasdaq under the symbols “WGS” and “WGSWW,” respectively. On December 28, 2022, we received a written notice from the Listing Qualifications Department of The Nasdaq Stock Market LLC that we were not in compliance with the Minimum Bid Price Requirement set forth in Nasdaq Listing Rule 5450(a)(1) for the last 30 consecutive trading days for continued listing on the Nasdaq. The Minimum Bid Price Requirement requires listed securities to maintain a minimum bid price of $1.00 per share, and Nasdaq Listing Rule 5810(c)(3)(A) provides that a failure to meet the Minimum Bid Price Requirement exists if the deficiency continues for a period of 30 consecutive trading days. The notification provided that we had 180 calendar days, or until June 26, 2023, to regain compliance with the Minimum Bid Price Requirement.To regain compliance, the closing bid price of our Class A common stock must be at least $1.00 per share for a minimum of 10 consecutive trading days prior to June 26, 2023, and we must otherwise satisfy The Nasdaq’s requirements for listing. In order to regain compliance, we effected the Reverse Stock Split on May 4, 2023. On May 18, 2023, we received a letter from the staff of The Nasdaq Stock Market LLC indicating that we had regained compliance with the Minimum Bid Price Requirement as of such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assurance can be given that we will continue to meet applicable Nasdaq continued listing standards or that future noncompliance will not occur. Failure to meet applicable Nasdaq continued listing standards could result in a delisting of our Class A common stock or our public warrants from the Nasdaq, which could materially reduce the liquidity of our Class A common stock or public warrants and result in a corresponding material reduction in the price of our Class A common stock or public warrants. Investors’ ability to sell or purchase our securities when they wish to do so would also be impaired. In addition, delisting could harm our ability to raise capital through alternative financing sources on terms acceptable to us, or at all, and may result in the inability to expand our business, potential loss of confidence by investors and employees, and fewer business development and strategic investment opportunities.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14, 2023, as a result of the first milestone payment becoming due and payable in full, we issued 701,460 shares of our Class A common stock to OPKO pursuant to the Acquisition Merger Agreement. The shares of Class A common stock were not registered under the Securities Act, and were issued in reliance on the exemption from registration requirements thereof provided by Section 4(a)(2) of the Securities Act and/or Regulation D promulgated thereunder as a transaction by an issuer not involving a public offering. OPKO represented its intention to acquire the shares for investment only and not with a view to or for sale in connection with any distribution. </w:t>
      </w:r>
    </w:p>
    <w:p>
      <w:pPr>
        <w:pStyle w:val="TextBody"/>
        <w:bidi w:val="0"/>
        <w:spacing w:before="0" w:after="0"/>
        <w:ind w:left="0" w:right="0" w:firstLine="360"/>
        <w:jc w:val="left"/>
        <w:rPr/>
      </w:pPr>
      <w:r>
        <w:rPr/>
      </w:r>
    </w:p>
    <w:p>
      <w:pPr>
        <w:pStyle w:val="TextBody"/>
        <w:bidi w:val="0"/>
        <w:spacing w:lineRule="auto" w:line="268" w:before="0" w:after="0"/>
        <w:jc w:val="left"/>
        <w:rPr/>
      </w:pPr>
      <w:r>
        <w:rPr>
          <w:rFonts w:ascii="Times New Roman;sans-serif" w:hAnsi="Times New Roman;sans-serif"/>
          <w:b/>
          <w:color w:val="000000"/>
          <w:sz w:val="20"/>
        </w:rPr>
        <w:t>Issuer Purchases of Equity Securitie</w:t>
      </w:r>
      <w:r>
        <w:rPr>
          <w:rFonts w:ascii="Times New Roman;sans-serif" w:hAnsi="Times New Roman;sans-serif"/>
          <w:b w:val="false"/>
          <w:color w:val="000000"/>
          <w:sz w:val="20"/>
        </w:rPr>
        <w:t>s</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6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or incorporated by reference into this Quarterly Report.</w:t>
      </w:r>
    </w:p>
    <w:tbl>
      <w:tblPr>
        <w:tblW w:w="10205" w:type="dxa"/>
        <w:jc w:val="left"/>
        <w:tblInd w:w="0" w:type="dxa"/>
        <w:tblLayout w:type="fixed"/>
        <w:tblCellMar>
          <w:top w:w="28" w:type="dxa"/>
          <w:left w:w="28" w:type="dxa"/>
          <w:bottom w:w="28" w:type="dxa"/>
          <w:right w:w="28" w:type="dxa"/>
        </w:tblCellMar>
      </w:tblPr>
      <w:tblGrid>
        <w:gridCol w:w="173"/>
        <w:gridCol w:w="152"/>
        <w:gridCol w:w="155"/>
        <w:gridCol w:w="109"/>
        <w:gridCol w:w="109"/>
        <w:gridCol w:w="109"/>
        <w:gridCol w:w="1715"/>
        <w:gridCol w:w="1677"/>
        <w:gridCol w:w="1682"/>
        <w:gridCol w:w="109"/>
        <w:gridCol w:w="109"/>
        <w:gridCol w:w="109"/>
        <w:gridCol w:w="175"/>
        <w:gridCol w:w="175"/>
        <w:gridCol w:w="176"/>
        <w:gridCol w:w="109"/>
        <w:gridCol w:w="109"/>
        <w:gridCol w:w="109"/>
        <w:gridCol w:w="225"/>
        <w:gridCol w:w="225"/>
        <w:gridCol w:w="226"/>
        <w:gridCol w:w="109"/>
        <w:gridCol w:w="109"/>
        <w:gridCol w:w="109"/>
        <w:gridCol w:w="247"/>
        <w:gridCol w:w="247"/>
        <w:gridCol w:w="249"/>
        <w:gridCol w:w="109"/>
        <w:gridCol w:w="109"/>
        <w:gridCol w:w="109"/>
        <w:gridCol w:w="311"/>
        <w:gridCol w:w="311"/>
        <w:gridCol w:w="449"/>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color w:val="000000"/>
                <w:sz w:val="18"/>
              </w:rPr>
            </w:pPr>
            <w:r>
              <w:rPr>
                <w:rFonts w:ascii="Times New Roman;sans-serif" w:hAnsi="Times New Roman;sans-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Filed Herewith</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Times New Roman;sans-serif" w:hAnsi="Times New Roman;sans-serif"/>
                  <w:b w:val="false"/>
                  <w:color w:val="0000FF"/>
                  <w:sz w:val="18"/>
                  <w:u w:val="single"/>
                </w:rPr>
                <w:t>Third Amended and Restated Certificate of Incorporation of GeneDx Holdings Corp.</w:t>
              </w:r>
            </w:hyperlink>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07/28/2021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Times New Roman;sans-serif" w:hAnsi="Times New Roman;sans-serif"/>
                  <w:b w:val="false"/>
                  <w:color w:val="0000FF"/>
                  <w:sz w:val="18"/>
                  <w:u w:val="single"/>
                </w:rPr>
                <w:t>First Certificate of Amendment of the Third Amended and Restated Certificate of Incorporation of GeneDx Holdings Corp.</w:t>
              </w:r>
            </w:hyperlink>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01/09/2023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Times New Roman;sans-serif" w:hAnsi="Times New Roman;sans-serif"/>
                  <w:b w:val="false"/>
                  <w:color w:val="000080"/>
                  <w:sz w:val="18"/>
                  <w:u w:val="single"/>
                </w:rPr>
                <w:t>Second C</w:t>
              </w:r>
            </w:hyperlink>
            <w:hyperlink r:id="rId6">
              <w:r>
                <w:rPr>
                  <w:rStyle w:val="InternetLink"/>
                  <w:rFonts w:ascii="Times New Roman;sans-serif" w:hAnsi="Times New Roman;sans-serif"/>
                  <w:b w:val="false"/>
                  <w:color w:val="000080"/>
                  <w:sz w:val="18"/>
                  <w:u w:val="single"/>
                </w:rPr>
                <w:t>ertificate of Amendment to the Third Amended and Restated Certificate of Incorporation of GeneDx Holdings Corp.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04/17/2023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7">
              <w:r>
                <w:rPr>
                  <w:rStyle w:val="InternetLink"/>
                  <w:rFonts w:ascii="Times New Roman;sans-serif" w:hAnsi="Times New Roman;sans-serif"/>
                  <w:b w:val="false"/>
                  <w:color w:val="000080"/>
                  <w:sz w:val="18"/>
                  <w:u w:val="single"/>
                </w:rPr>
                <w:t>Third C</w:t>
              </w:r>
            </w:hyperlink>
            <w:hyperlink r:id="rId8">
              <w:r>
                <w:rPr>
                  <w:rStyle w:val="InternetLink"/>
                  <w:rFonts w:ascii="Times New Roman;sans-serif" w:hAnsi="Times New Roman;sans-serif"/>
                  <w:b w:val="false"/>
                  <w:color w:val="000080"/>
                  <w:sz w:val="18"/>
                  <w:u w:val="single"/>
                </w:rPr>
                <w:t>ertificate of Amendment to the Third Amended and Restated Certificate of Incorporation of GeneDx Holdings Corp.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04/28/2023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9">
              <w:r>
                <w:rPr>
                  <w:rStyle w:val="InternetLink"/>
                  <w:rFonts w:ascii="Times New Roman;sans-serif" w:hAnsi="Times New Roman;sans-serif"/>
                  <w:b w:val="false"/>
                  <w:color w:val="0000FF"/>
                  <w:sz w:val="18"/>
                  <w:u w:val="single"/>
                </w:rPr>
                <w:t>Amended and Restated Bylaws of GeneDx Holdings Corp.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01/09/2023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0">
              <w:r>
                <w:rPr>
                  <w:rStyle w:val="InternetLink"/>
                  <w:rFonts w:ascii="Times New Roman;sans-serif" w:hAnsi="Times New Roman;sans-serif"/>
                  <w:b w:val="false"/>
                  <w:color w:val="0000FF"/>
                  <w:sz w:val="18"/>
                  <w:u w:val="single"/>
                </w:rPr>
                <w:t>2023 Equity Inducement Plan</w:t>
              </w:r>
            </w:hyperlink>
          </w:p>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07/24/2023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333" w:before="0" w:after="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37"/>
        <w:gridCol w:w="184"/>
        <w:gridCol w:w="186"/>
        <w:gridCol w:w="109"/>
        <w:gridCol w:w="109"/>
        <w:gridCol w:w="109"/>
        <w:gridCol w:w="2176"/>
        <w:gridCol w:w="1990"/>
        <w:gridCol w:w="1998"/>
        <w:gridCol w:w="109"/>
        <w:gridCol w:w="109"/>
        <w:gridCol w:w="109"/>
        <w:gridCol w:w="117"/>
        <w:gridCol w:w="117"/>
        <w:gridCol w:w="117"/>
        <w:gridCol w:w="109"/>
        <w:gridCol w:w="109"/>
        <w:gridCol w:w="109"/>
        <w:gridCol w:w="140"/>
        <w:gridCol w:w="140"/>
        <w:gridCol w:w="141"/>
        <w:gridCol w:w="109"/>
        <w:gridCol w:w="109"/>
        <w:gridCol w:w="109"/>
        <w:gridCol w:w="215"/>
        <w:gridCol w:w="215"/>
        <w:gridCol w:w="217"/>
        <w:gridCol w:w="109"/>
        <w:gridCol w:w="109"/>
        <w:gridCol w:w="109"/>
        <w:gridCol w:w="109"/>
        <w:gridCol w:w="109"/>
        <w:gridCol w:w="162"/>
      </w:tblGrid>
      <w:tr>
        <w:trPr/>
        <w:tc>
          <w:tcPr>
            <w:tcW w:w="2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1">
              <w:r>
                <w:rPr>
                  <w:rStyle w:val="InternetLink"/>
                  <w:rFonts w:ascii="Times New Roman;sans-serif" w:hAnsi="Times New Roman;sans-serif"/>
                  <w:b w:val="false"/>
                  <w:color w:val="000080"/>
                  <w:sz w:val="18"/>
                  <w:u w:val="single"/>
                </w:rPr>
                <w:t>Form of Option Award Agreement under the 2023</w:t>
              </w:r>
            </w:hyperlink>
            <w:hyperlink r:id="rId12">
              <w:r>
                <w:rPr>
                  <w:rStyle w:val="InternetLink"/>
                  <w:rFonts w:ascii="Times New Roman;sans-serif" w:hAnsi="Times New Roman;sans-serif"/>
                  <w:b w:val="false"/>
                  <w:color w:val="000080"/>
                  <w:sz w:val="18"/>
                  <w:u w:val="single"/>
                </w:rPr>
                <w:t xml:space="preserve"> Equity </w:t>
              </w:r>
            </w:hyperlink>
            <w:hyperlink r:id="rId13">
              <w:r>
                <w:rPr>
                  <w:rStyle w:val="InternetLink"/>
                  <w:rFonts w:ascii="Times New Roman;sans-serif" w:hAnsi="Times New Roman;sans-serif"/>
                  <w:b w:val="false"/>
                  <w:color w:val="000080"/>
                  <w:sz w:val="18"/>
                  <w:u w:val="single"/>
                </w:rPr>
                <w:t>Inducement</w:t>
              </w:r>
            </w:hyperlink>
            <w:hyperlink r:id="rId14">
              <w:r>
                <w:rPr>
                  <w:rStyle w:val="InternetLink"/>
                  <w:rFonts w:ascii="Times New Roman;sans-serif" w:hAnsi="Times New Roman;sans-serif"/>
                  <w:b w:val="false"/>
                  <w:color w:val="000080"/>
                  <w:sz w:val="18"/>
                  <w:u w:val="single"/>
                </w:rPr>
                <w:t xml:space="preserve"> Plan</w:t>
              </w:r>
            </w:hyperlink>
            <w:hyperlink r:id="rId15">
              <w:r>
                <w:rPr>
                  <w:rStyle w:val="InternetLink"/>
                  <w:rFonts w:ascii="Times New Roman;sans-serif" w:hAnsi="Times New Roman;sans-serif"/>
                  <w:b w:val="false"/>
                  <w:color w:val="000080"/>
                  <w:sz w:val="18"/>
                  <w:u w:val="single"/>
                </w:rPr>
                <w:t xml:space="preserve"> </w:t>
              </w:r>
            </w:hyperlink>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07/24/2023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6">
              <w:r>
                <w:rPr>
                  <w:rStyle w:val="InternetLink"/>
                  <w:rFonts w:ascii="Times New Roman;sans-serif" w:hAnsi="Times New Roman;sans-serif"/>
                  <w:b w:val="false"/>
                  <w:color w:val="000080"/>
                  <w:sz w:val="18"/>
                  <w:u w:val="single"/>
                </w:rPr>
                <w:t>Form</w:t>
              </w:r>
            </w:hyperlink>
            <w:hyperlink r:id="rId17">
              <w:r>
                <w:rPr>
                  <w:rStyle w:val="InternetLink"/>
                  <w:rFonts w:ascii="Times New Roman;sans-serif" w:hAnsi="Times New Roman;sans-serif"/>
                  <w:b w:val="false"/>
                  <w:color w:val="000080"/>
                  <w:sz w:val="18"/>
                  <w:u w:val="single"/>
                </w:rPr>
                <w:t xml:space="preserve"> of </w:t>
              </w:r>
            </w:hyperlink>
            <w:hyperlink r:id="rId18">
              <w:r>
                <w:rPr>
                  <w:rStyle w:val="InternetLink"/>
                  <w:rFonts w:ascii="Times New Roman;sans-serif" w:hAnsi="Times New Roman;sans-serif"/>
                  <w:b w:val="false"/>
                  <w:color w:val="000080"/>
                  <w:sz w:val="18"/>
                  <w:u w:val="single"/>
                </w:rPr>
                <w:t>Restricted Stock Unit Award Agreement under the 2023 Equity Inducement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07/24/2023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ceocertificationfor-ex311x.htm">
              <w:r>
                <w:rPr>
                  <w:rStyle w:val="InternetLink"/>
                  <w:rFonts w:ascii="Times New Roman;sans-serif" w:hAnsi="Times New Roman;sans-serif"/>
                  <w:b w:val="false"/>
                  <w:color w:val="0000FF"/>
                  <w:sz w:val="18"/>
                  <w:u w:val="single"/>
                </w:rPr>
                <w:t>Certification of Principal Executive Officer Pursuant to Securities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cfocertificationfor-ex312x.htm">
              <w:r>
                <w:rPr>
                  <w:rStyle w:val="InternetLink"/>
                  <w:rFonts w:ascii="Times New Roman;sans-serif" w:hAnsi="Times New Roman;sans-serif"/>
                  <w:b w:val="false"/>
                  <w:color w:val="0000FF"/>
                  <w:sz w:val="18"/>
                  <w:u w:val="single"/>
                </w:rPr>
                <w:t>Certification of Principal Financial Officer Pursuant to Securities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ceocertificationfor-ex321x.htm">
              <w:r>
                <w:rPr>
                  <w:rStyle w:val="InternetLink"/>
                  <w:rFonts w:ascii="Times New Roman;sans-serif" w:hAnsi="Times New Roman;sans-serif"/>
                  <w:b w:val="false"/>
                  <w:color w:val="0000FF"/>
                  <w:sz w:val="18"/>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cfocertificationfor-ex322x.htm">
              <w:r>
                <w:rPr>
                  <w:rStyle w:val="InternetLink"/>
                  <w:rFonts w:ascii="Times New Roman;sans-serif" w:hAnsi="Times New Roman;sans-serif"/>
                  <w:b w:val="false"/>
                  <w:color w:val="0000FF"/>
                  <w:sz w:val="18"/>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Labels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with applicable taxonomy extension information contained in Exhibits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with applicable taxonomy extension information contained in Exhibits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261" w:type="dxa"/>
        <w:jc w:val="left"/>
        <w:tblInd w:w="0" w:type="dxa"/>
        <w:tblLayout w:type="fixed"/>
        <w:tblCellMar>
          <w:top w:w="28" w:type="dxa"/>
          <w:left w:w="28" w:type="dxa"/>
          <w:bottom w:w="28" w:type="dxa"/>
          <w:right w:w="28" w:type="dxa"/>
        </w:tblCellMar>
      </w:tblPr>
      <w:tblGrid>
        <w:gridCol w:w="124"/>
        <w:gridCol w:w="109"/>
        <w:gridCol w:w="109"/>
        <w:gridCol w:w="109"/>
        <w:gridCol w:w="1115"/>
        <w:gridCol w:w="1115"/>
        <w:gridCol w:w="15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Furnished.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333" w:before="0" w:after="180"/>
        <w:jc w:val="left"/>
        <w:rPr/>
      </w:pPr>
      <w:hyperlink w:anchor="icf41e3083031494a9c3effaea80e0cdb_7">
        <w:r>
          <w:rPr>
            <w:rStyle w:val="InternetLink"/>
          </w:rPr>
          <w:t xml:space="preserve">Table of </w:t>
        </w:r>
      </w:hyperlink>
      <w:hyperlink w:anchor="icf41e3083031494a9c3effaea80e0cdb_7">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200" w:after="283"/>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Securities Exchange Act of 1934, the registrant has duly caused this report to be signed on its behalf by the undersigned, thereunto duly authorized.</w:t>
      </w:r>
    </w:p>
    <w:tbl>
      <w:tblPr>
        <w:tblW w:w="8581" w:type="dxa"/>
        <w:jc w:val="left"/>
        <w:tblInd w:w="0" w:type="dxa"/>
        <w:tblLayout w:type="fixed"/>
        <w:tblCellMar>
          <w:top w:w="28" w:type="dxa"/>
          <w:left w:w="28" w:type="dxa"/>
          <w:bottom w:w="28" w:type="dxa"/>
          <w:right w:w="28" w:type="dxa"/>
        </w:tblCellMar>
      </w:tblPr>
      <w:tblGrid>
        <w:gridCol w:w="667"/>
        <w:gridCol w:w="587"/>
        <w:gridCol w:w="590"/>
        <w:gridCol w:w="416"/>
        <w:gridCol w:w="416"/>
        <w:gridCol w:w="416"/>
        <w:gridCol w:w="1591"/>
        <w:gridCol w:w="1591"/>
        <w:gridCol w:w="230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GENEDX HOLDINGS CORP.</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4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 (Principal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Kevin Feeley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Kevin Feeley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4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319"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right"/>
        <w:rPr/>
      </w:pPr>
      <w:r>
        <w:rPr/>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CERTIFICATIONS</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PURSUANT TO RULES 13a-14(a) AND 15d-14(a)</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UNDER THE SECURITIES EXCHANGE ACT OF 1934, AS ADOPTED PURSUANT TO</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SECTION 302 OF THE SARBANES-OXLEY ACT OF 2002</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 Katherine Stueland, certify that:</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1.I have reviewed this quarterly report on Form 10-Q of GeneDx Holdings Corp. (the “registrant”);</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4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5.The registrant’s other certifying officer and I have disclosed, based on our most recent evaluation of internal control over financial reporting, to the registrant’s auditors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487" w:type="dxa"/>
        <w:jc w:val="left"/>
        <w:tblInd w:w="0" w:type="dxa"/>
        <w:tblLayout w:type="fixed"/>
        <w:tblCellMar>
          <w:top w:w="28" w:type="dxa"/>
          <w:left w:w="28" w:type="dxa"/>
          <w:bottom w:w="28" w:type="dxa"/>
          <w:right w:w="28" w:type="dxa"/>
        </w:tblCellMar>
      </w:tblPr>
      <w:tblGrid>
        <w:gridCol w:w="780"/>
        <w:gridCol w:w="688"/>
        <w:gridCol w:w="691"/>
        <w:gridCol w:w="149"/>
        <w:gridCol w:w="149"/>
        <w:gridCol w:w="151"/>
        <w:gridCol w:w="840"/>
        <w:gridCol w:w="840"/>
        <w:gridCol w:w="1199"/>
      </w:tblGrid>
      <w:tr>
        <w:trPr/>
        <w:tc>
          <w:tcPr>
            <w:tcW w:w="7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August 8, 2023</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Katherine Stueland</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Katherine Stueland</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ableContents"/>
              <w:bidi w:val="0"/>
              <w:spacing w:lineRule="auto" w:line="240" w:before="0" w:after="30"/>
              <w:jc w:val="left"/>
              <w:rPr>
                <w:rFonts w:ascii="Times New Roman;sans-serif" w:hAnsi="Times New Roman;sans-serif"/>
                <w:b w:val="false"/>
                <w:color w:val="000000"/>
                <w:sz w:val="24"/>
              </w:rPr>
            </w:pPr>
            <w:r>
              <w:rPr>
                <w:rFonts w:ascii="Times New Roman;sans-serif" w:hAnsi="Times New Roman;sans-serif"/>
                <w:b w:val="false"/>
                <w:color w:val="000000"/>
                <w:sz w:val="24"/>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CERTIFICATIONS</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PURSUANT TO RULES 13a-14(a) AND 15d-14(a)</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UNDER THE SECURITIES EXCHANGE ACT OF 1934, AS ADOPTED PURSUANT TO</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SECTION 302 OF THE SARBANES-OXLEY ACT OF 2002</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 Kevin Feeley, certify that:</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1.I have reviewed this quarterly report on Form 10-Q of GeneDx Holdings Corp. (the “registrant”);</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4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5.The registrant’s other certifying officer and I have disclosed, based on our most recent evaluation of internal control over financial reporting, to the registrant’s auditors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413" w:type="dxa"/>
        <w:jc w:val="left"/>
        <w:tblInd w:w="0" w:type="dxa"/>
        <w:tblLayout w:type="fixed"/>
        <w:tblCellMar>
          <w:top w:w="28" w:type="dxa"/>
          <w:left w:w="28" w:type="dxa"/>
          <w:bottom w:w="28" w:type="dxa"/>
          <w:right w:w="28" w:type="dxa"/>
        </w:tblCellMar>
      </w:tblPr>
      <w:tblGrid>
        <w:gridCol w:w="780"/>
        <w:gridCol w:w="688"/>
        <w:gridCol w:w="691"/>
        <w:gridCol w:w="149"/>
        <w:gridCol w:w="149"/>
        <w:gridCol w:w="151"/>
        <w:gridCol w:w="819"/>
        <w:gridCol w:w="819"/>
        <w:gridCol w:w="1167"/>
      </w:tblGrid>
      <w:tr>
        <w:trPr/>
        <w:tc>
          <w:tcPr>
            <w:tcW w:w="7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August 8, 2023</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Kevin Feeley</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Kevin Feeley</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w:t>
            </w:r>
          </w:p>
          <w:p>
            <w:pPr>
              <w:pStyle w:val="TableContents"/>
              <w:bidi w:val="0"/>
              <w:spacing w:lineRule="auto" w:line="240" w:before="0" w:after="30"/>
              <w:jc w:val="left"/>
              <w:rPr>
                <w:rFonts w:ascii="Times New Roman;sans-serif" w:hAnsi="Times New Roman;sans-serif"/>
                <w:b w:val="false"/>
                <w:color w:val="000000"/>
                <w:sz w:val="24"/>
              </w:rPr>
            </w:pPr>
            <w:r>
              <w:rPr>
                <w:rFonts w:ascii="Times New Roman;sans-serif" w:hAnsi="Times New Roman;sans-serif"/>
                <w:b w:val="false"/>
                <w:color w:val="000000"/>
                <w:sz w:val="24"/>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ans-serif" w:hAnsi="Times New Roman;sans-serif"/>
          <w:b/>
          <w:color w:val="000000"/>
          <w:sz w:val="24"/>
        </w:rPr>
      </w:pPr>
      <w:r>
        <w:rPr>
          <w:rFonts w:ascii="Times New Roman;sans-serif" w:hAnsi="Times New Roman;sans-serif"/>
          <w:b/>
          <w:color w:val="000000"/>
          <w:sz w:val="24"/>
        </w:rPr>
        <w:t>Exhibit 32.1</w:t>
      </w:r>
    </w:p>
    <w:p>
      <w:pPr>
        <w:pStyle w:val="TextBody"/>
        <w:bidi w:val="0"/>
        <w:spacing w:before="0" w:after="0"/>
        <w:jc w:val="right"/>
        <w:rPr/>
      </w:pPr>
      <w:r>
        <w:rPr/>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 PURSUANT TO</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18 U.S.C. SECTION 1350,</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AS ADOPTED PURSUANT TO</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SECTION 906 OF THE SARBANES-OXLEY ACT OF 2002</w:t>
      </w:r>
    </w:p>
    <w:p>
      <w:pPr>
        <w:pStyle w:val="TextBody"/>
        <w:bidi w:val="0"/>
        <w:spacing w:before="0" w:after="0"/>
        <w:jc w:val="center"/>
        <w:rPr/>
      </w:pPr>
      <w:r>
        <w:rPr/>
      </w:r>
    </w:p>
    <w:p>
      <w:pPr>
        <w:pStyle w:val="TextBody"/>
        <w:bidi w:val="0"/>
        <w:spacing w:lineRule="auto" w:line="31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 connection with the Quarterly Report of GeneDx Holdings Corp. (the “registrant”) on Form 10-Q for the quarterly period ended June 30, 2023, as filed with the Securities and Exchange Commission (the “Report”), I, Katherine Stueland, Chief Executive Officer of the registrant, certify, pursuant to 18 U.S.C. §1350, as added by §906 of the Sarbanes-Oxley Act of 2002, that:</w:t>
      </w:r>
    </w:p>
    <w:p>
      <w:pPr>
        <w:pStyle w:val="TextBody"/>
        <w:bidi w:val="0"/>
        <w:spacing w:lineRule="auto" w:line="312"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24"/>
        </w:rPr>
        <w:t>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24"/>
        </w:rPr>
        <w:t>To my knowledge, the information contained in the Report fairly presents, in all material respects, the financial condition and results of operations of the registrant.</w:t>
      </w:r>
    </w:p>
    <w:p>
      <w:pPr>
        <w:pStyle w:val="TextBody"/>
        <w:bidi w:val="0"/>
        <w:spacing w:before="0" w:after="0"/>
        <w:jc w:val="both"/>
        <w:rPr/>
      </w:pPr>
      <w:r>
        <w:rPr/>
      </w:r>
    </w:p>
    <w:tbl>
      <w:tblPr>
        <w:tblW w:w="5487" w:type="dxa"/>
        <w:jc w:val="left"/>
        <w:tblInd w:w="0" w:type="dxa"/>
        <w:tblLayout w:type="fixed"/>
        <w:tblCellMar>
          <w:top w:w="28" w:type="dxa"/>
          <w:left w:w="28" w:type="dxa"/>
          <w:bottom w:w="28" w:type="dxa"/>
          <w:right w:w="28" w:type="dxa"/>
        </w:tblCellMar>
      </w:tblPr>
      <w:tblGrid>
        <w:gridCol w:w="780"/>
        <w:gridCol w:w="688"/>
        <w:gridCol w:w="691"/>
        <w:gridCol w:w="149"/>
        <w:gridCol w:w="149"/>
        <w:gridCol w:w="151"/>
        <w:gridCol w:w="840"/>
        <w:gridCol w:w="840"/>
        <w:gridCol w:w="1199"/>
      </w:tblGrid>
      <w:tr>
        <w:trPr/>
        <w:tc>
          <w:tcPr>
            <w:tcW w:w="7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August 8, 2023</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Katherine Stueland</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Katherine Stueland</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Chief Executive Officer </w:t>
            </w:r>
          </w:p>
          <w:p>
            <w:pPr>
              <w:pStyle w:val="TableContents"/>
              <w:bidi w:val="0"/>
              <w:spacing w:lineRule="auto" w:line="240" w:before="0" w:after="30"/>
              <w:jc w:val="left"/>
              <w:rPr>
                <w:rFonts w:ascii="Times New Roman;sans-serif" w:hAnsi="Times New Roman;sans-serif"/>
                <w:b w:val="false"/>
                <w:color w:val="000000"/>
                <w:sz w:val="24"/>
              </w:rPr>
            </w:pPr>
            <w:r>
              <w:rPr>
                <w:rFonts w:ascii="Times New Roman;sans-serif" w:hAnsi="Times New Roman;sans-serif"/>
                <w:b w:val="false"/>
                <w:color w:val="000000"/>
                <w:sz w:val="24"/>
              </w:rPr>
              <w:t>(Principal Executive Officer)</w:t>
            </w:r>
          </w:p>
        </w:tc>
      </w:tr>
    </w:tbl>
    <w:p>
      <w:pPr>
        <w:pStyle w:val="TextBody"/>
        <w:bidi w:val="0"/>
        <w:spacing w:before="0" w:after="0"/>
        <w:jc w:val="left"/>
        <w:rPr/>
      </w:pPr>
      <w:r>
        <w:rPr/>
      </w:r>
    </w:p>
    <w:p>
      <w:pPr>
        <w:pStyle w:val="TextBody"/>
        <w:bidi w:val="0"/>
        <w:spacing w:before="0" w:after="0"/>
        <w:jc w:val="righ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ans-serif" w:hAnsi="Times New Roman;sans-serif"/>
          <w:b/>
          <w:color w:val="000000"/>
          <w:sz w:val="24"/>
        </w:rPr>
      </w:pPr>
      <w:r>
        <w:rPr>
          <w:rFonts w:ascii="Times New Roman;sans-serif" w:hAnsi="Times New Roman;sans-serif"/>
          <w:b/>
          <w:color w:val="000000"/>
          <w:sz w:val="24"/>
        </w:rPr>
        <w:t>Exhibit 32.2</w:t>
      </w:r>
    </w:p>
    <w:p>
      <w:pPr>
        <w:pStyle w:val="TextBody"/>
        <w:bidi w:val="0"/>
        <w:spacing w:before="0" w:after="0"/>
        <w:jc w:val="right"/>
        <w:rPr/>
      </w:pPr>
      <w:r>
        <w:rPr/>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 PURSUANT TO</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18 U.S.C. SECTION 1350,</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AS ADOPTED PURSUANT TO</w:t>
      </w:r>
    </w:p>
    <w:p>
      <w:pPr>
        <w:pStyle w:val="TextBody"/>
        <w:bidi w:val="0"/>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SECTION 906 OF THE SARBANES-OXLEY ACT OF 2002</w:t>
      </w:r>
    </w:p>
    <w:p>
      <w:pPr>
        <w:pStyle w:val="TextBody"/>
        <w:bidi w:val="0"/>
        <w:spacing w:before="0" w:after="0"/>
        <w:jc w:val="center"/>
        <w:rPr/>
      </w:pPr>
      <w:r>
        <w:rPr/>
      </w:r>
    </w:p>
    <w:p>
      <w:pPr>
        <w:pStyle w:val="TextBody"/>
        <w:bidi w:val="0"/>
        <w:spacing w:lineRule="auto" w:line="31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 connection with the Quarterly Report of GeneDx Holdings Corp. (the “registrant”) on Form 10-Q for the quarterly period ended June 30, 2023, as filed with the Securities and Exchange Commission (the “Report”), I, Kevin Feeley, Chief Financial Officer of the registrant, certify, pursuant to 18 U.S.C. §1350, as added by §906 of the Sarbanes-Oxley Act of 2002, that:</w:t>
      </w:r>
    </w:p>
    <w:p>
      <w:pPr>
        <w:pStyle w:val="TextBody"/>
        <w:bidi w:val="0"/>
        <w:spacing w:lineRule="auto" w:line="312"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24"/>
        </w:rPr>
        <w:t>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312"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24"/>
        </w:rPr>
        <w:t>To my knowledge, the information contained in the Report fairly presents, in all material respects, the financial condition and results of operations of the registrant.</w:t>
      </w:r>
    </w:p>
    <w:p>
      <w:pPr>
        <w:pStyle w:val="TextBody"/>
        <w:bidi w:val="0"/>
        <w:spacing w:before="0" w:after="0"/>
        <w:jc w:val="both"/>
        <w:rPr/>
      </w:pPr>
      <w:r>
        <w:rPr/>
      </w:r>
    </w:p>
    <w:tbl>
      <w:tblPr>
        <w:tblW w:w="5413" w:type="dxa"/>
        <w:jc w:val="left"/>
        <w:tblInd w:w="0" w:type="dxa"/>
        <w:tblLayout w:type="fixed"/>
        <w:tblCellMar>
          <w:top w:w="28" w:type="dxa"/>
          <w:left w:w="28" w:type="dxa"/>
          <w:bottom w:w="28" w:type="dxa"/>
          <w:right w:w="28" w:type="dxa"/>
        </w:tblCellMar>
      </w:tblPr>
      <w:tblGrid>
        <w:gridCol w:w="780"/>
        <w:gridCol w:w="688"/>
        <w:gridCol w:w="691"/>
        <w:gridCol w:w="149"/>
        <w:gridCol w:w="149"/>
        <w:gridCol w:w="151"/>
        <w:gridCol w:w="819"/>
        <w:gridCol w:w="819"/>
        <w:gridCol w:w="1167"/>
      </w:tblGrid>
      <w:tr>
        <w:trPr/>
        <w:tc>
          <w:tcPr>
            <w:tcW w:w="7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August 8, 2023</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Kevin Feeley</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Kevin Feeley</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Chief Financial Officer </w:t>
            </w:r>
          </w:p>
          <w:p>
            <w:pPr>
              <w:pStyle w:val="TableContents"/>
              <w:bidi w:val="0"/>
              <w:spacing w:lineRule="auto" w:line="240" w:before="0" w:after="30"/>
              <w:jc w:val="left"/>
              <w:rPr>
                <w:rFonts w:ascii="Times New Roman;sans-serif" w:hAnsi="Times New Roman;sans-serif"/>
                <w:b w:val="false"/>
                <w:color w:val="000000"/>
                <w:sz w:val="24"/>
              </w:rPr>
            </w:pPr>
            <w:r>
              <w:rPr>
                <w:rFonts w:ascii="Times New Roman;sans-serif" w:hAnsi="Times New Roman;sans-serif"/>
                <w:b w:val="false"/>
                <w:color w:val="000000"/>
                <w:sz w:val="24"/>
              </w:rPr>
              <w:t>(Principal Financial Officer)</w:t>
            </w:r>
          </w:p>
        </w:tc>
      </w:tr>
    </w:tbl>
    <w:p>
      <w:pPr>
        <w:pStyle w:val="TextBody"/>
        <w:bidi w:val="0"/>
        <w:spacing w:before="0" w:after="0"/>
        <w:jc w:val="left"/>
        <w:rPr/>
      </w:pPr>
      <w:r>
        <w:rPr/>
      </w:r>
    </w:p>
    <w:p>
      <w:pPr>
        <w:pStyle w:val="TextBody"/>
        <w:bidi w:val="0"/>
        <w:spacing w:before="0" w:after="0"/>
        <w:jc w:val="right"/>
        <w:rPr/>
      </w:pPr>
      <w:r>
        <w:rPr/>
      </w:r>
    </w:p>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18331/000162828021014760/exhibit31-super8xk.htm" TargetMode="External"/><Relationship Id="rId4" Type="http://schemas.openxmlformats.org/officeDocument/2006/relationships/hyperlink" Target="https://www.sec.gov/Archives/edgar/data/1818331/000181833123000006/sema4-certificateofamendme.htm" TargetMode="External"/><Relationship Id="rId5" Type="http://schemas.openxmlformats.org/officeDocument/2006/relationships/hyperlink" Target="https://www.sec.gov/Archives/edgar/data/1818331/000162828023011808/exhibit31-8xkx4172023.htm" TargetMode="External"/><Relationship Id="rId6" Type="http://schemas.openxmlformats.org/officeDocument/2006/relationships/hyperlink" Target="https://www.sec.gov/Archives/edgar/data/1818331/000162828023011808/exhibit31-8xkx4172023.htm" TargetMode="External"/><Relationship Id="rId7" Type="http://schemas.openxmlformats.org/officeDocument/2006/relationships/hyperlink" Target="https://www.sec.gov/Archives/edgar/data/1818331/000181833123000030/exhibit31exhibita-genedxxc.htm" TargetMode="External"/><Relationship Id="rId8" Type="http://schemas.openxmlformats.org/officeDocument/2006/relationships/hyperlink" Target="https://www.sec.gov/Archives/edgar/data/1818331/000181833123000030/exhibit31exhibita-genedxxc.htm" TargetMode="External"/><Relationship Id="rId9" Type="http://schemas.openxmlformats.org/officeDocument/2006/relationships/hyperlink" Target="https://www.sec.gov/Archives/edgar/data/1818331/000181833123000006/sema4-amendedandrestatedby.htm" TargetMode="External"/><Relationship Id="rId10" Type="http://schemas.openxmlformats.org/officeDocument/2006/relationships/hyperlink" Target="https://www.sec.gov/Archives/edgar/data/1818331/000181833123000056/genedx-2023equityinducemen.htm" TargetMode="External"/><Relationship Id="rId11" Type="http://schemas.openxmlformats.org/officeDocument/2006/relationships/hyperlink" Target="https://www.sec.gov/Archives/edgar/data/1818331/000181833123000056/genedx-formofinducementsto.htm" TargetMode="External"/><Relationship Id="rId12" Type="http://schemas.openxmlformats.org/officeDocument/2006/relationships/hyperlink" Target="https://www.sec.gov/Archives/edgar/data/1818331/000181833123000056/genedx-formofinducementsto.htm" TargetMode="External"/><Relationship Id="rId13" Type="http://schemas.openxmlformats.org/officeDocument/2006/relationships/hyperlink" Target="https://www.sec.gov/Archives/edgar/data/1818331/000181833123000056/genedx-formofinducementsto.htm" TargetMode="External"/><Relationship Id="rId14" Type="http://schemas.openxmlformats.org/officeDocument/2006/relationships/hyperlink" Target="https://www.sec.gov/Archives/edgar/data/1818331/000181833123000056/genedx-formofinducementsto.htm" TargetMode="External"/><Relationship Id="rId15" Type="http://schemas.openxmlformats.org/officeDocument/2006/relationships/hyperlink" Target="https://www.sec.gov/Archives/edgar/data/1818331/000181833123000056/genedx-formofinducementsto.htm" TargetMode="External"/><Relationship Id="rId16" Type="http://schemas.openxmlformats.org/officeDocument/2006/relationships/hyperlink" Target="https://www.sec.gov/Archives/edgar/data/1818331/000181833123000056/genedx-formofinducementrsu.htm" TargetMode="External"/><Relationship Id="rId17" Type="http://schemas.openxmlformats.org/officeDocument/2006/relationships/hyperlink" Target="https://www.sec.gov/Archives/edgar/data/1818331/000181833123000056/genedx-formofinducementrsu.htm" TargetMode="External"/><Relationship Id="rId18" Type="http://schemas.openxmlformats.org/officeDocument/2006/relationships/hyperlink" Target="https://www.sec.gov/Archives/edgar/data/1818331/000181833123000056/genedx-formofinducementrsu.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64460</Words>
  <Characters>359034</Characters>
  <CharactersWithSpaces>421017</CharactersWithSpaces>
  <Paragraphs>3991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