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63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637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63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440" w:right="9160" w:hanging="7"/>
        <w:spacing w:after="0" w:line="225" w:lineRule="exact"/>
        <w:tabs>
          <w:tab w:leader="none" w:pos="1027"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rFonts w:ascii="MS PGothic" w:cs="MS PGothic" w:eastAsia="MS PGothic" w:hAnsi="MS PGothic"/>
          <w:sz w:val="17"/>
          <w:szCs w:val="17"/>
          <w:color w:val="auto"/>
        </w:rPr>
      </w:pPr>
    </w:p>
    <w:p>
      <w:pPr>
        <w:spacing w:after="0" w:line="277" w:lineRule="auto"/>
        <w:rPr>
          <w:rFonts w:ascii="MS PGothic" w:cs="MS PGothic" w:eastAsia="MS PGothic" w:hAnsi="MS PGothic"/>
          <w:sz w:val="17"/>
          <w:szCs w:val="17"/>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hanging="57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4" w:lineRule="exact"/>
        <w:rPr>
          <w:sz w:val="20"/>
          <w:szCs w:val="20"/>
          <w:color w:val="auto"/>
        </w:rPr>
      </w:pPr>
    </w:p>
    <w:p>
      <w:pPr>
        <w:ind w:left="920" w:hanging="575"/>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480" w:hanging="568"/>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480" w:hanging="568"/>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61976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-143510</wp:posOffset>
            </wp:positionV>
            <wp:extent cx="61976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1" w:lineRule="exact"/>
        <w:rPr>
          <w:sz w:val="20"/>
          <w:szCs w:val="20"/>
          <w:color w:val="auto"/>
        </w:rPr>
      </w:pPr>
    </w:p>
    <w:p>
      <w:pPr>
        <w:ind w:left="920" w:hanging="57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19" w:lineRule="exact"/>
        <w:rPr>
          <w:sz w:val="20"/>
          <w:szCs w:val="20"/>
          <w:color w:val="auto"/>
        </w:rPr>
      </w:pPr>
    </w:p>
    <w:p>
      <w:pPr>
        <w:ind w:left="920" w:right="7680" w:hanging="575"/>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60"/>
          </w:cols>
          <w:pgMar w:left="320" w:top="908" w:right="359" w:bottom="1440" w:gutter="0" w:footer="0" w:header="0"/>
          <w:type w:val="continuous"/>
        </w:sectPr>
      </w:pPr>
    </w:p>
    <w:p>
      <w:pPr>
        <w:ind w:left="2260" w:right="7080" w:hanging="565"/>
        <w:spacing w:after="0" w:line="341" w:lineRule="auto"/>
        <w:tabs>
          <w:tab w:leader="none" w:pos="2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Shared Dispositive Power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920" w:right="5500" w:hanging="575"/>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31" w:lineRule="exact"/>
        <w:rPr>
          <w:sz w:val="20"/>
          <w:szCs w:val="20"/>
          <w:color w:val="auto"/>
        </w:rPr>
      </w:pPr>
    </w:p>
    <w:p>
      <w:pPr>
        <w:ind w:left="920" w:hanging="575"/>
        <w:spacing w:after="0" w:line="207" w:lineRule="exact"/>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Units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(3)</w:t>
      </w:r>
    </w:p>
    <w:p>
      <w:pPr>
        <w:spacing w:after="0" w:line="271" w:lineRule="exact"/>
        <w:rPr>
          <w:rFonts w:ascii="Arial" w:cs="Arial" w:eastAsia="Arial" w:hAnsi="Arial"/>
          <w:sz w:val="18"/>
          <w:szCs w:val="18"/>
          <w:color w:val="auto"/>
        </w:rPr>
      </w:pPr>
    </w:p>
    <w:p>
      <w:pPr>
        <w:ind w:left="920" w:right="6520" w:hanging="575"/>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19.9% (4)</w:t>
      </w:r>
    </w:p>
    <w:p>
      <w:pPr>
        <w:spacing w:after="0" w:line="183" w:lineRule="exact"/>
        <w:rPr>
          <w:rFonts w:ascii="Arial" w:cs="Arial" w:eastAsia="Arial" w:hAnsi="Arial"/>
          <w:sz w:val="18"/>
          <w:szCs w:val="18"/>
          <w:color w:val="auto"/>
        </w:rPr>
      </w:pPr>
    </w:p>
    <w:p>
      <w:pPr>
        <w:ind w:left="920" w:right="7140" w:hanging="575"/>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-859155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right="2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10,993,750 shares of Class A common stock of CM Life Sciences, Inc. (the “Issuer”), par value $0.0001 per share (“Class A Common Stock”), issuable upon conversion of 10,993,750 shares of Class B common stock of the Company, par value $0.0001 per share (“Class B Common Stock”). 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on a one-for-one basis, subject to adjustment, and have no expiration date.</w:t>
      </w:r>
    </w:p>
    <w:p>
      <w:pPr>
        <w:spacing w:after="0" w:line="1" w:lineRule="exact"/>
        <w:rPr>
          <w:rFonts w:ascii="Arial" w:cs="Arial" w:eastAsia="Arial" w:hAnsi="Arial"/>
          <w:sz w:val="18"/>
          <w:szCs w:val="18"/>
          <w:color w:val="auto"/>
        </w:rPr>
      </w:pPr>
    </w:p>
    <w:p>
      <w:pPr>
        <w:ind w:left="660" w:right="22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Excludes 7,236,667 shares of Class A Common Stock issuable upon the exercise of 7,236,667private placement warrants of the Issuer. Each private placement warrant is exercisable to purchase one shares of Class A Common Stock at a price of $11.50 per share, subject to adjustment, becomes exercisable 30 days after the completion of the Issuer’s initial business combination and expires five years after the completion of the Issuer’s initial business combination or earlier upon redemption or liquidation, as described under the heading “Description of Securities— Redeemable Warrants—Private Placement Warrants” in the Registration Statement.</w:t>
      </w:r>
    </w:p>
    <w:p>
      <w:pPr>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jc w:val="both"/>
        <w:ind w:left="660" w:right="220" w:hanging="328"/>
        <w:spacing w:after="0" w:line="32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44,275,000 shares of Class A common stock, par value $0.0001 per share, and 11,068,750 shares of Class B common stock, par value $0.0001 per share, outstanding as of November 16, 2020, as reported by the Issuer in its Form 10-Q filed with the SEC on November 16, 2020.</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hanging="57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4" w:lineRule="exact"/>
        <w:rPr>
          <w:sz w:val="20"/>
          <w:szCs w:val="20"/>
          <w:color w:val="auto"/>
        </w:rPr>
      </w:pPr>
    </w:p>
    <w:p>
      <w:pPr>
        <w:ind w:left="920" w:hanging="575"/>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480" w:hanging="568"/>
        <w:spacing w:after="0" w:line="207" w:lineRule="exact"/>
        <w:tabs>
          <w:tab w:leader="none" w:pos="14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480" w:hanging="568"/>
        <w:spacing w:after="0" w:line="207" w:lineRule="exact"/>
        <w:tabs>
          <w:tab w:leader="none" w:pos="14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61976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-143510</wp:posOffset>
            </wp:positionV>
            <wp:extent cx="61976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1" w:lineRule="exact"/>
        <w:rPr>
          <w:sz w:val="20"/>
          <w:szCs w:val="20"/>
          <w:color w:val="auto"/>
        </w:rPr>
      </w:pPr>
    </w:p>
    <w:p>
      <w:pPr>
        <w:ind w:left="920" w:hanging="57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19" w:lineRule="exact"/>
        <w:rPr>
          <w:sz w:val="20"/>
          <w:szCs w:val="20"/>
          <w:color w:val="auto"/>
        </w:rPr>
      </w:pPr>
    </w:p>
    <w:p>
      <w:pPr>
        <w:ind w:left="920" w:right="7700" w:hanging="575"/>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341" w:lineRule="auto"/>
        <w:tabs>
          <w:tab w:leader="none" w:pos="2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Shared Dispositive Power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920" w:right="5520" w:hanging="575"/>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31" w:lineRule="exact"/>
        <w:rPr>
          <w:sz w:val="20"/>
          <w:szCs w:val="20"/>
          <w:color w:val="auto"/>
        </w:rPr>
      </w:pPr>
    </w:p>
    <w:p>
      <w:pPr>
        <w:ind w:left="920" w:hanging="575"/>
        <w:spacing w:after="0" w:line="207" w:lineRule="exact"/>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Units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(3)</w:t>
      </w:r>
    </w:p>
    <w:p>
      <w:pPr>
        <w:spacing w:after="0" w:line="271" w:lineRule="exact"/>
        <w:rPr>
          <w:rFonts w:ascii="Arial" w:cs="Arial" w:eastAsia="Arial" w:hAnsi="Arial"/>
          <w:sz w:val="18"/>
          <w:szCs w:val="18"/>
          <w:color w:val="auto"/>
        </w:rPr>
      </w:pPr>
    </w:p>
    <w:p>
      <w:pPr>
        <w:ind w:left="920" w:right="6540" w:hanging="575"/>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19.9% (4)</w:t>
      </w:r>
    </w:p>
    <w:p>
      <w:pPr>
        <w:spacing w:after="0" w:line="183" w:lineRule="exact"/>
        <w:rPr>
          <w:rFonts w:ascii="Arial" w:cs="Arial" w:eastAsia="Arial" w:hAnsi="Arial"/>
          <w:sz w:val="18"/>
          <w:szCs w:val="18"/>
          <w:color w:val="auto"/>
        </w:rPr>
      </w:pPr>
    </w:p>
    <w:p>
      <w:pPr>
        <w:ind w:left="920" w:right="7160" w:hanging="575"/>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-859155</wp:posOffset>
            </wp:positionV>
            <wp:extent cx="65576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line="26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Reflects 10,993,750 shares of Class A Common Stock, issuable upon conversion of 10,993,750 shares of Class B Common Stock. 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on a one-for-one basis, subject to adjustment, and have no expiration date.</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7,236,667 shares of Class A Common Stock issuable upon the exercise of 7,236,667private placement warrants of the Issuer. Each private placement warrant is exercisable to purchase one shares of Class A Common Stock at a price of $11.50 per share, subject to adjustment, becomes exercisable 30 days after the completion of the Issuer’s initial business combination and expires five years after the completion of the Issuer’s initial business combination or earlier upon redemption or liquidation, as described under the heading “Description of Securities— Redeemable Warrants—Private Placement Warrants” in the Registration Statement.</w:t>
      </w:r>
    </w:p>
    <w:p>
      <w:pPr>
        <w:ind w:left="660" w:right="2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jc w:val="both"/>
        <w:ind w:left="660" w:right="240" w:hanging="328"/>
        <w:spacing w:after="0" w:line="32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44,275,000 shares of Class A common stock, par value $0.0001 per share, and 11,068,750 shares of Class B common stock, par value $0.0001 per share, outstanding as of November 16, 2020, as reported by the Issuer in its Form 10-Q filed with the SEC on November 16, 2020.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hanging="575"/>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4" w:lineRule="exact"/>
        <w:rPr>
          <w:sz w:val="20"/>
          <w:szCs w:val="20"/>
          <w:color w:val="auto"/>
        </w:rPr>
      </w:pPr>
    </w:p>
    <w:p>
      <w:pPr>
        <w:ind w:left="920" w:hanging="575"/>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480" w:hanging="568"/>
        <w:spacing w:after="0" w:line="207" w:lineRule="exact"/>
        <w:tabs>
          <w:tab w:leader="none" w:pos="14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480" w:hanging="568"/>
        <w:spacing w:after="0" w:line="207" w:lineRule="exact"/>
        <w:tabs>
          <w:tab w:leader="none" w:pos="14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61976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-143510</wp:posOffset>
            </wp:positionV>
            <wp:extent cx="61976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1" w:lineRule="exact"/>
        <w:rPr>
          <w:sz w:val="20"/>
          <w:szCs w:val="20"/>
          <w:color w:val="auto"/>
        </w:rPr>
      </w:pPr>
    </w:p>
    <w:p>
      <w:pPr>
        <w:ind w:left="920" w:hanging="575"/>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19" w:lineRule="exact"/>
        <w:rPr>
          <w:sz w:val="20"/>
          <w:szCs w:val="20"/>
          <w:color w:val="auto"/>
        </w:rPr>
      </w:pPr>
    </w:p>
    <w:p>
      <w:pPr>
        <w:ind w:left="920" w:right="7700" w:hanging="575"/>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341" w:lineRule="auto"/>
        <w:tabs>
          <w:tab w:leader="none" w:pos="2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Shared Dispositive Power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920" w:right="5520" w:hanging="575"/>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31" w:lineRule="exact"/>
        <w:rPr>
          <w:sz w:val="20"/>
          <w:szCs w:val="20"/>
          <w:color w:val="auto"/>
        </w:rPr>
      </w:pPr>
    </w:p>
    <w:p>
      <w:pPr>
        <w:ind w:left="920" w:hanging="575"/>
        <w:spacing w:after="0" w:line="207" w:lineRule="exact"/>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Units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(3)</w:t>
      </w:r>
    </w:p>
    <w:p>
      <w:pPr>
        <w:spacing w:after="0" w:line="271" w:lineRule="exact"/>
        <w:rPr>
          <w:rFonts w:ascii="Arial" w:cs="Arial" w:eastAsia="Arial" w:hAnsi="Arial"/>
          <w:sz w:val="18"/>
          <w:szCs w:val="18"/>
          <w:color w:val="auto"/>
        </w:rPr>
      </w:pPr>
    </w:p>
    <w:p>
      <w:pPr>
        <w:ind w:left="920" w:right="6540" w:hanging="575"/>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19.9% (4)</w:t>
      </w:r>
    </w:p>
    <w:p>
      <w:pPr>
        <w:spacing w:after="0" w:line="183" w:lineRule="exact"/>
        <w:rPr>
          <w:rFonts w:ascii="Arial" w:cs="Arial" w:eastAsia="Arial" w:hAnsi="Arial"/>
          <w:sz w:val="18"/>
          <w:szCs w:val="18"/>
          <w:color w:val="auto"/>
        </w:rPr>
      </w:pPr>
    </w:p>
    <w:p>
      <w:pPr>
        <w:ind w:left="920" w:right="7160" w:hanging="575"/>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-859155</wp:posOffset>
            </wp:positionV>
            <wp:extent cx="65576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line="26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10,993,750 shares of Class A Common Stock, issuable upon conversion of 10,993,750 shares of Class B Common Stock. 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on a one-for-one basis, subject to adjustment, and have no expiration date.</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Excludes 7,236,667 shares of Class A Common Stock issuable upon the exercise of 7,236,667private placement warrants of the Issuer. Each private placement warrant is exercisable to purchase one shares of Class A Common Stock at a price of $11.50 per share, subject to adjustment, becomes exercisable 30 days after the completion of the Issuer’s initial business combination and expires five years after the completion of the Issuer’s initial business combination or earlier upon redemption or liquidation, as described under the heading “Description of Securities— Redeemable Warrants—Private Placement Warrants” in the Registration Statement.</w:t>
      </w:r>
    </w:p>
    <w:p>
      <w:pPr>
        <w:ind w:left="660" w:right="2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jc w:val="both"/>
        <w:ind w:left="660" w:right="240" w:hanging="328"/>
        <w:spacing w:after="0" w:line="32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44,275,000 shares of Class A common stock, par value $0.0001 per share, and 11,068,750 shares of Class B common stock, par value $0.0001 per share, outstanding as of November 16, 2020, as reported by the Issuer in its Form 10-Q filed with the SEC on November 16, 2020.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hanging="575"/>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4" w:lineRule="exact"/>
        <w:rPr>
          <w:sz w:val="20"/>
          <w:szCs w:val="20"/>
          <w:color w:val="auto"/>
        </w:rPr>
      </w:pPr>
    </w:p>
    <w:p>
      <w:pPr>
        <w:ind w:left="920" w:hanging="575"/>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480" w:hanging="568"/>
        <w:spacing w:after="0" w:line="207" w:lineRule="exact"/>
        <w:tabs>
          <w:tab w:leader="none" w:pos="148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480" w:hanging="568"/>
        <w:spacing w:after="0" w:line="207" w:lineRule="exact"/>
        <w:tabs>
          <w:tab w:leader="none" w:pos="148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61976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-143510</wp:posOffset>
            </wp:positionV>
            <wp:extent cx="61976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1" w:lineRule="exact"/>
        <w:rPr>
          <w:sz w:val="20"/>
          <w:szCs w:val="20"/>
          <w:color w:val="auto"/>
        </w:rPr>
      </w:pPr>
    </w:p>
    <w:p>
      <w:pPr>
        <w:ind w:left="920" w:hanging="575"/>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19" w:lineRule="exact"/>
        <w:rPr>
          <w:sz w:val="20"/>
          <w:szCs w:val="20"/>
          <w:color w:val="auto"/>
        </w:rPr>
      </w:pPr>
    </w:p>
    <w:p>
      <w:pPr>
        <w:ind w:left="920" w:right="7700" w:hanging="575"/>
        <w:spacing w:after="0" w:line="342"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341" w:lineRule="auto"/>
        <w:tabs>
          <w:tab w:leader="none" w:pos="2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Shared Dispositive Power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920" w:right="5520" w:hanging="575"/>
        <w:spacing w:after="0" w:line="277"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31" w:lineRule="exact"/>
        <w:rPr>
          <w:sz w:val="20"/>
          <w:szCs w:val="20"/>
          <w:color w:val="auto"/>
        </w:rPr>
      </w:pPr>
    </w:p>
    <w:p>
      <w:pPr>
        <w:ind w:left="920" w:hanging="575"/>
        <w:spacing w:after="0" w:line="207" w:lineRule="exact"/>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Units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(3)</w:t>
      </w:r>
    </w:p>
    <w:p>
      <w:pPr>
        <w:spacing w:after="0" w:line="271" w:lineRule="exact"/>
        <w:rPr>
          <w:rFonts w:ascii="Arial" w:cs="Arial" w:eastAsia="Arial" w:hAnsi="Arial"/>
          <w:sz w:val="18"/>
          <w:szCs w:val="18"/>
          <w:color w:val="auto"/>
        </w:rPr>
      </w:pPr>
    </w:p>
    <w:p>
      <w:pPr>
        <w:ind w:left="920" w:right="6540" w:hanging="575"/>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19.9% (4)</w:t>
      </w:r>
    </w:p>
    <w:p>
      <w:pPr>
        <w:spacing w:after="0" w:line="183" w:lineRule="exact"/>
        <w:rPr>
          <w:rFonts w:ascii="Arial" w:cs="Arial" w:eastAsia="Arial" w:hAnsi="Arial"/>
          <w:sz w:val="18"/>
          <w:szCs w:val="18"/>
          <w:color w:val="auto"/>
        </w:rPr>
      </w:pPr>
    </w:p>
    <w:p>
      <w:pPr>
        <w:ind w:left="920" w:right="7160" w:hanging="575"/>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-859155</wp:posOffset>
            </wp:positionV>
            <wp:extent cx="65576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line="26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10,993,750 shares of Class A Common Stock, issuable upon conversion of 10,993,750 shares of Class B Common Stock. 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on a one-for-one basis, subject to adjustment, and have no expiration date.</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7,236,667 shares of Class A Common Stock issuable upon the exercise of 7,236,667private placement warrants of the Issuer. Each private placement warrant is exercisable to purchase one shares of Class A Common Stock at a price of $11.50 per share, subject to adjustment, becomes exercisable 30 days after the completion of the Issuer’s initial business combination and expires five years after the completion of the Issuer’s initial business combination or earlier upon redemption or liquidation, as described under the heading “Description of Securities— Redeemable Warrants—Private Placement Warrants” in the Registration Statement.</w:t>
      </w:r>
    </w:p>
    <w:p>
      <w:pPr>
        <w:ind w:left="660" w:right="2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jc w:val="both"/>
        <w:ind w:left="660" w:right="240" w:hanging="328"/>
        <w:spacing w:after="0" w:line="32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44,275,000 shares of Class A common stock, par value $0.0001 per share, and 11,068,750 shares of Class B common stock, par value $0.0001 per share, outstanding as of November 16, 2020, as reported by the Issuer in its Form 10-Q filed with the SEC on November 16, 2020.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920" w:hanging="575"/>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4" w:lineRule="exact"/>
        <w:rPr>
          <w:sz w:val="20"/>
          <w:szCs w:val="20"/>
          <w:color w:val="auto"/>
        </w:rPr>
      </w:pPr>
    </w:p>
    <w:p>
      <w:pPr>
        <w:ind w:left="920" w:hanging="575"/>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480" w:hanging="568"/>
        <w:spacing w:after="0" w:line="207" w:lineRule="exact"/>
        <w:tabs>
          <w:tab w:leader="none" w:pos="14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480" w:hanging="568"/>
        <w:spacing w:after="0" w:line="207" w:lineRule="exact"/>
        <w:tabs>
          <w:tab w:leader="none" w:pos="14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10160</wp:posOffset>
            </wp:positionV>
            <wp:extent cx="61976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-143510</wp:posOffset>
            </wp:positionV>
            <wp:extent cx="619760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211" w:lineRule="exact"/>
        <w:rPr>
          <w:sz w:val="20"/>
          <w:szCs w:val="20"/>
          <w:color w:val="auto"/>
        </w:rPr>
      </w:pPr>
    </w:p>
    <w:p>
      <w:pPr>
        <w:ind w:left="920" w:hanging="575"/>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19" w:lineRule="exact"/>
        <w:rPr>
          <w:sz w:val="20"/>
          <w:szCs w:val="20"/>
          <w:color w:val="auto"/>
        </w:rPr>
      </w:pPr>
    </w:p>
    <w:p>
      <w:pPr>
        <w:ind w:left="920" w:right="7700" w:hanging="575"/>
        <w:spacing w:after="0" w:line="342"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341" w:lineRule="auto"/>
        <w:tabs>
          <w:tab w:leader="none" w:pos="2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Shared Dispositive Power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-48260</wp:posOffset>
            </wp:positionV>
            <wp:extent cx="570039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31" w:lineRule="exact"/>
        <w:rPr>
          <w:sz w:val="20"/>
          <w:szCs w:val="20"/>
          <w:color w:val="auto"/>
        </w:rPr>
      </w:pPr>
    </w:p>
    <w:p>
      <w:pPr>
        <w:ind w:left="920" w:right="5520" w:hanging="575"/>
        <w:spacing w:after="0" w:line="277"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10,993,750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131" w:lineRule="exact"/>
        <w:rPr>
          <w:sz w:val="20"/>
          <w:szCs w:val="20"/>
          <w:color w:val="auto"/>
        </w:rPr>
      </w:pPr>
    </w:p>
    <w:p>
      <w:pPr>
        <w:ind w:left="920" w:hanging="575"/>
        <w:spacing w:after="0" w:line="207" w:lineRule="exact"/>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Units (See Instructions) </w:t>
      </w:r>
      <w:r>
        <w:rPr>
          <w:rFonts w:ascii="MS PGothic" w:cs="MS PGothic" w:eastAsia="MS PGothic" w:hAnsi="MS PGothic"/>
          <w:sz w:val="18"/>
          <w:szCs w:val="18"/>
          <w:color w:val="auto"/>
        </w:rPr>
        <w:t>☒</w:t>
      </w:r>
      <w:r>
        <w:rPr>
          <w:rFonts w:ascii="Arial" w:cs="Arial" w:eastAsia="Arial" w:hAnsi="Arial"/>
          <w:sz w:val="18"/>
          <w:szCs w:val="18"/>
          <w:color w:val="auto"/>
        </w:rPr>
        <w:t xml:space="preserve"> (3)</w:t>
      </w:r>
    </w:p>
    <w:p>
      <w:pPr>
        <w:spacing w:after="0" w:line="271" w:lineRule="exact"/>
        <w:rPr>
          <w:rFonts w:ascii="Arial" w:cs="Arial" w:eastAsia="Arial" w:hAnsi="Arial"/>
          <w:sz w:val="18"/>
          <w:szCs w:val="18"/>
          <w:color w:val="auto"/>
        </w:rPr>
      </w:pPr>
    </w:p>
    <w:p>
      <w:pPr>
        <w:ind w:left="920" w:right="6540" w:hanging="575"/>
        <w:spacing w:after="0" w:line="277"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19.9% (4)</w:t>
      </w:r>
    </w:p>
    <w:p>
      <w:pPr>
        <w:spacing w:after="0" w:line="183" w:lineRule="exact"/>
        <w:rPr>
          <w:rFonts w:ascii="Arial" w:cs="Arial" w:eastAsia="Arial" w:hAnsi="Arial"/>
          <w:sz w:val="18"/>
          <w:szCs w:val="18"/>
          <w:color w:val="auto"/>
        </w:rPr>
      </w:pPr>
    </w:p>
    <w:p>
      <w:pPr>
        <w:ind w:left="920" w:right="7160" w:hanging="575"/>
        <w:spacing w:after="0" w:line="277"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-859155</wp:posOffset>
            </wp:positionV>
            <wp:extent cx="65576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line="269"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10,993,750 shares of Class A Common Stock, issuable upon conversion of 10,993,750 shares of Class B Common Stock. 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on a one-for-one basis, subject to adjustment, and have no expiration date.</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Excludes 7,236,667 shares of Class A Common Stock issuable upon the exercise of 7,236,667private placement warrants of the Issuer. Each private placement warrant is exercisable to purchase one shares of Class A Common Stock at a price of $11.50 per share, subject to adjustment, becomes exercisable 30 days after the completion of the Issuer’s initial business combination and expires five years after the completion of the Issuer’s initial business combination or earlier upon redemption or liquidation, as described under the heading “Description of Securities— Redeemable Warrants—Private Placement Warrants” in the Registration Statement.</w:t>
      </w:r>
    </w:p>
    <w:p>
      <w:pPr>
        <w:ind w:left="660" w:right="20" w:hanging="328"/>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jc w:val="both"/>
        <w:ind w:left="660" w:right="240" w:hanging="328"/>
        <w:spacing w:after="0" w:line="323"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44,275,000 shares of Class A common stock, par value $0.0001 per share, and 11,068,750 shares of Class B common stock, par value $0.0001 per share, outstanding as of November 16, 2020, as reported by the Issuer in its Form 10-Q filed with the SEC on November 16, 2020.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ind w:left="3800"/>
        <w:spacing w:after="0"/>
        <w:rPr>
          <w:sz w:val="20"/>
          <w:szCs w:val="20"/>
          <w:color w:val="auto"/>
        </w:rPr>
      </w:pPr>
      <w:r>
        <w:rPr>
          <w:rFonts w:ascii="Arial" w:cs="Arial" w:eastAsia="Arial" w:hAnsi="Arial"/>
          <w:sz w:val="18"/>
          <w:szCs w:val="18"/>
          <w:b w:val="1"/>
          <w:bCs w:val="1"/>
          <w:u w:val="single" w:color="auto"/>
          <w:color w:val="auto"/>
        </w:rPr>
        <w:t>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9" w:lineRule="exact"/>
        <w:rPr>
          <w:sz w:val="20"/>
          <w:szCs w:val="20"/>
          <w:color w:val="auto"/>
        </w:rPr>
      </w:pPr>
    </w:p>
    <w:p>
      <w:pPr>
        <w:ind w:left="640" w:hanging="314"/>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CMLS Holdings LLC (“CMLS Holdings”), the holder of record of the Class B Common Stock (as defined below) reported herein;</w:t>
      </w:r>
    </w:p>
    <w:p>
      <w:pPr>
        <w:spacing w:after="0" w:line="32" w:lineRule="exact"/>
        <w:rPr>
          <w:rFonts w:ascii="Arial" w:cs="Arial" w:eastAsia="Arial" w:hAnsi="Arial"/>
          <w:sz w:val="16"/>
          <w:szCs w:val="16"/>
          <w:color w:val="auto"/>
        </w:rPr>
      </w:pPr>
    </w:p>
    <w:p>
      <w:pPr>
        <w:ind w:left="660" w:hanging="33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C-LSH LLC (“C-LSH”), member of CMLS Holdings;</w:t>
      </w:r>
    </w:p>
    <w:p>
      <w:pPr>
        <w:spacing w:after="0" w:line="9" w:lineRule="exact"/>
        <w:rPr>
          <w:rFonts w:ascii="Arial" w:cs="Arial" w:eastAsia="Arial" w:hAnsi="Arial"/>
          <w:sz w:val="18"/>
          <w:szCs w:val="18"/>
          <w:color w:val="auto"/>
        </w:rPr>
      </w:pPr>
    </w:p>
    <w:p>
      <w:pPr>
        <w:ind w:left="660" w:hanging="33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M-LSH LLC (“M-LSH”), member of CMLS Holdings;</w:t>
      </w:r>
    </w:p>
    <w:p>
      <w:pPr>
        <w:spacing w:after="0" w:line="9" w:lineRule="exact"/>
        <w:rPr>
          <w:rFonts w:ascii="Arial" w:cs="Arial" w:eastAsia="Arial" w:hAnsi="Arial"/>
          <w:sz w:val="18"/>
          <w:szCs w:val="18"/>
          <w:color w:val="auto"/>
        </w:rPr>
      </w:pPr>
    </w:p>
    <w:p>
      <w:pPr>
        <w:ind w:left="660" w:right="360" w:hanging="334"/>
        <w:spacing w:after="0" w:line="250"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 Casdin (“Mr. Casdin”), an officer and director of the Issuer, member of the Board of Managers of CMLS Holdings and the managing member of C-LSH LLC; and</w:t>
      </w:r>
    </w:p>
    <w:p>
      <w:pPr>
        <w:ind w:left="660" w:right="20" w:hanging="334"/>
        <w:spacing w:after="0" w:line="260" w:lineRule="auto"/>
        <w:tabs>
          <w:tab w:leader="none" w:pos="6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Keith A. Meister (“Mr. Meister”), chairman of the Issuer, member of the Board of Managers of CMLS Holdings and the managing member of M-LSH LLC.</w:t>
      </w:r>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“Reporting Persons.” Any disclosures herein with respect to persons other than the Reporting Persons are made on information and belief after making inquiry to the appropriate party.</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filing of this statement should not be construed in and of itself as an admission by any Reporting Person as to beneficial ownership of the securities reported herein.</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Reporting Persons have entered into a joint filing agreement, filed as Exhibit A to this Schedule 13G, pursuant to which the Reporting Persons agreed to file the Schedule 13G and any amendments thereto in accordance with the provisions of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4122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address of the principal business office of each of CMLS Holdings, M-LSH, Mr. Meister is c/o Corvex Management LP, 667 Madison Avenue, New York, NY 10065.</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address of the principal business office of each of C-LSH and Mr. Casdin is c/o Casdin Capital, LLC, 1260 Avenue of the Americas, Suite 2600,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122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700" w:hanging="37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CMLS Holdings is a Delaware limited liability company;</w:t>
      </w:r>
    </w:p>
    <w:p>
      <w:pPr>
        <w:spacing w:after="0" w:line="9" w:lineRule="exact"/>
        <w:rPr>
          <w:rFonts w:ascii="Arial" w:cs="Arial" w:eastAsia="Arial" w:hAnsi="Arial"/>
          <w:sz w:val="18"/>
          <w:szCs w:val="18"/>
          <w:color w:val="auto"/>
        </w:rPr>
      </w:pPr>
    </w:p>
    <w:p>
      <w:pPr>
        <w:ind w:left="700" w:hanging="37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C-LSH is a Delaware limited liability company;</w:t>
      </w:r>
    </w:p>
    <w:p>
      <w:pPr>
        <w:spacing w:after="0" w:line="9" w:lineRule="exact"/>
        <w:rPr>
          <w:rFonts w:ascii="Arial" w:cs="Arial" w:eastAsia="Arial" w:hAnsi="Arial"/>
          <w:sz w:val="18"/>
          <w:szCs w:val="18"/>
          <w:color w:val="auto"/>
        </w:rPr>
      </w:pPr>
    </w:p>
    <w:p>
      <w:pPr>
        <w:ind w:left="700" w:hanging="37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M-LSH is a Delaware limited liability company;</w:t>
      </w:r>
    </w:p>
    <w:p>
      <w:pPr>
        <w:spacing w:after="0" w:line="9" w:lineRule="exact"/>
        <w:rPr>
          <w:rFonts w:ascii="Arial" w:cs="Arial" w:eastAsia="Arial" w:hAnsi="Arial"/>
          <w:sz w:val="18"/>
          <w:szCs w:val="18"/>
          <w:color w:val="auto"/>
        </w:rPr>
      </w:pPr>
    </w:p>
    <w:p>
      <w:pPr>
        <w:ind w:left="680" w:hanging="35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Casdin is a citizen of the United States of America; and</w:t>
      </w:r>
    </w:p>
    <w:p>
      <w:pPr>
        <w:spacing w:after="0" w:line="9" w:lineRule="exact"/>
        <w:rPr>
          <w:rFonts w:ascii="Arial" w:cs="Arial" w:eastAsia="Arial" w:hAnsi="Arial"/>
          <w:sz w:val="18"/>
          <w:szCs w:val="18"/>
          <w:color w:val="auto"/>
        </w:rPr>
      </w:pPr>
    </w:p>
    <w:p>
      <w:pPr>
        <w:ind w:left="680" w:hanging="35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Meister is a citizen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20" w:space="420"/>
            <w:col w:w="10060"/>
          </w:cols>
          <w:pgMar w:left="320" w:top="904" w:right="37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2" w:lineRule="exact"/>
        <w:rPr>
          <w:sz w:val="20"/>
          <w:szCs w:val="20"/>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5"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1340" w:hanging="239"/>
        <w:spacing w:after="0" w:line="207" w:lineRule="exact"/>
        <w:tabs>
          <w:tab w:leader="none" w:pos="134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1360" w:hanging="259"/>
        <w:spacing w:after="0" w:line="207" w:lineRule="exact"/>
        <w:tabs>
          <w:tab w:leader="none" w:pos="1360" w:val="left"/>
        </w:tabs>
        <w:numPr>
          <w:ilvl w:val="0"/>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780" w:hanging="665"/>
        <w:spacing w:after="0" w:line="215" w:lineRule="exact"/>
        <w:tabs>
          <w:tab w:leader="none" w:pos="1335"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340" w:hanging="225"/>
        <w:spacing w:after="0" w:line="207" w:lineRule="exact"/>
        <w:tabs>
          <w:tab w:leader="none" w:pos="134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7"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4(a) and </w:t>
      </w:r>
      <w:r>
        <w:rPr>
          <w:rFonts w:ascii="Arial" w:cs="Arial" w:eastAsia="Arial" w:hAnsi="Arial"/>
          <w:sz w:val="18"/>
          <w:szCs w:val="18"/>
          <w:color w:val="auto"/>
        </w:rPr>
        <w:t>Amount beneficially owned; Percent of class: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4(b)</w:t>
      </w:r>
    </w:p>
    <w:p>
      <w:pPr>
        <w:spacing w:after="0" w:line="9" w:lineRule="exact"/>
        <w:rPr>
          <w:sz w:val="20"/>
          <w:szCs w:val="20"/>
          <w:color w:val="auto"/>
        </w:rPr>
      </w:pPr>
    </w:p>
    <w:p>
      <w:pPr>
        <w:ind w:left="1140" w:right="20"/>
        <w:spacing w:after="0" w:line="295" w:lineRule="auto"/>
        <w:rPr>
          <w:sz w:val="20"/>
          <w:szCs w:val="20"/>
          <w:color w:val="auto"/>
        </w:rPr>
      </w:pPr>
      <w:r>
        <w:rPr>
          <w:rFonts w:ascii="Arial" w:cs="Arial" w:eastAsia="Arial" w:hAnsi="Arial"/>
          <w:sz w:val="16"/>
          <w:szCs w:val="16"/>
          <w:color w:val="auto"/>
        </w:rPr>
        <w:t>As of December 31, 2020, each of the Reporting Persons may be deemed the beneficial owner of 10,993,750 shares of Class B common stock, par value $0.0001 per share (“Class B Common Stock”), representing approximately 19.9% of the total number of outstanding shares of common stock outstanding (based on 44,275,000 shares of Class A Common Stock and 11,068,750 shares of Class B Common Stock outstanding as of November 16, 2020, as reported by the Issuer in its Form 10-Q filed with the SEC on November 16, 2020).</w:t>
      </w:r>
    </w:p>
    <w:p>
      <w:pPr>
        <w:spacing w:after="0" w:line="161" w:lineRule="exact"/>
        <w:rPr>
          <w:sz w:val="20"/>
          <w:szCs w:val="20"/>
          <w:color w:val="auto"/>
        </w:rPr>
      </w:pPr>
    </w:p>
    <w:p>
      <w:pPr>
        <w:ind w:left="1140" w:right="180"/>
        <w:spacing w:after="0" w:line="286"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the Issuer’s initial business combination or earlier at the option of the holder as described under the heading “Description of Securities—Founder Shares” in the Registration Statement, on a one-for-one basis, subject to adjustment, and have no expiration date.</w:t>
      </w:r>
    </w:p>
    <w:p>
      <w:pPr>
        <w:spacing w:after="0" w:line="165" w:lineRule="exact"/>
        <w:rPr>
          <w:sz w:val="20"/>
          <w:szCs w:val="20"/>
          <w:color w:val="auto"/>
        </w:rPr>
      </w:pPr>
    </w:p>
    <w:p>
      <w:pPr>
        <w:ind w:left="1140" w:right="40"/>
        <w:spacing w:after="0" w:line="257" w:lineRule="auto"/>
        <w:rPr>
          <w:sz w:val="20"/>
          <w:szCs w:val="20"/>
          <w:color w:val="auto"/>
        </w:rPr>
      </w:pPr>
      <w:r>
        <w:rPr>
          <w:rFonts w:ascii="Arial" w:cs="Arial" w:eastAsia="Arial" w:hAnsi="Arial"/>
          <w:sz w:val="18"/>
          <w:szCs w:val="18"/>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the Sponsor.</w:t>
      </w:r>
    </w:p>
    <w:p>
      <w:pPr>
        <w:spacing w:after="0" w:line="188"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Each of C-LSH LLC, M-LSH LLC and Messrs. Casdin and Meister disclaims beneficial ownership of these shares except to the extent of its or his respective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64122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6"/>
          <w:szCs w:val="16"/>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 w:lineRule="exact"/>
        <w:rPr>
          <w:sz w:val="20"/>
          <w:szCs w:val="20"/>
          <w:color w:val="auto"/>
        </w:rPr>
      </w:pPr>
    </w:p>
    <w:p>
      <w:pPr>
        <w:ind w:left="1700" w:right="6680" w:hanging="366"/>
        <w:spacing w:after="0" w:line="258"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60604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ind w:left="1700" w:right="6500" w:hanging="391"/>
        <w:spacing w:after="0" w:line="291" w:lineRule="auto"/>
        <w:tabs>
          <w:tab w:leader="none" w:pos="1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Shared power to vote or to direct the vote: 10,993,750 (See Items 4(a)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60604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ind w:left="1700" w:right="5780" w:hanging="416"/>
        <w:spacing w:after="0" w:line="258"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 w:lineRule="exact"/>
        <w:rPr>
          <w:rFonts w:ascii="Arial" w:cs="Arial" w:eastAsia="Arial" w:hAnsi="Arial"/>
          <w:sz w:val="18"/>
          <w:szCs w:val="18"/>
          <w:color w:val="auto"/>
        </w:rPr>
      </w:pPr>
    </w:p>
    <w:p>
      <w:pPr>
        <w:ind w:left="1700" w:right="5600" w:hanging="411"/>
        <w:spacing w:after="0" w:line="308"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10,993,750 (See Items 4(a)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60604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-325755</wp:posOffset>
            </wp:positionV>
            <wp:extent cx="60604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1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4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4"/>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655"/>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February 16, 2021</w:t>
            </w: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9"/>
        </w:trPr>
        <w:tc>
          <w:tcPr>
            <w:tcW w:w="3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36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3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16, 2021</w:t>
            </w:r>
          </w:p>
        </w:tc>
        <w:tc>
          <w:tcPr>
            <w:tcW w:w="310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9"/>
        </w:trPr>
        <w:tc>
          <w:tcPr>
            <w:tcW w:w="3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36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3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16, 2021</w:t>
            </w:r>
          </w:p>
        </w:tc>
        <w:tc>
          <w:tcPr>
            <w:tcW w:w="310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9"/>
        </w:trPr>
        <w:tc>
          <w:tcPr>
            <w:tcW w:w="3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36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3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February 16, 2021</w:t>
            </w:r>
          </w:p>
        </w:tc>
        <w:tc>
          <w:tcPr>
            <w:tcW w:w="310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Emes, Attorney-in-Fact</w:t>
            </w:r>
          </w:p>
        </w:tc>
      </w:tr>
      <w:tr>
        <w:trPr>
          <w:trHeight w:val="230"/>
        </w:trPr>
        <w:tc>
          <w:tcPr>
            <w:tcW w:w="3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25"/>
        </w:trPr>
        <w:tc>
          <w:tcPr>
            <w:tcW w:w="3660" w:type="dxa"/>
            <w:vAlign w:val="bottom"/>
          </w:tcPr>
          <w:p>
            <w:pPr>
              <w:spacing w:after="0"/>
              <w:rPr>
                <w:sz w:val="20"/>
                <w:szCs w:val="20"/>
                <w:color w:val="auto"/>
              </w:rPr>
            </w:pPr>
            <w:r>
              <w:rPr>
                <w:rFonts w:ascii="Arial" w:cs="Arial" w:eastAsia="Arial" w:hAnsi="Arial"/>
                <w:sz w:val="18"/>
                <w:szCs w:val="18"/>
                <w:color w:val="auto"/>
              </w:rPr>
              <w:t>Date: February 16, 2021</w:t>
            </w:r>
          </w:p>
        </w:tc>
        <w:tc>
          <w:tcPr>
            <w:tcW w:w="310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Emes, Attorney-in-Fact</w:t>
            </w:r>
          </w:p>
        </w:tc>
      </w:tr>
      <w:tr>
        <w:trPr>
          <w:trHeight w:val="230"/>
        </w:trPr>
        <w:tc>
          <w:tcPr>
            <w:tcW w:w="3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Keith A. Meister</w:t>
            </w:r>
          </w:p>
        </w:tc>
      </w:tr>
      <w:tr>
        <w:trPr>
          <w:trHeight w:val="641"/>
        </w:trPr>
        <w:tc>
          <w:tcPr>
            <w:tcW w:w="3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680" w:hanging="399"/>
        <w:spacing w:after="0"/>
        <w:tabs>
          <w:tab w:leader="none" w:pos="680" w:val="left"/>
        </w:tabs>
        <w:numPr>
          <w:ilvl w:val="0"/>
          <w:numId w:val="48"/>
        </w:numPr>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Joint Filing Agreement</w:t>
        </w:r>
      </w:hyperlink>
    </w:p>
    <w:p>
      <w:pPr>
        <w:spacing w:after="0" w:line="36" w:lineRule="exact"/>
        <w:rPr>
          <w:sz w:val="20"/>
          <w:szCs w:val="20"/>
          <w:color w:val="auto"/>
        </w:rPr>
      </w:pPr>
    </w:p>
    <w:p>
      <w:pPr>
        <w:ind w:left="680" w:hanging="379"/>
        <w:spacing w:after="0"/>
        <w:tabs>
          <w:tab w:leader="none" w:pos="680" w:val="left"/>
        </w:tabs>
        <w:numPr>
          <w:ilvl w:val="0"/>
          <w:numId w:val="49"/>
        </w:numPr>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Power of Attorney of CMLS Holdings LLC (incorporated by reference to Exhibit 24.1 to the Form 3 filed by CMLS Holdings LLC on September</w:t>
        </w:r>
      </w:hyperlink>
    </w:p>
    <w:p>
      <w:pPr>
        <w:spacing w:after="0" w:line="32" w:lineRule="exact"/>
        <w:rPr>
          <w:sz w:val="20"/>
          <w:szCs w:val="20"/>
          <w:color w:val="auto"/>
        </w:rPr>
      </w:pPr>
    </w:p>
    <w:p>
      <w:pPr>
        <w:ind w:left="68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hanging="379"/>
        <w:spacing w:after="0"/>
        <w:tabs>
          <w:tab w:leader="none" w:pos="680" w:val="left"/>
        </w:tabs>
        <w:numPr>
          <w:ilvl w:val="0"/>
          <w:numId w:val="50"/>
        </w:numPr>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Power of Attorney of C-LSH LLC (incorporated by reference to Exhibit 24.2 to the Form 3 filed by C-LSH LLC on September 1, 2020).</w:t>
        </w:r>
      </w:hyperlink>
    </w:p>
    <w:p>
      <w:pPr>
        <w:spacing w:after="0" w:line="20" w:lineRule="exact"/>
        <w:rPr>
          <w:rFonts w:ascii="Arial" w:cs="Arial" w:eastAsia="Arial" w:hAnsi="Arial"/>
          <w:sz w:val="17"/>
          <w:szCs w:val="17"/>
          <w:u w:val="single" w:color="auto"/>
          <w:color w:val="0000EE"/>
        </w:rPr>
      </w:pPr>
    </w:p>
    <w:p>
      <w:pPr>
        <w:ind w:left="300"/>
        <w:spacing w:after="0"/>
        <w:rPr>
          <w:rFonts w:ascii="Arial" w:cs="Arial" w:eastAsia="Arial" w:hAnsi="Arial"/>
          <w:sz w:val="18"/>
          <w:szCs w:val="18"/>
          <w:color w:val="auto"/>
        </w:rPr>
      </w:pPr>
      <w:r>
        <w:rPr>
          <w:rFonts w:ascii="Arial" w:cs="Arial" w:eastAsia="Arial" w:hAnsi="Arial"/>
          <w:sz w:val="18"/>
          <w:szCs w:val="18"/>
          <w:color w:val="auto"/>
        </w:rPr>
        <w:t xml:space="preserve">3   </w:t>
      </w:r>
      <w:hyperlink r:id="rId116">
        <w:r>
          <w:rPr>
            <w:rFonts w:ascii="Arial" w:cs="Arial" w:eastAsia="Arial" w:hAnsi="Arial"/>
            <w:sz w:val="18"/>
            <w:szCs w:val="18"/>
            <w:u w:val="single" w:color="auto"/>
            <w:color w:val="0000EE"/>
          </w:rPr>
          <w:t>Power of Attorney of M-LSH LLC (incorporated by reference to Exhibit 24.3 to the Form 3 filed by M-LSH LLC on September 1, 2020).</w:t>
        </w:r>
      </w:hyperlink>
    </w:p>
    <w:p>
      <w:pPr>
        <w:spacing w:after="0" w:line="9"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 xml:space="preserve">4   </w:t>
      </w:r>
      <w:hyperlink r:id="rId117">
        <w:r>
          <w:rPr>
            <w:rFonts w:ascii="Arial" w:cs="Arial" w:eastAsia="Arial" w:hAnsi="Arial"/>
            <w:sz w:val="18"/>
            <w:szCs w:val="18"/>
            <w:u w:val="single" w:color="auto"/>
            <w:color w:val="0000EE"/>
          </w:rPr>
          <w:t>Power of Attorney of Eli Casdin (incorporated by reference to Exhibit 24.4 to the Form 3 filed by Eli Casdin on September 1, 2020).</w:t>
        </w:r>
      </w:hyperlink>
    </w:p>
    <w:p>
      <w:pPr>
        <w:spacing w:after="0" w:line="9" w:lineRule="exact"/>
        <w:rPr>
          <w:rFonts w:ascii="Arial" w:cs="Arial" w:eastAsia="Arial" w:hAnsi="Arial"/>
          <w:sz w:val="18"/>
          <w:szCs w:val="18"/>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 xml:space="preserve">5   </w:t>
      </w:r>
      <w:hyperlink r:id="rId118">
        <w:r>
          <w:rPr>
            <w:rFonts w:ascii="Arial" w:cs="Arial" w:eastAsia="Arial" w:hAnsi="Arial"/>
            <w:sz w:val="16"/>
            <w:szCs w:val="16"/>
            <w:u w:val="single" w:color="auto"/>
            <w:color w:val="0000EE"/>
          </w:rPr>
          <w:t>Power of Attorney of Keith A. Meister (incorporated by reference to Exhibit 24.5 to the Form 3 filed by Keith A. Meister on September 1, 2020).</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February 16, 2021</w:t>
            </w:r>
          </w:p>
        </w:tc>
        <w:tc>
          <w:tcPr>
            <w:tcW w:w="448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9"/>
        </w:trPr>
        <w:tc>
          <w:tcPr>
            <w:tcW w:w="6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676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Date: February 16, 2021</w:t>
            </w:r>
          </w:p>
        </w:tc>
        <w:tc>
          <w:tcPr>
            <w:tcW w:w="448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9"/>
        </w:trPr>
        <w:tc>
          <w:tcPr>
            <w:tcW w:w="6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676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Date: February 16, 2021</w:t>
            </w:r>
          </w:p>
        </w:tc>
        <w:tc>
          <w:tcPr>
            <w:tcW w:w="448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9"/>
        </w:trPr>
        <w:tc>
          <w:tcPr>
            <w:tcW w:w="6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188"/>
        </w:trPr>
        <w:tc>
          <w:tcPr>
            <w:tcW w:w="6760" w:type="dxa"/>
            <w:vAlign w:val="bottom"/>
          </w:tcPr>
          <w:p>
            <w:pPr>
              <w:spacing w:after="0"/>
              <w:rPr>
                <w:sz w:val="16"/>
                <w:szCs w:val="16"/>
                <w:color w:val="auto"/>
              </w:rPr>
            </w:pPr>
          </w:p>
        </w:tc>
        <w:tc>
          <w:tcPr>
            <w:tcW w:w="440" w:type="dxa"/>
            <w:vAlign w:val="bottom"/>
          </w:tcPr>
          <w:p>
            <w:pPr>
              <w:spacing w:after="0" w:line="189" w:lineRule="exact"/>
              <w:rPr>
                <w:sz w:val="20"/>
                <w:szCs w:val="20"/>
                <w:color w:val="auto"/>
              </w:rPr>
            </w:pPr>
            <w:r>
              <w:rPr>
                <w:rFonts w:ascii="Arial" w:cs="Arial" w:eastAsia="Arial" w:hAnsi="Arial"/>
                <w:sz w:val="18"/>
                <w:szCs w:val="18"/>
                <w:color w:val="auto"/>
                <w:w w:val="79"/>
              </w:rPr>
              <w:t>Name:</w:t>
            </w:r>
          </w:p>
        </w:tc>
        <w:tc>
          <w:tcPr>
            <w:tcW w:w="4040" w:type="dxa"/>
            <w:vAlign w:val="bottom"/>
          </w:tcPr>
          <w:p>
            <w:pPr>
              <w:ind w:left="80"/>
              <w:spacing w:after="0" w:line="189" w:lineRule="exact"/>
              <w:rPr>
                <w:sz w:val="20"/>
                <w:szCs w:val="20"/>
                <w:color w:val="auto"/>
              </w:rPr>
            </w:pPr>
            <w:r>
              <w:rPr>
                <w:rFonts w:ascii="Arial" w:cs="Arial" w:eastAsia="Arial" w:hAnsi="Arial"/>
                <w:sz w:val="18"/>
                <w:szCs w:val="18"/>
                <w:color w:val="auto"/>
              </w:rPr>
              <w:t>Brian Emes</w:t>
            </w:r>
          </w:p>
        </w:tc>
      </w:tr>
      <w:tr>
        <w:trPr>
          <w:trHeight w:val="230"/>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9"/>
        </w:trPr>
        <w:tc>
          <w:tcPr>
            <w:tcW w:w="6760" w:type="dxa"/>
            <w:vAlign w:val="bottom"/>
          </w:tcPr>
          <w:p>
            <w:pPr>
              <w:spacing w:after="0"/>
              <w:rPr>
                <w:sz w:val="20"/>
                <w:szCs w:val="20"/>
                <w:color w:val="auto"/>
              </w:rPr>
            </w:pPr>
            <w:r>
              <w:rPr>
                <w:rFonts w:ascii="Arial" w:cs="Arial" w:eastAsia="Arial" w:hAnsi="Arial"/>
                <w:sz w:val="18"/>
                <w:szCs w:val="18"/>
                <w:color w:val="auto"/>
              </w:rPr>
              <w:t>Date: February 16, 2021</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Emes, Attorney-in-Fact</w:t>
            </w:r>
          </w:p>
        </w:tc>
      </w:tr>
      <w:tr>
        <w:trPr>
          <w:trHeight w:val="230"/>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25"/>
        </w:trPr>
        <w:tc>
          <w:tcPr>
            <w:tcW w:w="6760" w:type="dxa"/>
            <w:vAlign w:val="bottom"/>
          </w:tcPr>
          <w:p>
            <w:pPr>
              <w:spacing w:after="0"/>
              <w:rPr>
                <w:sz w:val="20"/>
                <w:szCs w:val="20"/>
                <w:color w:val="auto"/>
              </w:rPr>
            </w:pPr>
            <w:r>
              <w:rPr>
                <w:rFonts w:ascii="Arial" w:cs="Arial" w:eastAsia="Arial" w:hAnsi="Arial"/>
                <w:sz w:val="18"/>
                <w:szCs w:val="18"/>
                <w:color w:val="auto"/>
              </w:rPr>
              <w:t>Date: February 16, 2021</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Emes, Attorney-in-Fact</w:t>
            </w:r>
          </w:p>
        </w:tc>
      </w:tr>
      <w:tr>
        <w:trPr>
          <w:trHeight w:val="230"/>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Keith A. Meister</w:t>
            </w:r>
          </w:p>
        </w:tc>
      </w:tr>
      <w:tr>
        <w:trPr>
          <w:trHeight w:val="641"/>
        </w:trPr>
        <w:tc>
          <w:tcPr>
            <w:tcW w:w="6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lvl w:ilvl="1">
      <w:lvlJc w:val="left"/>
      <w:lvlText w:val="(%2)"/>
      <w:numFmt w:val="lowerLetter"/>
      <w:start w:val="1"/>
    </w:lvl>
  </w:abstractNum>
  <w:abstractNum w:abstractNumId="3">
    <w:nsid w:val="54E49EB4"/>
    <w:multiLevelType w:val="hybridMultilevel"/>
    <w:lvl w:ilvl="0">
      <w:lvlJc w:val="left"/>
      <w:lvlText w:val="3"/>
      <w:numFmt w:val="bullet"/>
      <w:start w:val="1"/>
    </w:lvl>
  </w:abstractNum>
  <w:abstractNum w:abstractNumId="4">
    <w:nsid w:val="71F32454"/>
    <w:multiLevelType w:val="hybridMultilevel"/>
    <w:lvl w:ilvl="0">
      <w:lvlJc w:val="left"/>
      <w:lvlText w:val="4"/>
      <w:numFmt w:val="bullet"/>
      <w:start w:val="1"/>
    </w:lvl>
  </w:abstractNum>
  <w:abstractNum w:abstractNumId="5">
    <w:nsid w:val="2CA88611"/>
    <w:multiLevelType w:val="hybridMultilevel"/>
    <w:lvl w:ilvl="0">
      <w:lvlJc w:val="left"/>
      <w:lvlText w:val="8"/>
      <w:numFmt w:val="bullet"/>
      <w:start w:val="1"/>
    </w:lvl>
  </w:abstractNum>
  <w:abstractNum w:abstractNumId="6">
    <w:nsid w:val="836C40E"/>
    <w:multiLevelType w:val="hybridMultilevel"/>
    <w:lvl w:ilvl="0">
      <w:lvlJc w:val="left"/>
      <w:lvlText w:val="9"/>
      <w:numFmt w:val="bullet"/>
      <w:start w:val="1"/>
    </w:lvl>
  </w:abstractNum>
  <w:abstractNum w:abstractNumId="7">
    <w:nsid w:val="2901D82"/>
    <w:multiLevelType w:val="hybridMultilevel"/>
    <w:lvl w:ilvl="0">
      <w:lvlJc w:val="left"/>
      <w:lvlText w:val="%1"/>
      <w:numFmt w:val="decimal"/>
      <w:start w:val="10"/>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2"/>
      <w:numFmt w:val="bullet"/>
      <w:start w:val="1"/>
    </w:lvl>
    <w:lvl w:ilvl="1">
      <w:lvlJc w:val="left"/>
      <w:lvlText w:val="(%2)"/>
      <w:numFmt w:val="lowerLetter"/>
      <w:start w:val="1"/>
    </w:lvl>
  </w:abstractNum>
  <w:abstractNum w:abstractNumId="11">
    <w:nsid w:val="7C3DBD3D"/>
    <w:multiLevelType w:val="hybridMultilevel"/>
    <w:lvl w:ilvl="0">
      <w:lvlJc w:val="left"/>
      <w:lvlText w:val="3"/>
      <w:numFmt w:val="bullet"/>
      <w:start w:val="1"/>
    </w:lvl>
  </w:abstractNum>
  <w:abstractNum w:abstractNumId="12">
    <w:nsid w:val="737B8DDC"/>
    <w:multiLevelType w:val="hybridMultilevel"/>
    <w:lvl w:ilvl="0">
      <w:lvlJc w:val="left"/>
      <w:lvlText w:val="4"/>
      <w:numFmt w:val="bullet"/>
      <w:start w:val="1"/>
    </w:lvl>
  </w:abstractNum>
  <w:abstractNum w:abstractNumId="13">
    <w:nsid w:val="6CEAF087"/>
    <w:multiLevelType w:val="hybridMultilevel"/>
    <w:lvl w:ilvl="0">
      <w:lvlJc w:val="left"/>
      <w:lvlText w:val="8"/>
      <w:numFmt w:val="bullet"/>
      <w:start w:val="1"/>
    </w:lvl>
  </w:abstractNum>
  <w:abstractNum w:abstractNumId="14">
    <w:nsid w:val="22221A70"/>
    <w:multiLevelType w:val="hybridMultilevel"/>
    <w:lvl w:ilvl="0">
      <w:lvlJc w:val="left"/>
      <w:lvlText w:val="9"/>
      <w:numFmt w:val="bullet"/>
      <w:start w:val="1"/>
    </w:lvl>
  </w:abstractNum>
  <w:abstractNum w:abstractNumId="15">
    <w:nsid w:val="4516DDE9"/>
    <w:multiLevelType w:val="hybridMultilevel"/>
    <w:lvl w:ilvl="0">
      <w:lvlJc w:val="left"/>
      <w:lvlText w:val="%1"/>
      <w:numFmt w:val="decimal"/>
      <w:start w:val="10"/>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bullet"/>
      <w:start w:val="1"/>
    </w:lvl>
  </w:abstractNum>
  <w:abstractNum w:abstractNumId="18">
    <w:nsid w:val="419AC241"/>
    <w:multiLevelType w:val="hybridMultilevel"/>
    <w:lvl w:ilvl="0">
      <w:lvlJc w:val="left"/>
      <w:lvlText w:val="2"/>
      <w:numFmt w:val="bullet"/>
      <w:start w:val="1"/>
    </w:lvl>
    <w:lvl w:ilvl="1">
      <w:lvlJc w:val="left"/>
      <w:lvlText w:val="(%2)"/>
      <w:numFmt w:val="lowerLetter"/>
      <w:start w:val="1"/>
    </w:lvl>
  </w:abstractNum>
  <w:abstractNum w:abstractNumId="19">
    <w:nsid w:val="5577F8E1"/>
    <w:multiLevelType w:val="hybridMultilevel"/>
    <w:lvl w:ilvl="0">
      <w:lvlJc w:val="left"/>
      <w:lvlText w:val="3"/>
      <w:numFmt w:val="bullet"/>
      <w:start w:val="1"/>
    </w:lvl>
  </w:abstractNum>
  <w:abstractNum w:abstractNumId="20">
    <w:nsid w:val="440BADFC"/>
    <w:multiLevelType w:val="hybridMultilevel"/>
    <w:lvl w:ilvl="0">
      <w:lvlJc w:val="left"/>
      <w:lvlText w:val="4"/>
      <w:numFmt w:val="bullet"/>
      <w:start w:val="1"/>
    </w:lvl>
  </w:abstractNum>
  <w:abstractNum w:abstractNumId="21">
    <w:nsid w:val="5072367"/>
    <w:multiLevelType w:val="hybridMultilevel"/>
    <w:lvl w:ilvl="0">
      <w:lvlJc w:val="left"/>
      <w:lvlText w:val="8"/>
      <w:numFmt w:val="bullet"/>
      <w:start w:val="1"/>
    </w:lvl>
  </w:abstractNum>
  <w:abstractNum w:abstractNumId="22">
    <w:nsid w:val="3804823E"/>
    <w:multiLevelType w:val="hybridMultilevel"/>
    <w:lvl w:ilvl="0">
      <w:lvlJc w:val="left"/>
      <w:lvlText w:val="9"/>
      <w:numFmt w:val="bullet"/>
      <w:start w:val="1"/>
    </w:lvl>
  </w:abstractNum>
  <w:abstractNum w:abstractNumId="23">
    <w:nsid w:val="77465F01"/>
    <w:multiLevelType w:val="hybridMultilevel"/>
    <w:lvl w:ilvl="0">
      <w:lvlJc w:val="left"/>
      <w:lvlText w:val="%1"/>
      <w:numFmt w:val="decimal"/>
      <w:start w:val="10"/>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bullet"/>
      <w:start w:val="1"/>
    </w:lvl>
  </w:abstractNum>
  <w:abstractNum w:abstractNumId="26">
    <w:nsid w:val="2463B9EA"/>
    <w:multiLevelType w:val="hybridMultilevel"/>
    <w:lvl w:ilvl="0">
      <w:lvlJc w:val="left"/>
      <w:lvlText w:val="2"/>
      <w:numFmt w:val="bullet"/>
      <w:start w:val="1"/>
    </w:lvl>
    <w:lvl w:ilvl="1">
      <w:lvlJc w:val="left"/>
      <w:lvlText w:val="(%2)"/>
      <w:numFmt w:val="lowerLetter"/>
      <w:start w:val="1"/>
    </w:lvl>
  </w:abstractNum>
  <w:abstractNum w:abstractNumId="27">
    <w:nsid w:val="5E884ADC"/>
    <w:multiLevelType w:val="hybridMultilevel"/>
    <w:lvl w:ilvl="0">
      <w:lvlJc w:val="left"/>
      <w:lvlText w:val="3"/>
      <w:numFmt w:val="bullet"/>
      <w:start w:val="1"/>
    </w:lvl>
  </w:abstractNum>
  <w:abstractNum w:abstractNumId="28">
    <w:nsid w:val="51EAD36B"/>
    <w:multiLevelType w:val="hybridMultilevel"/>
    <w:lvl w:ilvl="0">
      <w:lvlJc w:val="left"/>
      <w:lvlText w:val="4"/>
      <w:numFmt w:val="bullet"/>
      <w:start w:val="1"/>
    </w:lvl>
  </w:abstractNum>
  <w:abstractNum w:abstractNumId="29">
    <w:nsid w:val="2D517796"/>
    <w:multiLevelType w:val="hybridMultilevel"/>
    <w:lvl w:ilvl="0">
      <w:lvlJc w:val="left"/>
      <w:lvlText w:val="8"/>
      <w:numFmt w:val="bullet"/>
      <w:start w:val="1"/>
    </w:lvl>
  </w:abstractNum>
  <w:abstractNum w:abstractNumId="30">
    <w:nsid w:val="580BD78F"/>
    <w:multiLevelType w:val="hybridMultilevel"/>
    <w:lvl w:ilvl="0">
      <w:lvlJc w:val="left"/>
      <w:lvlText w:val="9"/>
      <w:numFmt w:val="bullet"/>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bullet"/>
      <w:start w:val="1"/>
    </w:lvl>
  </w:abstractNum>
  <w:abstractNum w:abstractNumId="34">
    <w:nsid w:val="6A2342EC"/>
    <w:multiLevelType w:val="hybridMultilevel"/>
    <w:lvl w:ilvl="0">
      <w:lvlJc w:val="left"/>
      <w:lvlText w:val="2"/>
      <w:numFmt w:val="bullet"/>
      <w:start w:val="1"/>
    </w:lvl>
    <w:lvl w:ilvl="1">
      <w:lvlJc w:val="left"/>
      <w:lvlText w:val="(%2)"/>
      <w:numFmt w:val="lowerLetter"/>
      <w:start w:val="1"/>
    </w:lvl>
  </w:abstractNum>
  <w:abstractNum w:abstractNumId="35">
    <w:nsid w:val="2A487CB0"/>
    <w:multiLevelType w:val="hybridMultilevel"/>
    <w:lvl w:ilvl="0">
      <w:lvlJc w:val="left"/>
      <w:lvlText w:val="3"/>
      <w:numFmt w:val="bullet"/>
      <w:start w:val="1"/>
    </w:lvl>
  </w:abstractNum>
  <w:abstractNum w:abstractNumId="36">
    <w:nsid w:val="1D4ED43B"/>
    <w:multiLevelType w:val="hybridMultilevel"/>
    <w:lvl w:ilvl="0">
      <w:lvlJc w:val="left"/>
      <w:lvlText w:val="4"/>
      <w:numFmt w:val="bullet"/>
      <w:start w:val="1"/>
    </w:lvl>
  </w:abstractNum>
  <w:abstractNum w:abstractNumId="37">
    <w:nsid w:val="725A06FB"/>
    <w:multiLevelType w:val="hybridMultilevel"/>
    <w:lvl w:ilvl="0">
      <w:lvlJc w:val="left"/>
      <w:lvlText w:val="8"/>
      <w:numFmt w:val="bullet"/>
      <w:start w:val="1"/>
    </w:lvl>
  </w:abstractNum>
  <w:abstractNum w:abstractNumId="38">
    <w:nsid w:val="2CD89A32"/>
    <w:multiLevelType w:val="hybridMultilevel"/>
    <w:lvl w:ilvl="0">
      <w:lvlJc w:val="left"/>
      <w:lvlText w:val="9"/>
      <w:numFmt w:val="bullet"/>
      <w:start w:val="1"/>
    </w:lvl>
  </w:abstractNum>
  <w:abstractNum w:abstractNumId="39">
    <w:nsid w:val="57E4CCAF"/>
    <w:multiLevelType w:val="hybridMultilevel"/>
    <w:lvl w:ilvl="0">
      <w:lvlJc w:val="left"/>
      <w:lvlText w:val="%1"/>
      <w:numFmt w:val="decimal"/>
      <w:start w:val="10"/>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1"/>
    </w:lvl>
  </w:abstractNum>
  <w:abstractNum w:abstractNumId="43">
    <w:nsid w:val="6DE91B18"/>
    <w:multiLevelType w:val="hybridMultilevel"/>
    <w:lvl w:ilvl="0">
      <w:lvlJc w:val="left"/>
      <w:lvlText w:val="(%1)"/>
      <w:numFmt w:val="lowerLetter"/>
      <w:start w:val="1"/>
    </w:lvl>
    <w:lvl w:ilvl="1">
      <w:lvlJc w:val="left"/>
      <w:lvlText w:val="(%2)"/>
      <w:numFmt w:val="lowerLetter"/>
      <w:start w:val="9"/>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Roman"/>
      <w:start w:val="2"/>
    </w:lvl>
  </w:abstractNum>
  <w:abstractNum w:abstractNumId="46">
    <w:nsid w:val="32FFF902"/>
    <w:multiLevelType w:val="hybridMultilevel"/>
    <w:lvl w:ilvl="0">
      <w:lvlJc w:val="left"/>
      <w:lvlText w:val="(%1)"/>
      <w:numFmt w:val="lowerRoman"/>
      <w:start w:val="3"/>
    </w:lvl>
  </w:abstractNum>
  <w:abstractNum w:abstractNumId="47">
    <w:nsid w:val="684A481A"/>
    <w:multiLevelType w:val="hybridMultilevel"/>
    <w:lvl w:ilvl="0">
      <w:lvlJc w:val="left"/>
      <w:lvlText w:val="A"/>
      <w:numFmt w:val="bullet"/>
      <w:start w:val="1"/>
    </w:lvl>
  </w:abstractNum>
  <w:abstractNum w:abstractNumId="48">
    <w:nsid w:val="579478FE"/>
    <w:multiLevelType w:val="hybridMultilevel"/>
    <w:lvl w:ilvl="0">
      <w:lvlJc w:val="left"/>
      <w:lvlText w:val="1"/>
      <w:numFmt w:val="bullet"/>
      <w:start w:val="1"/>
    </w:lvl>
  </w:abstractNum>
  <w:abstractNum w:abstractNumId="49">
    <w:nsid w:val="749ABB4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13" Type="http://schemas.openxmlformats.org/officeDocument/2006/relationships/hyperlink" Target="http://www.sec.gov/Archives/edgar/data/1307631/000121390020024766/ea126254ex24-1_cmlife.htm" TargetMode="External"/><Relationship Id="rId115" Type="http://schemas.openxmlformats.org/officeDocument/2006/relationships/hyperlink" Target="http://www.sec.gov/Archives/edgar/data/1307631/000121390020024766/ea126254ex24-2_cmlife.htm" TargetMode="External"/><Relationship Id="rId116" Type="http://schemas.openxmlformats.org/officeDocument/2006/relationships/hyperlink" Target="http://www.sec.gov/Archives/edgar/data/1307631/000121390020024766/ea126254ex24-3_cmlife.htm" TargetMode="External"/><Relationship Id="rId117" Type="http://schemas.openxmlformats.org/officeDocument/2006/relationships/hyperlink" Target="http://www.sec.gov/Archives/edgar/data/1307631/000121390020024766/ea126254ex24-4_cmlife.htm" TargetMode="External"/><Relationship Id="rId118" Type="http://schemas.openxmlformats.org/officeDocument/2006/relationships/hyperlink" Target="http://www.sec.gov/Archives/edgar/data/1307631/000121390020024766/ea126254ex24-5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2021-02-16T16:21:01Z</dcterms:created>
  <dcterms:modified xsi:type="dcterms:W3CDTF">2021-02-16T16:21:01Z</dcterms:modified>
</cp:coreProperties>
</file>