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Meister Keith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GeneDx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CORVEX MANAGEMENT LP</w:t>
            </w:r>
          </w:p>
        </w:tc>
        <w:tc>
          <w:tcPr>
            <w:tcW w:w="1120" w:type="dxa"/>
            <w:vAlign w:val="bottom"/>
            <w:gridSpan w:val="5"/>
          </w:tcPr>
          <w:p>
            <w:pPr>
              <w:ind w:left="160"/>
              <w:spacing w:after="0"/>
              <w:rPr>
                <w:sz w:val="20"/>
                <w:szCs w:val="20"/>
                <w:color w:val="auto"/>
              </w:rPr>
            </w:pPr>
            <w:r>
              <w:rPr>
                <w:rFonts w:ascii="Arial" w:cs="Arial" w:eastAsia="Arial" w:hAnsi="Arial"/>
                <w:sz w:val="17"/>
                <w:szCs w:val="17"/>
                <w:color w:val="0000FF"/>
              </w:rPr>
              <w:t>01/31/2023</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667 MADISON AVENUE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0"/>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vMerge w:val="continue"/>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0"/>
                <w:szCs w:val="10"/>
                <w:color w:val="auto"/>
              </w:rPr>
            </w:pPr>
          </w:p>
        </w:tc>
        <w:tc>
          <w:tcPr>
            <w:tcW w:w="15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ind w:left="380"/>
              <w:spacing w:after="0"/>
              <w:rPr>
                <w:sz w:val="20"/>
                <w:szCs w:val="20"/>
                <w:color w:val="auto"/>
              </w:rPr>
            </w:pPr>
            <w:r>
              <w:rPr>
                <w:rFonts w:ascii="Arial" w:cs="Arial" w:eastAsia="Arial" w:hAnsi="Arial"/>
                <w:sz w:val="17"/>
                <w:szCs w:val="17"/>
                <w:color w:val="0000FF"/>
              </w:rPr>
              <w:t>01/31/2023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360" w:type="dxa"/>
            <w:vAlign w:val="bottom"/>
          </w:tcPr>
          <w:p>
            <w:pPr>
              <w:spacing w:after="0"/>
              <w:rPr>
                <w:sz w:val="22"/>
                <w:szCs w:val="2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7"/>
                <w:szCs w:val="17"/>
                <w:color w:val="0000FF"/>
                <w:w w:val="98"/>
              </w:rPr>
              <w:t>77,663,376</w:t>
            </w:r>
            <w:r>
              <w:rPr>
                <w:rFonts w:ascii="Arial" w:cs="Arial" w:eastAsia="Arial" w:hAnsi="Arial"/>
                <w:sz w:val="22"/>
                <w:szCs w:val="22"/>
                <w:color w:val="008000"/>
                <w:w w:val="98"/>
                <w:vertAlign w:val="superscript"/>
              </w:rPr>
              <w:t>(1)</w:t>
            </w:r>
          </w:p>
        </w:tc>
        <w:tc>
          <w:tcPr>
            <w:tcW w:w="6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52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0.35</w:t>
            </w:r>
          </w:p>
        </w:tc>
        <w:tc>
          <w:tcPr>
            <w:tcW w:w="1560" w:type="dxa"/>
            <w:vAlign w:val="bottom"/>
            <w:gridSpan w:val="4"/>
            <w:vMerge w:val="restart"/>
          </w:tcPr>
          <w:p>
            <w:pPr>
              <w:ind w:left="220"/>
              <w:spacing w:after="0"/>
              <w:rPr>
                <w:sz w:val="20"/>
                <w:szCs w:val="20"/>
                <w:color w:val="auto"/>
              </w:rPr>
            </w:pPr>
            <w:r>
              <w:rPr>
                <w:rFonts w:ascii="Arial" w:cs="Arial" w:eastAsia="Arial" w:hAnsi="Arial"/>
                <w:sz w:val="17"/>
                <w:szCs w:val="17"/>
                <w:color w:val="0000FF"/>
              </w:rPr>
              <w:t>97,805,266</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vMerge w:val="restart"/>
          </w:tcPr>
          <w:p>
            <w:pPr>
              <w:ind w:left="6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8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8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31, 2023, investment funds advised by Corvex Management LP (the "Corvex Funds"), the general partner of which is controlled by Mr. Meister, closed a registered direct offering with GeneDx Holdings Corp (the "Issuer") contemporaneously with the Issuer's underwritten offering at a price of $0.35.</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Investment funds advised by Corvex Management LP are the record holders of 86,811,516 shares of the Class A common stock, par value $0.0001 per share ("Class A Common Stock") reported herein. Mr. Meister may be deemed to indirectly beneficially own these shares by virtue of Mr. Meister's control of the general partner of Corvex Management LP.</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CMLS Holdings LLC ("CMLS Holdings") is the record holder of 10,993,750 shares of the Class A common stock, par value $0.0001 per share ("Class A Common Stock") reported herein. Mr. Meister is one of two members of the Board of Managers of CMLS Holdings, and Mr. Meister shares voting and investment discretion with respect to the securities held of by CMLS Holdings Stock reported herein.</w:t>
      </w:r>
    </w:p>
    <w:p>
      <w:pPr>
        <w:spacing w:after="0" w:line="2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Keith A. Meister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02/02/2023</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2023-02-02T15:15:42Z</dcterms:created>
  <dcterms:modified xsi:type="dcterms:W3CDTF">2023-02-02T15:15:42Z</dcterms:modified>
</cp:coreProperties>
</file>