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0001689575</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Katherine Stueland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48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2154</w:t>
      </w:r>
      <w:r>
        <w:rPr>
          <w:sz w:val="20"/>
          <w:szCs w:val="20"/>
          <w:color w:val="auto"/>
        </w:rPr>
        <w:tab/>
      </w:r>
      <w:r>
        <w:rPr>
          <w:rFonts w:ascii="Times New Roman" w:cs="Times New Roman" w:eastAsia="Times New Roman" w:hAnsi="Times New Roman"/>
          <w:sz w:val="21"/>
          <w:szCs w:val="21"/>
          <w:color w:val="auto"/>
        </w:rPr>
        <w:t>143456.4</w:t>
      </w:r>
    </w:p>
    <w:p>
      <w:pPr>
        <w:ind w:left="2500"/>
        <w:spacing w:after="0" w:line="231" w:lineRule="auto"/>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27471397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10/29/2024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10/29/2024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2154</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10/29/2024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09/16/2024 10501</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394732.59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09/09/2024 3639</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121287.87</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07/29/2024 2154</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72245.16</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Represents shares to be sold on behalf of the Reporting Person to cover tax withholding obligations in connection</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with the vesting of restricted stock units.</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10/29/2024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9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Katherine Stueland</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2024-10-29T18:47:40Z</dcterms:created>
  <dcterms:modified xsi:type="dcterms:W3CDTF">2024-10-29T18:47:40Z</dcterms:modified>
</cp:coreProperties>
</file>