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23, 2026</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GENEDX HOLDINGS CORP.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5" w:lineRule="exact"/>
        <w:rPr>
          <w:sz w:val="24"/>
          <w:szCs w:val="24"/>
          <w:color w:val="auto"/>
        </w:rPr>
      </w:pPr>
    </w:p>
    <w:tbl>
      <w:tblPr>
        <w:tblLayout w:type="fixed"/>
        <w:tblInd w:w="2580" w:type="dxa"/>
        <w:tblCellMar>
          <w:top w:w="0" w:type="dxa"/>
          <w:left w:w="0" w:type="dxa"/>
          <w:bottom w:w="0" w:type="dxa"/>
          <w:right w:w="0" w:type="dxa"/>
        </w:tblCellMar>
      </w:tblPr>
      <w:tr>
        <w:trPr>
          <w:trHeight w:val="204"/>
        </w:trPr>
        <w:tc>
          <w:tcPr>
            <w:tcW w:w="4080" w:type="dxa"/>
            <w:vAlign w:val="bottom"/>
          </w:tcPr>
          <w:p>
            <w:pPr>
              <w:jc w:val="center"/>
              <w:ind w:right="192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center"/>
              <w:ind w:left="1922"/>
              <w:spacing w:after="0"/>
              <w:rPr>
                <w:sz w:val="20"/>
                <w:szCs w:val="20"/>
                <w:color w:val="auto"/>
              </w:rPr>
            </w:pPr>
            <w:r>
              <w:rPr>
                <w:rFonts w:ascii="Times New Roman" w:cs="Times New Roman" w:eastAsia="Times New Roman" w:hAnsi="Times New Roman"/>
                <w:sz w:val="16"/>
                <w:szCs w:val="16"/>
                <w:b w:val="1"/>
                <w:bCs w:val="1"/>
                <w:color w:val="auto"/>
                <w:w w:val="98"/>
              </w:rPr>
              <w:t>85-1966622</w:t>
            </w:r>
          </w:p>
        </w:tc>
      </w:tr>
      <w:tr>
        <w:trPr>
          <w:trHeight w:val="251"/>
        </w:trPr>
        <w:tc>
          <w:tcPr>
            <w:tcW w:w="4080" w:type="dxa"/>
            <w:vAlign w:val="bottom"/>
          </w:tcPr>
          <w:p>
            <w:pPr>
              <w:jc w:val="center"/>
              <w:ind w:right="1922"/>
              <w:spacing w:after="0"/>
              <w:rPr>
                <w:sz w:val="20"/>
                <w:szCs w:val="20"/>
                <w:color w:val="auto"/>
              </w:rPr>
            </w:pPr>
            <w:r>
              <w:rPr>
                <w:rFonts w:ascii="Times New Roman" w:cs="Times New Roman" w:eastAsia="Times New Roman" w:hAnsi="Times New Roman"/>
                <w:sz w:val="16"/>
                <w:szCs w:val="16"/>
                <w:color w:val="auto"/>
                <w:w w:val="96"/>
              </w:rPr>
              <w:t>(State or Other Jurisdiction</w:t>
            </w:r>
          </w:p>
        </w:tc>
        <w:tc>
          <w:tcPr>
            <w:tcW w:w="316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(I.R.S. Employer</w:t>
            </w:r>
          </w:p>
        </w:tc>
      </w:tr>
      <w:tr>
        <w:trPr>
          <w:trHeight w:val="202"/>
        </w:trPr>
        <w:tc>
          <w:tcPr>
            <w:tcW w:w="4080" w:type="dxa"/>
            <w:vAlign w:val="bottom"/>
          </w:tcPr>
          <w:p>
            <w:pPr>
              <w:jc w:val="center"/>
              <w:ind w:right="1922"/>
              <w:spacing w:after="0"/>
              <w:rPr>
                <w:sz w:val="20"/>
                <w:szCs w:val="20"/>
                <w:color w:val="auto"/>
              </w:rPr>
            </w:pPr>
            <w:r>
              <w:rPr>
                <w:rFonts w:ascii="Times New Roman" w:cs="Times New Roman" w:eastAsia="Times New Roman" w:hAnsi="Times New Roman"/>
                <w:sz w:val="16"/>
                <w:szCs w:val="16"/>
                <w:color w:val="auto"/>
                <w:w w:val="96"/>
              </w:rPr>
              <w:t>of Incorporation or Organization)</w:t>
            </w:r>
          </w:p>
        </w:tc>
        <w:tc>
          <w:tcPr>
            <w:tcW w:w="3160" w:type="dxa"/>
            <w:vAlign w:val="bottom"/>
          </w:tcPr>
          <w:p>
            <w:pPr>
              <w:jc w:val="center"/>
              <w:ind w:left="1922"/>
              <w:spacing w:after="0"/>
              <w:rPr>
                <w:sz w:val="20"/>
                <w:szCs w:val="20"/>
                <w:color w:val="auto"/>
              </w:rPr>
            </w:pPr>
            <w:r>
              <w:rPr>
                <w:rFonts w:ascii="Times New Roman" w:cs="Times New Roman" w:eastAsia="Times New Roman" w:hAnsi="Times New Roman"/>
                <w:sz w:val="16"/>
                <w:szCs w:val="16"/>
                <w:color w:val="auto"/>
                <w:w w:val="97"/>
              </w:rPr>
              <w:t>Identification No.)</w:t>
            </w:r>
          </w:p>
        </w:tc>
      </w:tr>
    </w:tbl>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333 Ludlow Street, North Tower, 6th Floor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Stamford, Connecticut 06902</w:t>
      </w:r>
    </w:p>
    <w:p>
      <w:pPr>
        <w:spacing w:after="0" w:line="12" w:lineRule="exact"/>
        <w:rPr>
          <w:sz w:val="24"/>
          <w:szCs w:val="24"/>
          <w:color w:val="auto"/>
        </w:rPr>
      </w:pPr>
    </w:p>
    <w:p>
      <w:pPr>
        <w:jc w:val="center"/>
        <w:ind w:left="340" w:right="2360"/>
        <w:spacing w:after="0" w:line="239" w:lineRule="auto"/>
        <w:rPr>
          <w:sz w:val="20"/>
          <w:szCs w:val="20"/>
          <w:color w:val="auto"/>
        </w:rPr>
      </w:pPr>
      <w:r>
        <w:rPr>
          <w:rFonts w:ascii="Times New Roman" w:cs="Times New Roman" w:eastAsia="Times New Roman" w:hAnsi="Times New Roman"/>
          <w:sz w:val="16"/>
          <w:szCs w:val="16"/>
          <w:color w:val="auto"/>
        </w:rPr>
        <w:t xml:space="preserve">(Address of Principal Executive Offices) (Zip Code) </w:t>
      </w:r>
      <w:r>
        <w:rPr>
          <w:rFonts w:ascii="Times New Roman" w:cs="Times New Roman" w:eastAsia="Times New Roman" w:hAnsi="Times New Roman"/>
          <w:sz w:val="16"/>
          <w:szCs w:val="16"/>
          <w:b w:val="1"/>
          <w:bCs w:val="1"/>
          <w:color w:val="auto"/>
        </w:rPr>
        <w:t>GENEDX HOLDINGS CORP. AMENDED AND RESTATED 2021 EQUITY INCENTIVE PLAN GENEDX HOLDINGS CORP. 2021 EMPLOYEE STOCK PURCHASE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5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7780" w:type="dxa"/>
            <w:vAlign w:val="bottom"/>
          </w:tcPr>
          <w:p>
            <w:pPr>
              <w:jc w:val="center"/>
              <w:ind w:right="3375"/>
              <w:spacing w:after="0"/>
              <w:rPr>
                <w:sz w:val="20"/>
                <w:szCs w:val="20"/>
                <w:color w:val="auto"/>
              </w:rPr>
            </w:pPr>
            <w:r>
              <w:rPr>
                <w:rFonts w:ascii="Times New Roman" w:cs="Times New Roman" w:eastAsia="Times New Roman" w:hAnsi="Times New Roman"/>
                <w:sz w:val="17"/>
                <w:szCs w:val="17"/>
                <w:b w:val="1"/>
                <w:bCs w:val="1"/>
                <w:color w:val="auto"/>
              </w:rPr>
              <w:t>Katherine Stueland</w:t>
            </w:r>
          </w:p>
        </w:tc>
      </w:tr>
      <w:tr>
        <w:trPr>
          <w:trHeight w:val="207"/>
        </w:trPr>
        <w:tc>
          <w:tcPr>
            <w:tcW w:w="3460" w:type="dxa"/>
            <w:vAlign w:val="bottom"/>
          </w:tcPr>
          <w:p>
            <w:pPr>
              <w:spacing w:after="0"/>
              <w:rPr>
                <w:sz w:val="18"/>
                <w:szCs w:val="18"/>
                <w:color w:val="auto"/>
              </w:rPr>
            </w:pPr>
          </w:p>
        </w:tc>
        <w:tc>
          <w:tcPr>
            <w:tcW w:w="7780" w:type="dxa"/>
            <w:vAlign w:val="bottom"/>
          </w:tcPr>
          <w:p>
            <w:pPr>
              <w:jc w:val="center"/>
              <w:ind w:right="3355"/>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r>
      <w:tr>
        <w:trPr>
          <w:trHeight w:val="207"/>
        </w:trPr>
        <w:tc>
          <w:tcPr>
            <w:tcW w:w="3460" w:type="dxa"/>
            <w:vAlign w:val="bottom"/>
          </w:tcPr>
          <w:p>
            <w:pPr>
              <w:spacing w:after="0"/>
              <w:rPr>
                <w:sz w:val="18"/>
                <w:szCs w:val="18"/>
                <w:color w:val="auto"/>
              </w:rPr>
            </w:pPr>
          </w:p>
        </w:tc>
        <w:tc>
          <w:tcPr>
            <w:tcW w:w="7780" w:type="dxa"/>
            <w:vAlign w:val="bottom"/>
          </w:tcPr>
          <w:p>
            <w:pPr>
              <w:jc w:val="center"/>
              <w:ind w:right="3355"/>
              <w:spacing w:after="0"/>
              <w:rPr>
                <w:sz w:val="20"/>
                <w:szCs w:val="20"/>
                <w:color w:val="auto"/>
              </w:rPr>
            </w:pPr>
            <w:r>
              <w:rPr>
                <w:rFonts w:ascii="Times New Roman" w:cs="Times New Roman" w:eastAsia="Times New Roman" w:hAnsi="Times New Roman"/>
                <w:sz w:val="17"/>
                <w:szCs w:val="17"/>
                <w:b w:val="1"/>
                <w:bCs w:val="1"/>
                <w:color w:val="auto"/>
              </w:rPr>
              <w:t>333 Ludlow Street, North Tower, 6th Floor</w:t>
            </w:r>
          </w:p>
        </w:tc>
      </w:tr>
      <w:tr>
        <w:trPr>
          <w:trHeight w:val="214"/>
        </w:trPr>
        <w:tc>
          <w:tcPr>
            <w:tcW w:w="3460" w:type="dxa"/>
            <w:vAlign w:val="bottom"/>
          </w:tcPr>
          <w:p>
            <w:pPr>
              <w:spacing w:after="0"/>
              <w:rPr>
                <w:sz w:val="18"/>
                <w:szCs w:val="18"/>
                <w:color w:val="auto"/>
              </w:rPr>
            </w:pPr>
          </w:p>
        </w:tc>
        <w:tc>
          <w:tcPr>
            <w:tcW w:w="7780" w:type="dxa"/>
            <w:vAlign w:val="bottom"/>
          </w:tcPr>
          <w:p>
            <w:pPr>
              <w:jc w:val="center"/>
              <w:ind w:right="3375"/>
              <w:spacing w:after="0"/>
              <w:rPr>
                <w:sz w:val="20"/>
                <w:szCs w:val="20"/>
                <w:color w:val="auto"/>
              </w:rPr>
            </w:pPr>
            <w:r>
              <w:rPr>
                <w:rFonts w:ascii="Times New Roman" w:cs="Times New Roman" w:eastAsia="Times New Roman" w:hAnsi="Times New Roman"/>
                <w:sz w:val="17"/>
                <w:szCs w:val="17"/>
                <w:b w:val="1"/>
                <w:bCs w:val="1"/>
                <w:color w:val="auto"/>
              </w:rPr>
              <w:t>Stamford, Connecticut 06902</w:t>
            </w:r>
          </w:p>
        </w:tc>
      </w:tr>
      <w:tr>
        <w:trPr>
          <w:trHeight w:val="175"/>
        </w:trPr>
        <w:tc>
          <w:tcPr>
            <w:tcW w:w="3460" w:type="dxa"/>
            <w:vAlign w:val="bottom"/>
          </w:tcPr>
          <w:p>
            <w:pPr>
              <w:spacing w:after="0"/>
              <w:rPr>
                <w:sz w:val="15"/>
                <w:szCs w:val="15"/>
                <w:color w:val="auto"/>
              </w:rPr>
            </w:pPr>
          </w:p>
        </w:tc>
        <w:tc>
          <w:tcPr>
            <w:tcW w:w="7780" w:type="dxa"/>
            <w:vAlign w:val="bottom"/>
          </w:tcPr>
          <w:p>
            <w:pPr>
              <w:jc w:val="center"/>
              <w:ind w:right="3375"/>
              <w:spacing w:after="0" w:line="175" w:lineRule="exact"/>
              <w:rPr>
                <w:sz w:val="20"/>
                <w:szCs w:val="20"/>
                <w:color w:val="auto"/>
              </w:rPr>
            </w:pPr>
            <w:r>
              <w:rPr>
                <w:rFonts w:ascii="Times New Roman" w:cs="Times New Roman" w:eastAsia="Times New Roman" w:hAnsi="Times New Roman"/>
                <w:sz w:val="16"/>
                <w:szCs w:val="16"/>
                <w:color w:val="auto"/>
                <w:w w:val="97"/>
              </w:rPr>
              <w:t>(Name and Address of Agent For Service)</w:t>
            </w:r>
          </w:p>
        </w:tc>
      </w:tr>
      <w:tr>
        <w:trPr>
          <w:trHeight w:val="212"/>
        </w:trPr>
        <w:tc>
          <w:tcPr>
            <w:tcW w:w="3460" w:type="dxa"/>
            <w:vAlign w:val="bottom"/>
          </w:tcPr>
          <w:p>
            <w:pPr>
              <w:spacing w:after="0"/>
              <w:rPr>
                <w:sz w:val="18"/>
                <w:szCs w:val="18"/>
                <w:color w:val="auto"/>
              </w:rPr>
            </w:pPr>
          </w:p>
        </w:tc>
        <w:tc>
          <w:tcPr>
            <w:tcW w:w="7780" w:type="dxa"/>
            <w:vAlign w:val="bottom"/>
          </w:tcPr>
          <w:p>
            <w:pPr>
              <w:jc w:val="center"/>
              <w:ind w:right="3375"/>
              <w:spacing w:after="0"/>
              <w:rPr>
                <w:sz w:val="20"/>
                <w:szCs w:val="20"/>
                <w:color w:val="auto"/>
              </w:rPr>
            </w:pPr>
            <w:r>
              <w:rPr>
                <w:rFonts w:ascii="Times New Roman" w:cs="Times New Roman" w:eastAsia="Times New Roman" w:hAnsi="Times New Roman"/>
                <w:sz w:val="17"/>
                <w:szCs w:val="17"/>
                <w:b w:val="1"/>
                <w:bCs w:val="1"/>
                <w:color w:val="auto"/>
              </w:rPr>
              <w:t>(888) 729-1206</w:t>
            </w:r>
          </w:p>
        </w:tc>
      </w:tr>
      <w:tr>
        <w:trPr>
          <w:trHeight w:val="204"/>
        </w:trPr>
        <w:tc>
          <w:tcPr>
            <w:tcW w:w="3460" w:type="dxa"/>
            <w:vAlign w:val="bottom"/>
          </w:tcPr>
          <w:p>
            <w:pPr>
              <w:spacing w:after="0"/>
              <w:rPr>
                <w:sz w:val="17"/>
                <w:szCs w:val="17"/>
                <w:color w:val="auto"/>
              </w:rPr>
            </w:pPr>
          </w:p>
        </w:tc>
        <w:tc>
          <w:tcPr>
            <w:tcW w:w="7780" w:type="dxa"/>
            <w:vAlign w:val="bottom"/>
          </w:tcPr>
          <w:p>
            <w:pPr>
              <w:jc w:val="center"/>
              <w:ind w:right="3355"/>
              <w:spacing w:after="0"/>
              <w:rPr>
                <w:sz w:val="20"/>
                <w:szCs w:val="20"/>
                <w:color w:val="auto"/>
              </w:rPr>
            </w:pPr>
            <w:r>
              <w:rPr>
                <w:rFonts w:ascii="Times New Roman" w:cs="Times New Roman" w:eastAsia="Times New Roman" w:hAnsi="Times New Roman"/>
                <w:sz w:val="16"/>
                <w:szCs w:val="16"/>
                <w:i w:val="1"/>
                <w:iCs w:val="1"/>
                <w:color w:val="auto"/>
                <w:w w:val="96"/>
              </w:rPr>
              <w:t>(Telephone Number, including area code, of agent for service)</w:t>
            </w:r>
          </w:p>
        </w:tc>
      </w:tr>
      <w:tr>
        <w:trPr>
          <w:trHeight w:val="271"/>
        </w:trPr>
        <w:tc>
          <w:tcPr>
            <w:tcW w:w="3460" w:type="dxa"/>
            <w:vAlign w:val="bottom"/>
            <w:tcBorders>
              <w:bottom w:val="single" w:sz="8" w:color="auto"/>
            </w:tcBorders>
          </w:tcPr>
          <w:p>
            <w:pPr>
              <w:spacing w:after="0"/>
              <w:rPr>
                <w:sz w:val="23"/>
                <w:szCs w:val="23"/>
                <w:color w:val="auto"/>
              </w:rPr>
            </w:pPr>
          </w:p>
        </w:tc>
        <w:tc>
          <w:tcPr>
            <w:tcW w:w="7780" w:type="dxa"/>
            <w:vAlign w:val="bottom"/>
            <w:tcBorders>
              <w:bottom w:val="single" w:sz="8" w:color="auto"/>
            </w:tcBorders>
          </w:tcPr>
          <w:p>
            <w:pPr>
              <w:spacing w:after="0"/>
              <w:rPr>
                <w:sz w:val="23"/>
                <w:szCs w:val="23"/>
                <w:color w:val="auto"/>
              </w:rPr>
            </w:pPr>
          </w:p>
        </w:tc>
      </w:tr>
      <w:tr>
        <w:trPr>
          <w:trHeight w:val="337"/>
        </w:trPr>
        <w:tc>
          <w:tcPr>
            <w:tcW w:w="3460" w:type="dxa"/>
            <w:vAlign w:val="bottom"/>
          </w:tcPr>
          <w:p>
            <w:pPr>
              <w:spacing w:after="0"/>
              <w:rPr>
                <w:sz w:val="24"/>
                <w:szCs w:val="24"/>
                <w:color w:val="auto"/>
              </w:rPr>
            </w:pPr>
          </w:p>
        </w:tc>
        <w:tc>
          <w:tcPr>
            <w:tcW w:w="7780" w:type="dxa"/>
            <w:vAlign w:val="bottom"/>
          </w:tcPr>
          <w:p>
            <w:pPr>
              <w:jc w:val="center"/>
              <w:ind w:right="3355"/>
              <w:spacing w:after="0"/>
              <w:rPr>
                <w:sz w:val="20"/>
                <w:szCs w:val="20"/>
                <w:color w:val="auto"/>
              </w:rPr>
            </w:pPr>
            <w:r>
              <w:rPr>
                <w:rFonts w:ascii="Times New Roman" w:cs="Times New Roman" w:eastAsia="Times New Roman" w:hAnsi="Times New Roman"/>
                <w:sz w:val="17"/>
                <w:szCs w:val="17"/>
                <w:b w:val="1"/>
                <w:bCs w:val="1"/>
                <w:color w:val="auto"/>
              </w:rPr>
              <w:t>Copies to:</w:t>
            </w:r>
          </w:p>
        </w:tc>
      </w:tr>
      <w:tr>
        <w:trPr>
          <w:trHeight w:val="277"/>
        </w:trPr>
        <w:tc>
          <w:tcPr>
            <w:tcW w:w="3460" w:type="dxa"/>
            <w:vAlign w:val="bottom"/>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Ethan Skerry</w:t>
            </w:r>
          </w:p>
        </w:tc>
        <w:tc>
          <w:tcPr>
            <w:tcW w:w="7780" w:type="dxa"/>
            <w:vAlign w:val="bottom"/>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rPr>
              <w:t>Kevin Feeley</w:t>
            </w:r>
          </w:p>
        </w:tc>
      </w:tr>
      <w:tr>
        <w:trPr>
          <w:trHeight w:val="207"/>
        </w:trPr>
        <w:tc>
          <w:tcPr>
            <w:tcW w:w="3460" w:type="dxa"/>
            <w:vAlign w:val="bottom"/>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rPr>
              <w:t>Ryan Mitteness</w:t>
            </w:r>
          </w:p>
        </w:tc>
        <w:tc>
          <w:tcPr>
            <w:tcW w:w="7780" w:type="dxa"/>
            <w:vAlign w:val="bottom"/>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r>
      <w:tr>
        <w:trPr>
          <w:trHeight w:val="207"/>
        </w:trPr>
        <w:tc>
          <w:tcPr>
            <w:tcW w:w="3460" w:type="dxa"/>
            <w:vAlign w:val="bottom"/>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Fenwick &amp; West LLP</w:t>
            </w:r>
          </w:p>
        </w:tc>
        <w:tc>
          <w:tcPr>
            <w:tcW w:w="7780" w:type="dxa"/>
            <w:vAlign w:val="bottom"/>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rPr>
              <w:t>GeneDx Holdings Corp.</w:t>
            </w:r>
          </w:p>
        </w:tc>
      </w:tr>
      <w:tr>
        <w:trPr>
          <w:trHeight w:val="207"/>
        </w:trPr>
        <w:tc>
          <w:tcPr>
            <w:tcW w:w="3460" w:type="dxa"/>
            <w:vAlign w:val="bottom"/>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rPr>
              <w:t>902 Broadway</w:t>
            </w:r>
          </w:p>
        </w:tc>
        <w:tc>
          <w:tcPr>
            <w:tcW w:w="7780" w:type="dxa"/>
            <w:vAlign w:val="bottom"/>
          </w:tcPr>
          <w:p>
            <w:pPr>
              <w:jc w:val="center"/>
              <w:ind w:left="875"/>
              <w:spacing w:after="0"/>
              <w:rPr>
                <w:sz w:val="20"/>
                <w:szCs w:val="20"/>
                <w:color w:val="auto"/>
              </w:rPr>
            </w:pPr>
            <w:r>
              <w:rPr>
                <w:rFonts w:ascii="Times New Roman" w:cs="Times New Roman" w:eastAsia="Times New Roman" w:hAnsi="Times New Roman"/>
                <w:sz w:val="17"/>
                <w:szCs w:val="17"/>
                <w:b w:val="1"/>
                <w:bCs w:val="1"/>
                <w:color w:val="auto"/>
              </w:rPr>
              <w:t>333 Ludlow Street, North Tower, 6th Floor</w:t>
            </w:r>
          </w:p>
        </w:tc>
      </w:tr>
      <w:tr>
        <w:trPr>
          <w:trHeight w:val="207"/>
        </w:trPr>
        <w:tc>
          <w:tcPr>
            <w:tcW w:w="3460" w:type="dxa"/>
            <w:vAlign w:val="bottom"/>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New York, New York 10010</w:t>
            </w:r>
          </w:p>
        </w:tc>
        <w:tc>
          <w:tcPr>
            <w:tcW w:w="7780" w:type="dxa"/>
            <w:vAlign w:val="bottom"/>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rPr>
              <w:t>Stamford, Connecticut 06902</w:t>
            </w:r>
          </w:p>
        </w:tc>
      </w:tr>
      <w:tr>
        <w:trPr>
          <w:trHeight w:val="254"/>
        </w:trPr>
        <w:tc>
          <w:tcPr>
            <w:tcW w:w="3460" w:type="dxa"/>
            <w:vAlign w:val="bottom"/>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(212) 430-2600</w:t>
            </w:r>
          </w:p>
        </w:tc>
        <w:tc>
          <w:tcPr>
            <w:tcW w:w="7780" w:type="dxa"/>
            <w:vAlign w:val="bottom"/>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rPr>
              <w:t>(888) 729-1206</w:t>
            </w:r>
          </w:p>
        </w:tc>
      </w:tr>
    </w:tbl>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40"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11" w:lineRule="exact"/>
        <w:rPr>
          <w:sz w:val="24"/>
          <w:szCs w:val="24"/>
          <w:color w:val="auto"/>
        </w:rPr>
      </w:pPr>
    </w:p>
    <w:p>
      <w:pPr>
        <w:sectPr>
          <w:pgSz w:w="11900" w:h="16838" w:orient="portrait"/>
          <w:cols w:equalWidth="0" w:num="2">
            <w:col w:w="4420" w:space="720"/>
            <w:col w:w="6100"/>
          </w:cols>
          <w:pgMar w:left="320" w:top="1440"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99" w:lineRule="exact"/>
        <w:rPr>
          <w:sz w:val="24"/>
          <w:szCs w:val="24"/>
          <w:color w:val="auto"/>
        </w:rPr>
      </w:pPr>
    </w:p>
    <w:p>
      <w:pPr>
        <w:sectPr>
          <w:pgSz w:w="11900" w:h="16838" w:orient="portrait"/>
          <w:cols w:equalWidth="0" w:num="2">
            <w:col w:w="4420" w:space="720"/>
            <w:col w:w="6100"/>
          </w:cols>
          <w:pgMar w:left="320" w:top="1440" w:right="339" w:bottom="1440" w:gutter="0" w:footer="0" w:header="0"/>
          <w:type w:val="continuous"/>
        </w:sectPr>
      </w:pPr>
    </w:p>
    <w:p>
      <w:pPr>
        <w:ind w:left="51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type w:val="continuous"/>
        </w:sectPr>
      </w:pPr>
    </w:p>
    <w:p>
      <w:pPr>
        <w:spacing w:after="0" w:line="131" w:lineRule="exact"/>
        <w:rPr>
          <w:sz w:val="24"/>
          <w:szCs w:val="24"/>
          <w:color w:val="auto"/>
        </w:rPr>
      </w:pPr>
    </w:p>
    <w:p>
      <w:pPr>
        <w:ind w:right="44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OF ADDITIONAL SHARES PURSUANT TO GENERAL INSTRUCTION E</w:t>
      </w:r>
    </w:p>
    <w:p>
      <w:pPr>
        <w:spacing w:after="0" w:line="247"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Pursuant to General Instruction E of Form S-8, GeneDx Holdings Corp., a Delaware corporation (the “Registrant”), is filing this registration statement on Form S-8 (this “Registration Statement”) with the Securities and Exchange Commission (the “Commission”) to register (a) 1,462,264 additional shares of Class A common stock (“Class A Common Stock”) available for issuance under the GeneDx Holdings Corp. Amended and Restated 2021 Equity Incentive Plan (the “2021 EIP”), pursuant to the evergreen provisions of the 2021 EIP providing for an annual 5% automatic increase in the number of shares reserved for issuance under the 2021 EIP, and (b) 292,452 additional shares of Class A Common Stock available for issuance under the GeneDx Holdings Corp. 2021 Employee Stock Purchase Plan (the “2021 ESPP”), pursuant to the evergreen provisions of the 2021 ESPP providing for an annual 1% automatic increase in the number of shares reserved for issuance under the 2021 ESPP.</w:t>
      </w:r>
    </w:p>
    <w:p>
      <w:pPr>
        <w:spacing w:after="0" w:line="201" w:lineRule="exact"/>
        <w:rPr>
          <w:sz w:val="20"/>
          <w:szCs w:val="20"/>
          <w:color w:val="auto"/>
        </w:rPr>
      </w:pPr>
    </w:p>
    <w:p>
      <w:pPr>
        <w:jc w:val="both"/>
        <w:ind w:firstLine="622"/>
        <w:spacing w:after="0" w:line="259"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In accordance with General Instruction E of Form S-8, this Registration Statement hereby incorporates by reference the contents of the Registrant’s prior registration statements on Form S-8 filed with the Commission on September 27, 2021 (</w:t>
      </w:r>
      <w:hyperlink r:id="rId11">
        <w:r>
          <w:rPr>
            <w:rFonts w:ascii="Times New Roman" w:cs="Times New Roman" w:eastAsia="Times New Roman" w:hAnsi="Times New Roman"/>
            <w:sz w:val="17"/>
            <w:szCs w:val="17"/>
            <w:u w:val="single" w:color="auto"/>
            <w:color w:val="0000FF"/>
          </w:rPr>
          <w:t>Registration No. 333-259815</w:t>
        </w:r>
      </w:hyperlink>
      <w:r>
        <w:rPr>
          <w:rFonts w:ascii="Times New Roman" w:cs="Times New Roman" w:eastAsia="Times New Roman" w:hAnsi="Times New Roman"/>
          <w:sz w:val="17"/>
          <w:szCs w:val="17"/>
          <w:color w:val="auto"/>
        </w:rPr>
        <w:t>) (the “First Prior Registration Statement”), January 25, 2022 (</w:t>
      </w:r>
      <w:hyperlink r:id="rId12">
        <w:r>
          <w:rPr>
            <w:rFonts w:ascii="Times New Roman" w:cs="Times New Roman" w:eastAsia="Times New Roman" w:hAnsi="Times New Roman"/>
            <w:sz w:val="17"/>
            <w:szCs w:val="17"/>
            <w:u w:val="single" w:color="auto"/>
            <w:color w:val="0000FF"/>
          </w:rPr>
          <w:t>Registration No. 333-262338</w:t>
        </w:r>
      </w:hyperlink>
      <w:r>
        <w:rPr>
          <w:rFonts w:ascii="Times New Roman" w:cs="Times New Roman" w:eastAsia="Times New Roman" w:hAnsi="Times New Roman"/>
          <w:sz w:val="17"/>
          <w:szCs w:val="17"/>
          <w:color w:val="auto"/>
        </w:rPr>
        <w:t>) (including the reoffer prospectus contained therein (which reoffer prospectus superseded and replaced the reoffer prospectus contained in the First Prior Registration Statement), the “Second Prior Registration Statement”), January 9, 2023 (</w:t>
      </w:r>
      <w:hyperlink r:id="rId13">
        <w:r>
          <w:rPr>
            <w:rFonts w:ascii="Times New Roman" w:cs="Times New Roman" w:eastAsia="Times New Roman" w:hAnsi="Times New Roman"/>
            <w:sz w:val="17"/>
            <w:szCs w:val="17"/>
            <w:u w:val="single" w:color="auto"/>
            <w:color w:val="0000FF"/>
          </w:rPr>
          <w:t>Registration No. 333-269165</w:t>
        </w:r>
      </w:hyperlink>
      <w:r>
        <w:rPr>
          <w:rFonts w:ascii="Times New Roman" w:cs="Times New Roman" w:eastAsia="Times New Roman" w:hAnsi="Times New Roman"/>
          <w:sz w:val="17"/>
          <w:szCs w:val="17"/>
          <w:color w:val="auto"/>
        </w:rPr>
        <w:t xml:space="preserve">) (the </w:t>
      </w:r>
      <w:hyperlink r:id="rId14">
        <w:r>
          <w:rPr>
            <w:rFonts w:ascii="Times New Roman" w:cs="Times New Roman" w:eastAsia="Times New Roman" w:hAnsi="Times New Roman"/>
            <w:sz w:val="17"/>
            <w:szCs w:val="17"/>
            <w:color w:val="auto"/>
          </w:rPr>
          <w:t>“Third Prior Registration Statement”), April 25, 2023 (</w:t>
        </w:r>
        <w:r>
          <w:rPr>
            <w:rFonts w:ascii="Times New Roman" w:cs="Times New Roman" w:eastAsia="Times New Roman" w:hAnsi="Times New Roman"/>
            <w:sz w:val="17"/>
            <w:szCs w:val="17"/>
            <w:u w:val="single" w:color="auto"/>
            <w:color w:val="0000FF"/>
          </w:rPr>
          <w:t>Registration No. 333-271432</w:t>
        </w:r>
        <w:r>
          <w:rPr>
            <w:rFonts w:ascii="Times New Roman" w:cs="Times New Roman" w:eastAsia="Times New Roman" w:hAnsi="Times New Roman"/>
            <w:sz w:val="17"/>
            <w:szCs w:val="17"/>
            <w:color w:val="auto"/>
          </w:rPr>
          <w:t>) (the “Fourth Prior Registration Statement”), August 8, 2023 (</w:t>
        </w:r>
        <w:r>
          <w:rPr>
            <w:rFonts w:ascii="Times New Roman" w:cs="Times New Roman" w:eastAsia="Times New Roman" w:hAnsi="Times New Roman"/>
            <w:sz w:val="17"/>
            <w:szCs w:val="17"/>
            <w:u w:val="single" w:color="auto"/>
            <w:color w:val="0000FF"/>
          </w:rPr>
          <w:t>Registration</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FF"/>
          </w:rPr>
          <w:t>No. 333-273797</w:t>
        </w:r>
        <w:r>
          <w:rPr>
            <w:rFonts w:ascii="Times New Roman" w:cs="Times New Roman" w:eastAsia="Times New Roman" w:hAnsi="Times New Roman"/>
            <w:sz w:val="17"/>
            <w:szCs w:val="17"/>
            <w:color w:val="000000"/>
          </w:rPr>
          <w:t>) (the “Fifth Prior Registration Statement”), February 26, 2024 (</w:t>
        </w:r>
      </w:hyperlink>
      <w:hyperlink r:id="rId15">
        <w:r>
          <w:rPr>
            <w:rFonts w:ascii="Times New Roman" w:cs="Times New Roman" w:eastAsia="Times New Roman" w:hAnsi="Times New Roman"/>
            <w:sz w:val="17"/>
            <w:szCs w:val="17"/>
            <w:u w:val="single" w:color="auto"/>
            <w:color w:val="0000FF"/>
          </w:rPr>
          <w:t>Registration No. 333-277339</w:t>
        </w:r>
      </w:hyperlink>
      <w:hyperlink r:id="rId14">
        <w:r>
          <w:rPr>
            <w:rFonts w:ascii="Times New Roman" w:cs="Times New Roman" w:eastAsia="Times New Roman" w:hAnsi="Times New Roman"/>
            <w:sz w:val="17"/>
            <w:szCs w:val="17"/>
            <w:color w:val="000000"/>
          </w:rPr>
          <w:t>) (the “Sixth Prior Registration Statement”), and</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February 20, 2025 (</w:t>
      </w:r>
      <w:hyperlink r:id="rId16">
        <w:r>
          <w:rPr>
            <w:rFonts w:ascii="Times New Roman" w:cs="Times New Roman" w:eastAsia="Times New Roman" w:hAnsi="Times New Roman"/>
            <w:sz w:val="17"/>
            <w:szCs w:val="17"/>
            <w:u w:val="single" w:color="auto"/>
            <w:color w:val="0000FF"/>
          </w:rPr>
          <w:t>Registration No. 333-285080</w:t>
        </w:r>
      </w:hyperlink>
      <w:r>
        <w:rPr>
          <w:rFonts w:ascii="Times New Roman" w:cs="Times New Roman" w:eastAsia="Times New Roman" w:hAnsi="Times New Roman"/>
          <w:sz w:val="17"/>
          <w:szCs w:val="17"/>
          <w:color w:val="000000"/>
        </w:rPr>
        <w:t>) (the “Seventh Prior Registration Statement”), except to the extent supplemented, amended or superseded by the information set forth herein.</w:t>
      </w:r>
    </w:p>
    <w:p>
      <w:pPr>
        <w:sectPr>
          <w:pgSz w:w="11900" w:h="16838" w:orient="portrait"/>
          <w:cols w:equalWidth="0" w:num="1">
            <w:col w:w="11240"/>
          </w:cols>
          <w:pgMar w:left="320" w:top="136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ind w:right="2940" w:firstLine="2939"/>
        <w:spacing w:after="0" w:line="254" w:lineRule="auto"/>
        <w:rPr>
          <w:sz w:val="20"/>
          <w:szCs w:val="20"/>
          <w:color w:val="auto"/>
        </w:rPr>
      </w:pPr>
      <w:r>
        <w:rPr>
          <w:rFonts w:ascii="Times New Roman" w:cs="Times New Roman" w:eastAsia="Times New Roman" w:hAnsi="Times New Roman"/>
          <w:sz w:val="17"/>
          <w:szCs w:val="17"/>
          <w:b w:val="1"/>
          <w:bCs w:val="1"/>
          <w:color w:val="auto"/>
        </w:rPr>
        <w:t>INFORMATION REQUIRED IN THE REGISTRATION STATEMENT Item 3. Incorporation of Documents by Reference.</w:t>
      </w:r>
    </w:p>
    <w:p>
      <w:pPr>
        <w:spacing w:after="0" w:line="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following documents filed by GeneDx Holdings Corp. (the “Registrant”) with the Securities and Exchange Commission (the “Commission”) pursuant to the Securities Act of 1933, as amended (the “Securities Act”), and the Securities Exchange Act of 1934, as amended (the “Exchange Act”), are incorporated herein by reference:</w:t>
      </w:r>
    </w:p>
    <w:p>
      <w:pPr>
        <w:spacing w:after="0" w:line="185" w:lineRule="exact"/>
        <w:rPr>
          <w:sz w:val="20"/>
          <w:szCs w:val="20"/>
          <w:color w:val="auto"/>
        </w:rPr>
      </w:pPr>
    </w:p>
    <w:p>
      <w:pPr>
        <w:ind w:left="420" w:hanging="292"/>
        <w:spacing w:after="0"/>
        <w:tabs>
          <w:tab w:leader="none" w:pos="4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Form 10-K for the fiscal year ended December 31, 2025, filed with the Commission on </w:t>
      </w:r>
      <w:hyperlink r:id="rId17">
        <w:r>
          <w:rPr>
            <w:rFonts w:ascii="Times New Roman" w:cs="Times New Roman" w:eastAsia="Times New Roman" w:hAnsi="Times New Roman"/>
            <w:sz w:val="17"/>
            <w:szCs w:val="17"/>
            <w:u w:val="single" w:color="auto"/>
            <w:color w:val="0000FF"/>
          </w:rPr>
          <w:t>February 23, 2026</w:t>
        </w:r>
      </w:hyperlink>
      <w:r>
        <w:rPr>
          <w:rFonts w:ascii="Times New Roman" w:cs="Times New Roman" w:eastAsia="Times New Roman" w:hAnsi="Times New Roman"/>
          <w:sz w:val="17"/>
          <w:szCs w:val="17"/>
          <w:color w:val="auto"/>
        </w:rPr>
        <w:t>; and</w:t>
      </w:r>
    </w:p>
    <w:p>
      <w:pPr>
        <w:spacing w:after="0" w:line="221" w:lineRule="exact"/>
        <w:rPr>
          <w:rFonts w:ascii="Times New Roman" w:cs="Times New Roman" w:eastAsia="Times New Roman" w:hAnsi="Times New Roman"/>
          <w:sz w:val="17"/>
          <w:szCs w:val="17"/>
          <w:color w:val="auto"/>
        </w:rPr>
      </w:pPr>
    </w:p>
    <w:p>
      <w:pPr>
        <w:jc w:val="both"/>
        <w:ind w:left="440" w:hanging="312"/>
        <w:spacing w:after="0" w:line="256" w:lineRule="auto"/>
        <w:tabs>
          <w:tab w:leader="none" w:pos="428" w:val="left"/>
        </w:tabs>
        <w:numPr>
          <w:ilvl w:val="0"/>
          <w:numId w:val="1"/>
        </w:numPr>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description of the Registrant’s Class A Common Stock contained in the Registrant’s Registration Statement on Form 8-A filed with the Commission on </w:t>
      </w:r>
      <w:hyperlink r:id="rId18">
        <w:r>
          <w:rPr>
            <w:rFonts w:ascii="Times New Roman" w:cs="Times New Roman" w:eastAsia="Times New Roman" w:hAnsi="Times New Roman"/>
            <w:sz w:val="17"/>
            <w:szCs w:val="17"/>
            <w:u w:val="single" w:color="auto"/>
            <w:color w:val="0000FF"/>
          </w:rPr>
          <w:t>August 31, 2020</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updated by the description of the Registrant’s Class A Common Stock contained in Exhibit 4.4 to the Annual Report on Form 10-K for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the year ended December 31, 2022, filed with the Commission on </w:t>
      </w:r>
      <w:hyperlink r:id="rId19">
        <w:r>
          <w:rPr>
            <w:rFonts w:ascii="Times New Roman" w:cs="Times New Roman" w:eastAsia="Times New Roman" w:hAnsi="Times New Roman"/>
            <w:sz w:val="17"/>
            <w:szCs w:val="17"/>
            <w:u w:val="single" w:color="auto"/>
            <w:color w:val="0000FF"/>
          </w:rPr>
          <w:t>March 16, 2023</w:t>
        </w:r>
      </w:hyperlink>
      <w:r>
        <w:rPr>
          <w:rFonts w:ascii="Times New Roman" w:cs="Times New Roman" w:eastAsia="Times New Roman" w:hAnsi="Times New Roman"/>
          <w:sz w:val="17"/>
          <w:szCs w:val="17"/>
          <w:color w:val="000000"/>
        </w:rPr>
        <w:t>, including any subsequent amendments or reports filed for the purpose of updating such description.</w:t>
      </w:r>
    </w:p>
    <w:p>
      <w:pPr>
        <w:spacing w:after="0" w:line="126" w:lineRule="exact"/>
        <w:rPr>
          <w:rFonts w:ascii="Times New Roman" w:cs="Times New Roman" w:eastAsia="Times New Roman" w:hAnsi="Times New Roman"/>
          <w:sz w:val="19"/>
          <w:szCs w:val="19"/>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72" w:lineRule="exact"/>
        <w:rPr>
          <w:rFonts w:ascii="Times New Roman" w:cs="Times New Roman" w:eastAsia="Times New Roman" w:hAnsi="Times New Roman"/>
          <w:sz w:val="19"/>
          <w:szCs w:val="19"/>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sectPr>
          <w:pgSz w:w="11900" w:h="16838" w:orient="portrait"/>
          <w:cols w:equalWidth="0" w:num="1">
            <w:col w:w="11240"/>
          </w:cols>
          <w:pgMar w:left="320" w:top="13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4.1</w:t>
            </w:r>
          </w:p>
        </w:tc>
        <w:tc>
          <w:tcPr>
            <w:tcW w:w="100" w:type="dxa"/>
            <w:vAlign w:val="bottom"/>
          </w:tcPr>
          <w:p>
            <w:pPr>
              <w:spacing w:after="0"/>
              <w:rPr>
                <w:sz w:val="17"/>
                <w:szCs w:val="17"/>
                <w:color w:val="auto"/>
              </w:rPr>
            </w:pPr>
          </w:p>
        </w:tc>
        <w:tc>
          <w:tcPr>
            <w:tcW w:w="4620" w:type="dxa"/>
            <w:vAlign w:val="bottom"/>
            <w:gridSpan w:val="7"/>
          </w:tcPr>
          <w:p>
            <w:pPr>
              <w:spacing w:after="0"/>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Third Amended and Restated Certificate of Incorporation, as amended</w:t>
              </w:r>
            </w:hyperlink>
          </w:p>
        </w:tc>
        <w:tc>
          <w:tcPr>
            <w:tcW w:w="0" w:type="dxa"/>
            <w:vAlign w:val="bottom"/>
          </w:tcPr>
          <w:p>
            <w:pPr>
              <w:spacing w:after="0"/>
              <w:rPr>
                <w:sz w:val="1"/>
                <w:szCs w:val="1"/>
                <w:color w:val="auto"/>
              </w:rPr>
            </w:pPr>
          </w:p>
        </w:tc>
      </w:tr>
      <w:tr>
        <w:trPr>
          <w:trHeight w:val="272"/>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4.2</w:t>
            </w:r>
          </w:p>
        </w:tc>
        <w:tc>
          <w:tcPr>
            <w:tcW w:w="100" w:type="dxa"/>
            <w:vAlign w:val="bottom"/>
          </w:tcPr>
          <w:p>
            <w:pPr>
              <w:spacing w:after="0"/>
              <w:rPr>
                <w:sz w:val="23"/>
                <w:szCs w:val="23"/>
                <w:color w:val="auto"/>
              </w:rPr>
            </w:pPr>
          </w:p>
        </w:tc>
        <w:tc>
          <w:tcPr>
            <w:tcW w:w="4380" w:type="dxa"/>
            <w:vAlign w:val="bottom"/>
            <w:tcBorders>
              <w:top w:val="single" w:sz="8" w:color="0000FF"/>
            </w:tcBorders>
            <w:gridSpan w:val="6"/>
            <w:vMerge w:val="restart"/>
          </w:tcPr>
          <w:p>
            <w:pPr>
              <w:spacing w:after="0"/>
              <w:rPr>
                <w:rFonts w:ascii="Times New Roman" w:cs="Times New Roman" w:eastAsia="Times New Roman" w:hAnsi="Times New Roman"/>
                <w:sz w:val="16"/>
                <w:szCs w:val="16"/>
                <w:color w:val="0000FF"/>
                <w:w w:val="97"/>
              </w:rPr>
            </w:pPr>
            <w:hyperlink r:id="rId21">
              <w:r>
                <w:rPr>
                  <w:rFonts w:ascii="Times New Roman" w:cs="Times New Roman" w:eastAsia="Times New Roman" w:hAnsi="Times New Roman"/>
                  <w:sz w:val="16"/>
                  <w:szCs w:val="16"/>
                  <w:color w:val="0000FF"/>
                  <w:w w:val="97"/>
                </w:rPr>
                <w:t>Amended and Restated Bylaws of the Registrant as currently in effect</w:t>
              </w:r>
            </w:hyperlink>
          </w:p>
        </w:tc>
        <w:tc>
          <w:tcPr>
            <w:tcW w:w="2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gridSpan w:val="6"/>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5.1</w:t>
            </w:r>
          </w:p>
        </w:tc>
        <w:tc>
          <w:tcPr>
            <w:tcW w:w="100" w:type="dxa"/>
            <w:vAlign w:val="bottom"/>
          </w:tcPr>
          <w:p>
            <w:pPr>
              <w:spacing w:after="0"/>
              <w:rPr>
                <w:sz w:val="24"/>
                <w:szCs w:val="24"/>
                <w:color w:val="auto"/>
              </w:rPr>
            </w:pPr>
          </w:p>
        </w:tc>
        <w:tc>
          <w:tcPr>
            <w:tcW w:w="4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Opinion of Fenwick &amp; West LLP</w:t>
            </w:r>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23.1</w:t>
            </w:r>
          </w:p>
        </w:tc>
        <w:tc>
          <w:tcPr>
            <w:tcW w:w="100" w:type="dxa"/>
            <w:vAlign w:val="bottom"/>
          </w:tcPr>
          <w:p>
            <w:pPr>
              <w:spacing w:after="0"/>
              <w:rPr>
                <w:sz w:val="20"/>
                <w:szCs w:val="20"/>
                <w:color w:val="auto"/>
              </w:rPr>
            </w:pPr>
          </w:p>
        </w:tc>
        <w:tc>
          <w:tcPr>
            <w:tcW w:w="46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Borders>
              <w:top w:val="single" w:sz="8" w:color="0000FF"/>
            </w:tcBorders>
            <w:gridSpan w:val="4"/>
          </w:tcPr>
          <w:p>
            <w:pPr>
              <w:spacing w:after="0" w:line="135" w:lineRule="exact"/>
              <w:rPr>
                <w:sz w:val="20"/>
                <w:szCs w:val="20"/>
                <w:color w:val="auto"/>
              </w:rPr>
            </w:pPr>
            <w:r>
              <w:rPr>
                <w:rFonts w:ascii="Times New Roman" w:cs="Times New Roman" w:eastAsia="Times New Roman" w:hAnsi="Times New Roman"/>
                <w:sz w:val="14"/>
                <w:szCs w:val="14"/>
                <w:color w:val="0000FF"/>
              </w:rPr>
              <w:t>Accounting Firm for GeneDx Holdings Corp.</w:t>
            </w:r>
          </w:p>
        </w:tc>
        <w:tc>
          <w:tcPr>
            <w:tcW w:w="6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23.2</w:t>
            </w:r>
          </w:p>
        </w:tc>
        <w:tc>
          <w:tcPr>
            <w:tcW w:w="100" w:type="dxa"/>
            <w:vAlign w:val="bottom"/>
          </w:tcPr>
          <w:p>
            <w:pPr>
              <w:spacing w:after="0"/>
              <w:rPr>
                <w:sz w:val="20"/>
                <w:szCs w:val="20"/>
                <w:color w:val="auto"/>
              </w:rPr>
            </w:pPr>
          </w:p>
        </w:tc>
        <w:tc>
          <w:tcPr>
            <w:tcW w:w="3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Consent of Fenwick &amp; West LLP (contained in Exhibit 5.1)</w:t>
            </w:r>
          </w:p>
        </w:tc>
        <w:tc>
          <w:tcPr>
            <w:tcW w:w="9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24.1</w:t>
            </w:r>
          </w:p>
        </w:tc>
        <w:tc>
          <w:tcPr>
            <w:tcW w:w="100" w:type="dxa"/>
            <w:vAlign w:val="bottom"/>
          </w:tcPr>
          <w:p>
            <w:pPr>
              <w:spacing w:after="0"/>
              <w:rPr>
                <w:sz w:val="19"/>
                <w:szCs w:val="19"/>
                <w:color w:val="auto"/>
              </w:rPr>
            </w:pPr>
          </w:p>
        </w:tc>
        <w:tc>
          <w:tcPr>
            <w:tcW w:w="46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Power of Attorney (included on the signature page of this Registration</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Statement)</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40" w:type="dxa"/>
        <w:tblCellMar>
          <w:top w:w="0" w:type="dxa"/>
          <w:left w:w="0" w:type="dxa"/>
          <w:bottom w:w="0" w:type="dxa"/>
          <w:right w:w="0" w:type="dxa"/>
        </w:tblCellMar>
      </w:tblPr>
      <w:tr>
        <w:trPr>
          <w:trHeight w:val="202"/>
        </w:trPr>
        <w:tc>
          <w:tcPr>
            <w:tcW w:w="60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85"/>
              </w:rPr>
              <w:t>99.1</w:t>
            </w:r>
          </w:p>
        </w:tc>
        <w:tc>
          <w:tcPr>
            <w:tcW w:w="4440" w:type="dxa"/>
            <w:vAlign w:val="bottom"/>
            <w:gridSpan w:val="8"/>
            <w:vMerge w:val="restart"/>
          </w:tcPr>
          <w:p>
            <w:pPr>
              <w:spacing w:after="0"/>
              <w:rPr>
                <w:rFonts w:ascii="Times New Roman" w:cs="Times New Roman" w:eastAsia="Times New Roman" w:hAnsi="Times New Roman"/>
                <w:sz w:val="16"/>
                <w:szCs w:val="16"/>
                <w:color w:val="0000FF"/>
                <w:w w:val="97"/>
              </w:rPr>
            </w:pPr>
            <w:hyperlink r:id="rId22">
              <w:r>
                <w:rPr>
                  <w:rFonts w:ascii="Times New Roman" w:cs="Times New Roman" w:eastAsia="Times New Roman" w:hAnsi="Times New Roman"/>
                  <w:sz w:val="16"/>
                  <w:szCs w:val="16"/>
                  <w:color w:val="0000FF"/>
                  <w:w w:val="97"/>
                </w:rPr>
                <w:t>GeneDx Holdings Corp. Amended and Restated 2021 Equity Incentive</w:t>
              </w:r>
            </w:hyperlink>
          </w:p>
        </w:tc>
        <w:tc>
          <w:tcPr>
            <w:tcW w:w="0" w:type="dxa"/>
            <w:vAlign w:val="bottom"/>
          </w:tcPr>
          <w:p>
            <w:pPr>
              <w:spacing w:after="0"/>
              <w:rPr>
                <w:sz w:val="1"/>
                <w:szCs w:val="1"/>
                <w:color w:val="auto"/>
              </w:rPr>
            </w:pPr>
          </w:p>
        </w:tc>
      </w:tr>
      <w:tr>
        <w:trPr>
          <w:trHeight w:val="32"/>
        </w:trPr>
        <w:tc>
          <w:tcPr>
            <w:tcW w:w="600" w:type="dxa"/>
            <w:vAlign w:val="bottom"/>
          </w:tcPr>
          <w:p>
            <w:pPr>
              <w:spacing w:after="0"/>
              <w:rPr>
                <w:sz w:val="2"/>
                <w:szCs w:val="2"/>
                <w:color w:val="auto"/>
              </w:rPr>
            </w:pPr>
          </w:p>
        </w:tc>
        <w:tc>
          <w:tcPr>
            <w:tcW w:w="4440" w:type="dxa"/>
            <w:vAlign w:val="bottom"/>
            <w:gridSpan w:val="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4420" w:type="dxa"/>
            <w:vAlign w:val="bottom"/>
            <w:tcBorders>
              <w:top w:val="single" w:sz="8" w:color="0000FF"/>
            </w:tcBorders>
            <w:gridSpan w:val="7"/>
          </w:tcPr>
          <w:p>
            <w:pPr>
              <w:spacing w:after="0" w:line="161"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Plan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w w:val="85"/>
              </w:rPr>
              <w:t>99.2</w:t>
            </w:r>
          </w:p>
        </w:tc>
        <w:tc>
          <w:tcPr>
            <w:tcW w:w="2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0" w:type="dxa"/>
            <w:vAlign w:val="bottom"/>
            <w:vMerge w:val="continue"/>
          </w:tcPr>
          <w:p>
            <w:pPr>
              <w:spacing w:after="0"/>
              <w:rPr>
                <w:sz w:val="24"/>
                <w:szCs w:val="24"/>
                <w:color w:val="auto"/>
              </w:rPr>
            </w:pPr>
          </w:p>
        </w:tc>
        <w:tc>
          <w:tcPr>
            <w:tcW w:w="4440" w:type="dxa"/>
            <w:vAlign w:val="bottom"/>
            <w:gridSpan w:val="8"/>
            <w:vMerge w:val="restart"/>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Form of Stock Option Agreement under the GeneDx Holdings Corp.</w:t>
              </w:r>
            </w:hyperlink>
          </w:p>
        </w:tc>
        <w:tc>
          <w:tcPr>
            <w:tcW w:w="0" w:type="dxa"/>
            <w:vAlign w:val="bottom"/>
          </w:tcPr>
          <w:p>
            <w:pPr>
              <w:spacing w:after="0"/>
              <w:rPr>
                <w:sz w:val="1"/>
                <w:szCs w:val="1"/>
                <w:color w:val="auto"/>
              </w:rPr>
            </w:pPr>
          </w:p>
        </w:tc>
      </w:tr>
      <w:tr>
        <w:trPr>
          <w:trHeight w:val="32"/>
        </w:trPr>
        <w:tc>
          <w:tcPr>
            <w:tcW w:w="600" w:type="dxa"/>
            <w:vAlign w:val="bottom"/>
          </w:tcPr>
          <w:p>
            <w:pPr>
              <w:spacing w:after="0"/>
              <w:rPr>
                <w:sz w:val="2"/>
                <w:szCs w:val="2"/>
                <w:color w:val="auto"/>
              </w:rPr>
            </w:pPr>
          </w:p>
        </w:tc>
        <w:tc>
          <w:tcPr>
            <w:tcW w:w="4440" w:type="dxa"/>
            <w:vAlign w:val="bottom"/>
            <w:gridSpan w:val="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4280" w:type="dxa"/>
            <w:vAlign w:val="bottom"/>
            <w:tcBorders>
              <w:top w:val="single" w:sz="8" w:color="0000FF"/>
            </w:tcBorders>
            <w:gridSpan w:val="5"/>
          </w:tcPr>
          <w:p>
            <w:pPr>
              <w:spacing w:after="0" w:line="161"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Amended and Restated 2021 Equity Incentive Plan</w:t>
              </w:r>
            </w:hyperlink>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w w:val="85"/>
              </w:rPr>
              <w:t>99.3</w:t>
            </w:r>
          </w:p>
        </w:tc>
        <w:tc>
          <w:tcPr>
            <w:tcW w:w="2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0" w:type="dxa"/>
            <w:vAlign w:val="bottom"/>
            <w:vMerge w:val="continue"/>
          </w:tcPr>
          <w:p>
            <w:pPr>
              <w:spacing w:after="0"/>
              <w:rPr>
                <w:sz w:val="24"/>
                <w:szCs w:val="24"/>
                <w:color w:val="auto"/>
              </w:rPr>
            </w:pPr>
          </w:p>
        </w:tc>
        <w:tc>
          <w:tcPr>
            <w:tcW w:w="4440" w:type="dxa"/>
            <w:vAlign w:val="bottom"/>
            <w:gridSpan w:val="8"/>
            <w:vMerge w:val="restart"/>
          </w:tcPr>
          <w:p>
            <w:pPr>
              <w:spacing w:after="0"/>
              <w:rPr>
                <w:rFonts w:ascii="Times New Roman" w:cs="Times New Roman" w:eastAsia="Times New Roman" w:hAnsi="Times New Roman"/>
                <w:sz w:val="16"/>
                <w:szCs w:val="16"/>
                <w:color w:val="0000FF"/>
                <w:w w:val="97"/>
              </w:rPr>
            </w:pPr>
            <w:hyperlink r:id="rId24">
              <w:r>
                <w:rPr>
                  <w:rFonts w:ascii="Times New Roman" w:cs="Times New Roman" w:eastAsia="Times New Roman" w:hAnsi="Times New Roman"/>
                  <w:sz w:val="16"/>
                  <w:szCs w:val="16"/>
                  <w:color w:val="0000FF"/>
                  <w:w w:val="97"/>
                </w:rPr>
                <w:t>Form of RSU Agreement under the GeneDx Holdings Corp. Amended</w:t>
              </w:r>
            </w:hyperlink>
          </w:p>
        </w:tc>
        <w:tc>
          <w:tcPr>
            <w:tcW w:w="0" w:type="dxa"/>
            <w:vAlign w:val="bottom"/>
          </w:tcPr>
          <w:p>
            <w:pPr>
              <w:spacing w:after="0"/>
              <w:rPr>
                <w:sz w:val="1"/>
                <w:szCs w:val="1"/>
                <w:color w:val="auto"/>
              </w:rPr>
            </w:pPr>
          </w:p>
        </w:tc>
      </w:tr>
      <w:tr>
        <w:trPr>
          <w:trHeight w:val="32"/>
        </w:trPr>
        <w:tc>
          <w:tcPr>
            <w:tcW w:w="600" w:type="dxa"/>
            <w:vAlign w:val="bottom"/>
          </w:tcPr>
          <w:p>
            <w:pPr>
              <w:spacing w:after="0"/>
              <w:rPr>
                <w:sz w:val="2"/>
                <w:szCs w:val="2"/>
                <w:color w:val="auto"/>
              </w:rPr>
            </w:pPr>
          </w:p>
        </w:tc>
        <w:tc>
          <w:tcPr>
            <w:tcW w:w="4440" w:type="dxa"/>
            <w:vAlign w:val="bottom"/>
            <w:gridSpan w:val="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4400" w:type="dxa"/>
            <w:vAlign w:val="bottom"/>
            <w:tcBorders>
              <w:top w:val="single" w:sz="8" w:color="0000FF"/>
            </w:tcBorders>
            <w:gridSpan w:val="6"/>
          </w:tcPr>
          <w:p>
            <w:pPr>
              <w:spacing w:after="0" w:line="161" w:lineRule="exact"/>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and Restated 2021 Equity Incentive Plan</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w w:val="85"/>
              </w:rPr>
              <w:t>99.4</w:t>
            </w:r>
          </w:p>
        </w:tc>
        <w:tc>
          <w:tcPr>
            <w:tcW w:w="2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0" w:type="dxa"/>
            <w:vAlign w:val="bottom"/>
            <w:vMerge w:val="continue"/>
          </w:tcPr>
          <w:p>
            <w:pPr>
              <w:spacing w:after="0"/>
              <w:rPr>
                <w:sz w:val="24"/>
                <w:szCs w:val="24"/>
                <w:color w:val="auto"/>
              </w:rPr>
            </w:pPr>
          </w:p>
        </w:tc>
        <w:tc>
          <w:tcPr>
            <w:tcW w:w="3860" w:type="dxa"/>
            <w:vAlign w:val="bottom"/>
            <w:gridSpan w:val="4"/>
            <w:vMerge w:val="restart"/>
          </w:tcPr>
          <w:p>
            <w:pPr>
              <w:spacing w:after="0"/>
              <w:rPr>
                <w:rFonts w:ascii="Times New Roman" w:cs="Times New Roman" w:eastAsia="Times New Roman" w:hAnsi="Times New Roman"/>
                <w:sz w:val="16"/>
                <w:szCs w:val="16"/>
                <w:color w:val="0000FF"/>
                <w:w w:val="97"/>
              </w:rPr>
            </w:pPr>
            <w:hyperlink r:id="rId25">
              <w:r>
                <w:rPr>
                  <w:rFonts w:ascii="Times New Roman" w:cs="Times New Roman" w:eastAsia="Times New Roman" w:hAnsi="Times New Roman"/>
                  <w:sz w:val="16"/>
                  <w:szCs w:val="16"/>
                  <w:color w:val="0000FF"/>
                  <w:w w:val="97"/>
                </w:rPr>
                <w:t>GeneDx Holdings Corp. 2021 Employee Stock Purchase Plan</w:t>
              </w:r>
            </w:hyperlink>
          </w:p>
        </w:tc>
        <w:tc>
          <w:tcPr>
            <w:tcW w:w="5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00" w:type="dxa"/>
            <w:vAlign w:val="bottom"/>
          </w:tcPr>
          <w:p>
            <w:pPr>
              <w:spacing w:after="0"/>
              <w:rPr>
                <w:sz w:val="2"/>
                <w:szCs w:val="2"/>
                <w:color w:val="auto"/>
              </w:rPr>
            </w:pPr>
          </w:p>
        </w:tc>
        <w:tc>
          <w:tcPr>
            <w:tcW w:w="3860" w:type="dxa"/>
            <w:vAlign w:val="bottom"/>
            <w:tcBorders>
              <w:bottom w:val="single" w:sz="8" w:color="0000FF"/>
            </w:tcBorders>
            <w:gridSpan w:val="4"/>
            <w:vMerge w:val="continue"/>
          </w:tcPr>
          <w:p>
            <w:pPr>
              <w:spacing w:after="0"/>
              <w:rPr>
                <w:sz w:val="2"/>
                <w:szCs w:val="2"/>
                <w:color w:val="auto"/>
              </w:rPr>
            </w:pPr>
          </w:p>
        </w:tc>
        <w:tc>
          <w:tcPr>
            <w:tcW w:w="5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840" w:hanging="584"/>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39"/>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001-39482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29, 2025</w:t>
            </w:r>
          </w:p>
        </w:tc>
      </w:tr>
      <w:tr>
        <w:trPr>
          <w:trHeight w:val="259"/>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001-39482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9,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0" w:type="dxa"/>
        <w:tblCellMar>
          <w:top w:w="0" w:type="dxa"/>
          <w:left w:w="0" w:type="dxa"/>
          <w:bottom w:w="0" w:type="dxa"/>
          <w:right w:w="0" w:type="dxa"/>
        </w:tblCellMar>
      </w:tblPr>
      <w:tr>
        <w:trPr>
          <w:trHeight w:val="202"/>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001-39482</w:t>
            </w: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10.1</w:t>
            </w:r>
          </w:p>
        </w:tc>
        <w:tc>
          <w:tcPr>
            <w:tcW w:w="11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8"/>
              </w:rPr>
              <w:t>April 17, 2023</w:t>
            </w:r>
          </w:p>
        </w:tc>
      </w:tr>
      <w:tr>
        <w:trPr>
          <w:trHeight w:val="54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001-39482</w:t>
            </w: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10.6</w:t>
            </w:r>
          </w:p>
        </w:tc>
        <w:tc>
          <w:tcPr>
            <w:tcW w:w="11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6"/>
              </w:rPr>
              <w:t>July 28, 2021</w:t>
            </w:r>
          </w:p>
        </w:tc>
      </w:tr>
      <w:tr>
        <w:trPr>
          <w:trHeight w:val="54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001-39482</w:t>
            </w: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10.7</w:t>
            </w:r>
          </w:p>
        </w:tc>
        <w:tc>
          <w:tcPr>
            <w:tcW w:w="11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6"/>
              </w:rPr>
              <w:t>July 28, 2021</w:t>
            </w:r>
          </w:p>
        </w:tc>
      </w:tr>
      <w:tr>
        <w:trPr>
          <w:trHeight w:val="54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001-39482</w:t>
            </w: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10.9</w:t>
            </w:r>
          </w:p>
        </w:tc>
        <w:tc>
          <w:tcPr>
            <w:tcW w:w="118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6"/>
              </w:rPr>
              <w:t>July 28, 2021</w:t>
            </w:r>
          </w:p>
        </w:tc>
      </w:tr>
    </w:tbl>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173355</wp:posOffset>
            </wp:positionV>
            <wp:extent cx="690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X</w:t>
      </w:r>
    </w:p>
    <w:p>
      <w:pPr>
        <w:sectPr>
          <w:pgSz w:w="11900" w:h="16838" w:orient="portrait"/>
          <w:cols w:equalWidth="0" w:num="3">
            <w:col w:w="5460" w:space="100"/>
            <w:col w:w="4460" w:space="360"/>
            <w:col w:w="560"/>
          </w:cols>
          <w:pgMar w:left="320" w:top="1362" w:right="6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2"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twenty-third day of February, 2026.</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ind w:left="20"/>
        <w:spacing w:after="0" w:line="214" w:lineRule="auto"/>
        <w:tabs>
          <w:tab w:leader="none" w:pos="3980" w:val="left"/>
        </w:tabs>
        <w:rPr>
          <w:sz w:val="20"/>
          <w:szCs w:val="20"/>
          <w:color w:val="auto"/>
        </w:rPr>
      </w:pPr>
      <w:r>
        <w:rPr>
          <w:rFonts w:ascii="Times New Roman" w:cs="Times New Roman" w:eastAsia="Times New Roman" w:hAnsi="Times New Roman"/>
          <w:sz w:val="35"/>
          <w:szCs w:val="35"/>
          <w:color w:val="auto"/>
          <w:vertAlign w:val="subscript"/>
        </w:rPr>
        <w:t>By:</w:t>
      </w:r>
      <w:r>
        <w:rPr>
          <w:sz w:val="20"/>
          <w:szCs w:val="20"/>
          <w:color w:val="auto"/>
        </w:rPr>
        <w:tab/>
      </w: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146050</wp:posOffset>
            </wp:positionV>
            <wp:extent cx="4613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extLst>
                    </a:blip>
                    <a:srcRect/>
                    <a:stretch>
                      <a:fillRect/>
                    </a:stretch>
                  </pic:blipFill>
                  <pic:spPr bwMode="auto">
                    <a:xfrm>
                      <a:off x="0" y="0"/>
                      <a:ext cx="4613275" cy="8255"/>
                    </a:xfrm>
                    <a:prstGeom prst="rect">
                      <a:avLst/>
                    </a:prstGeom>
                    <a:noFill/>
                  </pic:spPr>
                </pic:pic>
              </a:graphicData>
            </a:graphic>
          </wp:anchor>
        </w:drawing>
      </w:r>
    </w:p>
    <w:p>
      <w:pPr>
        <w:spacing w:after="0" w:line="2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Katherine Stueland</w:t>
      </w:r>
    </w:p>
    <w:p>
      <w:pPr>
        <w:spacing w:after="0" w:line="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3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47"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Katherine Stueland, Kevin Feeley and Heidi Chen, and each or any one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03"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362" w:right="339" w:bottom="1440" w:gutter="0" w:footer="0" w:header="0"/>
        </w:sectPr>
      </w:pPr>
    </w:p>
    <w:p>
      <w:pPr>
        <w:spacing w:after="0" w:line="20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2779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Katherine Stueland</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Kevin Feeley</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Jason Ryan</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Eli D. Casdin</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Emily Leproust</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Keith Meister</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Joshua Ruch</w:t>
      </w:r>
    </w:p>
    <w:p>
      <w:pPr>
        <w:spacing w:after="0" w:line="1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/s/ Richard Pfenninger,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2779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Richard Pfenninger, Jr.</w:t>
      </w:r>
    </w:p>
    <w:p>
      <w:pPr>
        <w:spacing w:after="0" w:line="11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Thomas J. Fuchs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779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Thomas J. Fuchs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142"/>
        </w:trPr>
        <w:tc>
          <w:tcPr>
            <w:tcW w:w="3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gridSpan w:val="2"/>
            <w:vMerge w:val="continue"/>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3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Financial Officer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142"/>
        </w:trPr>
        <w:tc>
          <w:tcPr>
            <w:tcW w:w="3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gridSpan w:val="2"/>
            <w:vMerge w:val="continue"/>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Chairman of the Board</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570"/>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570"/>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570"/>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570"/>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570"/>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r>
        <w:trPr>
          <w:trHeight w:val="570"/>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2026</w:t>
            </w:r>
          </w:p>
        </w:tc>
        <w:tc>
          <w:tcPr>
            <w:tcW w:w="0" w:type="dxa"/>
            <w:vAlign w:val="bottom"/>
          </w:tcPr>
          <w:p>
            <w:pPr>
              <w:spacing w:after="0"/>
              <w:rPr>
                <w:sz w:val="1"/>
                <w:szCs w:val="1"/>
                <w:color w:val="auto"/>
              </w:rPr>
            </w:pPr>
          </w:p>
        </w:tc>
      </w:tr>
    </w:tbl>
    <w:p>
      <w:pPr>
        <w:sectPr>
          <w:pgSz w:w="11900" w:h="16838" w:orient="portrait"/>
          <w:cols w:equalWidth="0" w:num="2">
            <w:col w:w="3760" w:space="720"/>
            <w:col w:w="6760"/>
          </w:cols>
          <w:pgMar w:left="320" w:top="1362" w:right="339" w:bottom="1440" w:gutter="0" w:footer="0" w:header="0"/>
          <w:type w:val="continuous"/>
        </w:sectPr>
      </w:pPr>
    </w:p>
    <w:bookmarkStart w:id="6" w:name="page7"/>
    <w:bookmarkEnd w:id="6"/>
    <w:p>
      <w:pPr>
        <w:spacing w:after="0" w:line="62" w:lineRule="exact"/>
        <w:rPr>
          <w:sz w:val="20"/>
          <w:szCs w:val="20"/>
          <w:color w:val="auto"/>
        </w:rPr>
      </w:pPr>
    </w:p>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ind w:left="3620"/>
        <w:spacing w:after="0"/>
        <w:rPr>
          <w:sz w:val="20"/>
          <w:szCs w:val="20"/>
          <w:color w:val="auto"/>
        </w:rPr>
      </w:pPr>
      <w:r>
        <w:rPr>
          <w:rFonts w:ascii="Arial" w:cs="Arial" w:eastAsia="Arial" w:hAnsi="Arial"/>
          <w:sz w:val="35"/>
          <w:szCs w:val="35"/>
          <w:b w:val="1"/>
          <w:bCs w:val="1"/>
          <w:color w:val="auto"/>
        </w:rPr>
        <w:t>GeneDx Holdings Corp.</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shd w:val="clear" w:color="auto" w:fill="9ADAF6"/>
          </w:tcPr>
          <w:p>
            <w:pPr>
              <w:jc w:val="right"/>
              <w:ind w:right="76"/>
              <w:spacing w:after="0" w:line="208"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4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stock,</w:t>
            </w:r>
          </w:p>
        </w:tc>
        <w:tc>
          <w:tcPr>
            <w:tcW w:w="40" w:type="dxa"/>
            <w:vAlign w:val="bottom"/>
          </w:tcPr>
          <w:p>
            <w:pPr>
              <w:spacing w:after="0"/>
              <w:rPr>
                <w:sz w:val="24"/>
                <w:szCs w:val="24"/>
                <w:color w:val="auto"/>
              </w:rPr>
            </w:pPr>
          </w:p>
        </w:tc>
        <w:tc>
          <w:tcPr>
            <w:tcW w:w="114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24"/>
                <w:szCs w:val="24"/>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1,462,264</w:t>
            </w:r>
          </w:p>
        </w:tc>
        <w:tc>
          <w:tcPr>
            <w:tcW w:w="20" w:type="dxa"/>
            <w:vAlign w:val="bottom"/>
          </w:tcPr>
          <w:p>
            <w:pPr>
              <w:spacing w:after="0"/>
              <w:rPr>
                <w:sz w:val="24"/>
                <w:szCs w:val="24"/>
                <w:color w:val="auto"/>
              </w:rPr>
            </w:pPr>
          </w:p>
        </w:tc>
        <w:tc>
          <w:tcPr>
            <w:tcW w:w="14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$ 89.345</w:t>
            </w: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2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$ 18,042.21</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$0.0001</w:t>
            </w: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jc w:val="right"/>
              <w:spacing w:after="0" w:line="142" w:lineRule="exact"/>
              <w:rPr>
                <w:sz w:val="20"/>
                <w:szCs w:val="20"/>
                <w:color w:val="auto"/>
              </w:rPr>
            </w:pPr>
            <w:r>
              <w:rPr>
                <w:rFonts w:ascii="Arial" w:cs="Arial" w:eastAsia="Arial" w:hAnsi="Arial"/>
                <w:sz w:val="16"/>
                <w:szCs w:val="16"/>
                <w:color w:val="auto"/>
              </w:rPr>
              <w:t>130,645,977.08</w:t>
            </w: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292,452</w:t>
            </w:r>
          </w:p>
        </w:tc>
        <w:tc>
          <w:tcPr>
            <w:tcW w:w="20" w:type="dxa"/>
            <w:vAlign w:val="bottom"/>
          </w:tcPr>
          <w:p>
            <w:pPr>
              <w:spacing w:after="0"/>
              <w:rPr>
                <w:sz w:val="20"/>
                <w:szCs w:val="2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$ 75.9433</w:t>
            </w: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$ 22,209,769.97</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$ 3,067.17</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vMerge w:val="restart"/>
            <w:shd w:val="clear" w:color="auto" w:fill="E7E7E2"/>
          </w:tcPr>
          <w:p>
            <w:pPr>
              <w:spacing w:after="0" w:line="233" w:lineRule="exact"/>
              <w:rPr>
                <w:sz w:val="20"/>
                <w:szCs w:val="20"/>
                <w:color w:val="auto"/>
              </w:rPr>
            </w:pPr>
            <w:r>
              <w:rPr>
                <w:rFonts w:ascii="Arial" w:cs="Arial" w:eastAsia="Arial" w:hAnsi="Arial"/>
                <w:sz w:val="21"/>
                <w:szCs w:val="21"/>
                <w:color w:val="auto"/>
              </w:rPr>
              <w:t>$0.0001</w:t>
            </w:r>
          </w:p>
        </w:tc>
        <w:tc>
          <w:tcPr>
            <w:tcW w:w="4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$ 21,109.38</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152,855,747.05</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$ 21,109.38</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860" w:firstLine="6"/>
        <w:spacing w:after="0" w:line="234" w:lineRule="auto"/>
        <w:tabs>
          <w:tab w:leader="none" w:pos="1131" w:val="left"/>
        </w:tabs>
        <w:numPr>
          <w:ilvl w:val="0"/>
          <w:numId w:val="3"/>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spacing w:after="0" w:line="5" w:lineRule="exact"/>
        <w:rPr>
          <w:rFonts w:ascii="Arial" w:cs="Arial" w:eastAsia="Arial" w:hAnsi="Arial"/>
          <w:sz w:val="21"/>
          <w:szCs w:val="21"/>
          <w:color w:val="auto"/>
        </w:rPr>
      </w:pPr>
    </w:p>
    <w:p>
      <w:pPr>
        <w:ind w:left="820" w:right="860" w:firstLine="6"/>
        <w:spacing w:after="0" w:line="231" w:lineRule="auto"/>
        <w:tabs>
          <w:tab w:leader="none" w:pos="1131"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Represents additional shares of the Registrant's Class A common stock to be registered and available for grant under its Amended and Restated 2021 Equity Incentive Plan (the "2021 EIP") resulting from the automatic 5% annual increase in the number of authorized shares reserved and available for issuance under the 2021 EIP.</w:t>
      </w:r>
    </w:p>
    <w:p>
      <w:pPr>
        <w:spacing w:after="0" w:line="2" w:lineRule="exact"/>
        <w:rPr>
          <w:rFonts w:ascii="Arial" w:cs="Arial" w:eastAsia="Arial" w:hAnsi="Arial"/>
          <w:sz w:val="21"/>
          <w:szCs w:val="21"/>
          <w:color w:val="auto"/>
        </w:rPr>
      </w:pPr>
    </w:p>
    <w:p>
      <w:pPr>
        <w:ind w:left="820" w:right="1040" w:firstLine="6"/>
        <w:spacing w:after="0" w:line="236" w:lineRule="auto"/>
        <w:tabs>
          <w:tab w:leader="none" w:pos="1131" w:val="left"/>
        </w:tabs>
        <w:numPr>
          <w:ilvl w:val="0"/>
          <w:numId w:val="3"/>
        </w:numPr>
        <w:rPr>
          <w:rFonts w:ascii="Arial" w:cs="Arial" w:eastAsia="Arial" w:hAnsi="Arial"/>
          <w:sz w:val="21"/>
          <w:szCs w:val="21"/>
          <w:color w:val="auto"/>
        </w:rPr>
      </w:pPr>
      <w:r>
        <w:rPr>
          <w:rFonts w:ascii="Arial" w:cs="Arial" w:eastAsia="Arial" w:hAnsi="Arial"/>
          <w:sz w:val="21"/>
          <w:szCs w:val="21"/>
          <w:color w:val="auto"/>
        </w:rPr>
        <w:t>Estimated in accordance with Rules 457(c) and 457(h) of the Securities Act solely for the purpose of calculating the registration fee. The proposed maximum offering price per share of $89.3450 was computed by averaging the high and low prices of a share of the Registrant's Class A common stock as reported on the Nasdaq Global Select Market on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78740</wp:posOffset>
            </wp:positionV>
            <wp:extent cx="6398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820" w:right="860" w:firstLine="6"/>
        <w:spacing w:after="0" w:line="234" w:lineRule="auto"/>
        <w:tabs>
          <w:tab w:leader="none" w:pos="1131" w:val="left"/>
        </w:tabs>
        <w:numPr>
          <w:ilvl w:val="0"/>
          <w:numId w:val="4"/>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spacing w:after="0" w:line="5" w:lineRule="exact"/>
        <w:rPr>
          <w:rFonts w:ascii="Arial" w:cs="Arial" w:eastAsia="Arial" w:hAnsi="Arial"/>
          <w:sz w:val="21"/>
          <w:szCs w:val="21"/>
          <w:color w:val="auto"/>
        </w:rPr>
      </w:pPr>
    </w:p>
    <w:p>
      <w:pPr>
        <w:ind w:left="820" w:right="860" w:firstLine="6"/>
        <w:spacing w:after="0" w:line="231" w:lineRule="auto"/>
        <w:tabs>
          <w:tab w:leader="none" w:pos="1131" w:val="left"/>
        </w:tabs>
        <w:numPr>
          <w:ilvl w:val="0"/>
          <w:numId w:val="5"/>
        </w:numPr>
        <w:rPr>
          <w:rFonts w:ascii="Arial" w:cs="Arial" w:eastAsia="Arial" w:hAnsi="Arial"/>
          <w:sz w:val="21"/>
          <w:szCs w:val="21"/>
          <w:color w:val="auto"/>
        </w:rPr>
      </w:pPr>
      <w:r>
        <w:rPr>
          <w:rFonts w:ascii="Arial" w:cs="Arial" w:eastAsia="Arial" w:hAnsi="Arial"/>
          <w:sz w:val="21"/>
          <w:szCs w:val="21"/>
          <w:color w:val="auto"/>
        </w:rPr>
        <w:t>Represents additional shares of the Registrant's Class A common stock to be registered and available for grant under its 2021 Employee Stock Purchase Plan (the "2021 ESPP") resulting from the automatic 1% annual increase in the number of authorized shares reserved and available for issuance under the 2021 ESPP.</w:t>
      </w:r>
    </w:p>
    <w:p>
      <w:pPr>
        <w:spacing w:after="0" w:line="2" w:lineRule="exact"/>
        <w:rPr>
          <w:rFonts w:ascii="Arial" w:cs="Arial" w:eastAsia="Arial" w:hAnsi="Arial"/>
          <w:sz w:val="21"/>
          <w:szCs w:val="21"/>
          <w:color w:val="auto"/>
        </w:rPr>
      </w:pPr>
    </w:p>
    <w:p>
      <w:pPr>
        <w:ind w:left="820" w:right="1040" w:firstLine="6"/>
        <w:spacing w:after="0" w:line="235" w:lineRule="auto"/>
        <w:tabs>
          <w:tab w:leader="none" w:pos="1131" w:val="left"/>
        </w:tabs>
        <w:numPr>
          <w:ilvl w:val="0"/>
          <w:numId w:val="5"/>
        </w:numPr>
        <w:rPr>
          <w:rFonts w:ascii="Arial" w:cs="Arial" w:eastAsia="Arial" w:hAnsi="Arial"/>
          <w:sz w:val="21"/>
          <w:szCs w:val="21"/>
          <w:color w:val="auto"/>
        </w:rPr>
      </w:pPr>
      <w:r>
        <w:rPr>
          <w:rFonts w:ascii="Arial" w:cs="Arial" w:eastAsia="Arial" w:hAnsi="Arial"/>
          <w:sz w:val="21"/>
          <w:szCs w:val="21"/>
          <w:color w:val="auto"/>
        </w:rPr>
        <w:t>Estimated in accordance with Rules 457(c) and 457(h) of the Securities Act solely for the purpose of calculating the registration fee. The proposed maximum offering price per share of $75.9433 was computed by averaging the high and low prices of a share of the Registrant's Class A common stock as reported on the Nasdaq Global Select Market on February 17, 2026, multiplied by 85% pursuant to the purchase price terms of the 2021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79375</wp:posOffset>
            </wp:positionV>
            <wp:extent cx="6398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5860" w:type="dxa"/>
            <w:vAlign w:val="bottom"/>
            <w:tcBorders>
              <w:bottom w:val="single" w:sz="8" w:color="auto"/>
            </w:tcBorders>
            <w:gridSpan w:val="16"/>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8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ind w:left="40"/>
              <w:spacing w:after="0"/>
              <w:rPr>
                <w:sz w:val="20"/>
                <w:szCs w:val="20"/>
                <w:color w:val="auto"/>
              </w:rPr>
            </w:pPr>
            <w:r>
              <w:rPr>
                <w:rFonts w:ascii="Arial" w:cs="Arial" w:eastAsia="Arial" w:hAnsi="Arial"/>
                <w:sz w:val="21"/>
                <w:szCs w:val="21"/>
                <w:b w:val="1"/>
                <w:bCs w:val="1"/>
                <w:color w:val="auto"/>
              </w:rPr>
              <w:t>Form</w:t>
            </w:r>
          </w:p>
        </w:tc>
        <w:tc>
          <w:tcPr>
            <w:tcW w:w="20" w:type="dxa"/>
            <w:vAlign w:val="bottom"/>
          </w:tcPr>
          <w:p>
            <w:pPr>
              <w:spacing w:after="0"/>
              <w:rPr>
                <w:sz w:val="24"/>
                <w:szCs w:val="24"/>
                <w:color w:val="auto"/>
              </w:rPr>
            </w:pPr>
          </w:p>
        </w:tc>
        <w:tc>
          <w:tcPr>
            <w:tcW w:w="820" w:type="dxa"/>
            <w:vAlign w:val="bottom"/>
            <w:shd w:val="clear" w:color="auto" w:fill="9ADAF6"/>
          </w:tcPr>
          <w:p>
            <w:pPr>
              <w:ind w:left="220"/>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24"/>
                <w:szCs w:val="24"/>
                <w:color w:val="auto"/>
              </w:rPr>
            </w:pPr>
          </w:p>
        </w:tc>
        <w:tc>
          <w:tcPr>
            <w:tcW w:w="58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6"/>
              </w:rPr>
              <w:t>Filing</w:t>
            </w:r>
          </w:p>
        </w:tc>
        <w:tc>
          <w:tcPr>
            <w:tcW w:w="40" w:type="dxa"/>
            <w:vAlign w:val="bottom"/>
          </w:tcPr>
          <w:p>
            <w:pPr>
              <w:spacing w:after="0"/>
              <w:rPr>
                <w:sz w:val="24"/>
                <w:szCs w:val="24"/>
                <w:color w:val="auto"/>
              </w:rPr>
            </w:pPr>
          </w:p>
        </w:tc>
        <w:tc>
          <w:tcPr>
            <w:tcW w:w="84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ind w:left="16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40" w:type="dxa"/>
            <w:vAlign w:val="bottom"/>
            <w:shd w:val="clear" w:color="auto" w:fill="9ADAF6"/>
          </w:tcPr>
          <w:p>
            <w:pPr>
              <w:ind w:left="16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40" w:type="dxa"/>
            <w:vAlign w:val="bottom"/>
            <w:shd w:val="clear" w:color="auto" w:fill="9ADAF6"/>
          </w:tcPr>
          <w:p>
            <w:pPr>
              <w:ind w:left="220"/>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4"/>
                <w:szCs w:val="24"/>
                <w:color w:val="auto"/>
              </w:rPr>
            </w:pPr>
          </w:p>
        </w:tc>
        <w:tc>
          <w:tcPr>
            <w:tcW w:w="1140" w:type="dxa"/>
            <w:vAlign w:val="bottom"/>
            <w:shd w:val="clear" w:color="auto" w:fill="9ADAF6"/>
          </w:tcPr>
          <w:p>
            <w:pPr>
              <w:ind w:left="220"/>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4"/>
                <w:szCs w:val="24"/>
                <w:color w:val="auto"/>
              </w:rPr>
            </w:pPr>
          </w:p>
        </w:tc>
        <w:tc>
          <w:tcPr>
            <w:tcW w:w="740" w:type="dxa"/>
            <w:vAlign w:val="bottom"/>
            <w:shd w:val="clear" w:color="auto" w:fill="9ADAF6"/>
          </w:tcPr>
          <w:p>
            <w:pPr>
              <w:ind w:left="200"/>
              <w:spacing w:after="0"/>
              <w:rPr>
                <w:sz w:val="20"/>
                <w:szCs w:val="20"/>
                <w:color w:val="auto"/>
              </w:rPr>
            </w:pPr>
            <w:r>
              <w:rPr>
                <w:rFonts w:ascii="Arial" w:cs="Arial" w:eastAsia="Arial" w:hAnsi="Arial"/>
                <w:sz w:val="21"/>
                <w:szCs w:val="21"/>
                <w:b w:val="1"/>
                <w:bCs w:val="1"/>
                <w:color w:val="auto"/>
              </w:rPr>
              <w:t>Fee</w:t>
            </w:r>
          </w:p>
        </w:tc>
        <w:tc>
          <w:tcPr>
            <w:tcW w:w="80" w:type="dxa"/>
            <w:vAlign w:val="bottom"/>
            <w:tcBorders>
              <w:right w:val="single" w:sz="8" w:color="auto"/>
            </w:tcBorders>
          </w:tcPr>
          <w:p>
            <w:pPr>
              <w:spacing w:after="0"/>
              <w:rPr>
                <w:sz w:val="24"/>
                <w:szCs w:val="24"/>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r>
    </w:tbl>
    <w:p>
      <w:pPr>
        <w:sectPr>
          <w:pgSz w:w="11900" w:h="16900" w:orient="portrait"/>
          <w:cols w:equalWidth="0" w:num="1">
            <w:col w:w="11340"/>
          </w:cols>
          <w:pgMar w:left="320" w:top="141" w:right="23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3387725</wp:posOffset>
            </wp:positionH>
            <wp:positionV relativeFrom="page">
              <wp:posOffset>88900</wp:posOffset>
            </wp:positionV>
            <wp:extent cx="534670" cy="1134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534670" cy="11347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40" w:type="dxa"/>
            <w:vAlign w:val="bottom"/>
            <w:tcBorders>
              <w:left w:val="single" w:sz="8" w:color="auto"/>
            </w:tcBorders>
          </w:tcPr>
          <w:p>
            <w:pPr>
              <w:spacing w:after="0"/>
              <w:rPr>
                <w:sz w:val="21"/>
                <w:szCs w:val="21"/>
                <w:color w:val="auto"/>
              </w:rPr>
            </w:pPr>
          </w:p>
        </w:tc>
        <w:tc>
          <w:tcPr>
            <w:tcW w:w="8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1"/>
                <w:szCs w:val="21"/>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1"/>
                <w:szCs w:val="21"/>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1"/>
                <w:szCs w:val="21"/>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1"/>
                <w:szCs w:val="21"/>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1"/>
                <w:szCs w:val="21"/>
                <w:color w:val="auto"/>
              </w:rPr>
            </w:pPr>
          </w:p>
        </w:tc>
        <w:tc>
          <w:tcPr>
            <w:tcW w:w="840" w:type="dxa"/>
            <w:vAlign w:val="bottom"/>
          </w:tcPr>
          <w:p>
            <w:pPr>
              <w:ind w:left="120"/>
              <w:spacing w:after="0"/>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vMerge w:val="restart"/>
          </w:tcPr>
          <w:p>
            <w:pPr>
              <w:spacing w:after="0"/>
              <w:rPr>
                <w:sz w:val="12"/>
                <w:szCs w:val="12"/>
                <w:color w:val="auto"/>
              </w:rPr>
            </w:pPr>
          </w:p>
        </w:tc>
        <w:tc>
          <w:tcPr>
            <w:tcW w:w="2000" w:type="dxa"/>
            <w:vAlign w:val="bottom"/>
            <w:gridSpan w:val="3"/>
            <w:vMerge w:val="restart"/>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05"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105410</wp:posOffset>
            </wp:positionV>
            <wp:extent cx="6356985" cy="427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356985" cy="4273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23,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GeneDx Holdings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333 Ludlow Street, North Tower, 6th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Stamford, Connecticut 06902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 Registration Statement on Form S-8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08" w:lineRule="exact"/>
        <w:rPr>
          <w:sz w:val="20"/>
          <w:szCs w:val="20"/>
          <w:color w:val="auto"/>
        </w:rPr>
      </w:pPr>
    </w:p>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As counsel to GeneDx Holdings Corp.,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we have examined the Registration Statement on Form S-8 (the “</w:t>
      </w:r>
      <w:r>
        <w:rPr>
          <w:rFonts w:ascii="Times New Roman" w:cs="Times New Roman" w:eastAsia="Times New Roman" w:hAnsi="Times New Roman"/>
          <w:sz w:val="21"/>
          <w:szCs w:val="21"/>
          <w:b w:val="1"/>
          <w:bCs w:val="1"/>
          <w:i w:val="1"/>
          <w:iCs w:val="1"/>
          <w:color w:val="auto"/>
        </w:rPr>
        <w:t>Registration Statement</w:t>
      </w:r>
      <w:r>
        <w:rPr>
          <w:rFonts w:ascii="Times New Roman" w:cs="Times New Roman" w:eastAsia="Times New Roman" w:hAnsi="Times New Roman"/>
          <w:sz w:val="21"/>
          <w:szCs w:val="21"/>
          <w:color w:val="auto"/>
        </w:rPr>
        <w:t>”) to be filed by the Company with the Securities and Exchange Commission (the “</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1"/>
          <w:szCs w:val="21"/>
          <w:color w:val="auto"/>
        </w:rPr>
        <w:t>”) on or about February 23, 2026 in connection with the registration under the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of an aggregate of 1,754,716 shares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of the Company’s Class A Common Stock, $0.0001 par value per share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subject to issuance by the Company (a) upon exercise or settlement of awards to be granted under the Company’s Amended and Restated 2021 Equity Incentive Plan (the “</w:t>
      </w:r>
      <w:r>
        <w:rPr>
          <w:rFonts w:ascii="Times New Roman" w:cs="Times New Roman" w:eastAsia="Times New Roman" w:hAnsi="Times New Roman"/>
          <w:sz w:val="21"/>
          <w:szCs w:val="21"/>
          <w:b w:val="1"/>
          <w:bCs w:val="1"/>
          <w:i w:val="1"/>
          <w:iCs w:val="1"/>
          <w:color w:val="auto"/>
        </w:rPr>
        <w:t>2021 Plan</w:t>
      </w:r>
      <w:r>
        <w:rPr>
          <w:rFonts w:ascii="Times New Roman" w:cs="Times New Roman" w:eastAsia="Times New Roman" w:hAnsi="Times New Roman"/>
          <w:sz w:val="21"/>
          <w:szCs w:val="21"/>
          <w:color w:val="auto"/>
        </w:rPr>
        <w:t>”) pursuant to the provision of the 2021 Plan providing for an automatic annual increase in the number of shares reserved and available for issuance under the 2021 Plan and (b) upon exercise of purchase rights to acquire shares of Common Stock to be granted under the Company’s 2021 Employee Stock Purchase Plan (the “</w:t>
      </w:r>
      <w:r>
        <w:rPr>
          <w:rFonts w:ascii="Times New Roman" w:cs="Times New Roman" w:eastAsia="Times New Roman" w:hAnsi="Times New Roman"/>
          <w:sz w:val="21"/>
          <w:szCs w:val="21"/>
          <w:b w:val="1"/>
          <w:bCs w:val="1"/>
          <w:i w:val="1"/>
          <w:iCs w:val="1"/>
          <w:color w:val="auto"/>
        </w:rPr>
        <w:t>Purchase Plan</w:t>
      </w:r>
      <w:r>
        <w:rPr>
          <w:rFonts w:ascii="Times New Roman" w:cs="Times New Roman" w:eastAsia="Times New Roman" w:hAnsi="Times New Roman"/>
          <w:sz w:val="21"/>
          <w:szCs w:val="21"/>
          <w:color w:val="auto"/>
        </w:rPr>
        <w:t>” and, together with the 2021 Plan, the “</w:t>
      </w:r>
      <w:r>
        <w:rPr>
          <w:rFonts w:ascii="Times New Roman" w:cs="Times New Roman" w:eastAsia="Times New Roman" w:hAnsi="Times New Roman"/>
          <w:sz w:val="21"/>
          <w:szCs w:val="21"/>
          <w:b w:val="1"/>
          <w:bCs w:val="1"/>
          <w:i w:val="1"/>
          <w:iCs w:val="1"/>
          <w:color w:val="auto"/>
        </w:rPr>
        <w:t>Plans</w:t>
      </w:r>
      <w:r>
        <w:rPr>
          <w:rFonts w:ascii="Times New Roman" w:cs="Times New Roman" w:eastAsia="Times New Roman" w:hAnsi="Times New Roman"/>
          <w:sz w:val="21"/>
          <w:szCs w:val="21"/>
          <w:color w:val="auto"/>
        </w:rPr>
        <w:t>”) pursuant to the provision of the Purchase Plan providing for an automatic annual increase in the number of shares reserved and available for issuance under the Purchase Plan.</w:t>
      </w:r>
    </w:p>
    <w:p>
      <w:pPr>
        <w:spacing w:after="0" w:line="172" w:lineRule="exact"/>
        <w:rPr>
          <w:sz w:val="20"/>
          <w:szCs w:val="20"/>
          <w:color w:val="auto"/>
        </w:rPr>
      </w:pPr>
    </w:p>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75" w:lineRule="exact"/>
        <w:rPr>
          <w:sz w:val="20"/>
          <w:szCs w:val="20"/>
          <w:color w:val="auto"/>
        </w:rPr>
      </w:pPr>
    </w:p>
    <w:p>
      <w:pPr>
        <w:jc w:val="both"/>
        <w:ind w:firstLine="622"/>
        <w:spacing w:after="0" w:line="255" w:lineRule="auto"/>
        <w:rPr>
          <w:sz w:val="20"/>
          <w:szCs w:val="20"/>
          <w:color w:val="auto"/>
        </w:rPr>
      </w:pPr>
      <w:r>
        <w:rPr>
          <w:rFonts w:ascii="Times New Roman" w:cs="Times New Roman" w:eastAsia="Times New Roman" w:hAnsi="Times New Roman"/>
          <w:sz w:val="21"/>
          <w:szCs w:val="21"/>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1"/>
          <w:szCs w:val="21"/>
          <w:color w:val="auto"/>
        </w:rPr>
        <w:t>GeneDx Holdings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23,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21"/>
          <w:szCs w:val="21"/>
          <w:b w:val="1"/>
          <w:bCs w:val="1"/>
          <w:i w:val="1"/>
          <w:iCs w:val="1"/>
          <w:color w:val="auto"/>
        </w:rPr>
        <w:t>EDGAR</w:t>
      </w:r>
      <w:r>
        <w:rPr>
          <w:rFonts w:ascii="Times New Roman" w:cs="Times New Roman" w:eastAsia="Times New Roman" w:hAnsi="Times New Roman"/>
          <w:sz w:val="21"/>
          <w:szCs w:val="21"/>
          <w:color w:val="auto"/>
        </w:rPr>
        <w:t>”), except for required EDGAR formatting changes, to physical copies submitted for our examination.</w:t>
      </w:r>
    </w:p>
    <w:p>
      <w:pPr>
        <w:spacing w:after="0" w:line="169" w:lineRule="exact"/>
        <w:rPr>
          <w:sz w:val="20"/>
          <w:szCs w:val="20"/>
          <w:color w:val="auto"/>
        </w:rPr>
      </w:pPr>
    </w:p>
    <w:p>
      <w:pPr>
        <w:jc w:val="both"/>
        <w:ind w:firstLine="622"/>
        <w:spacing w:after="0" w:line="286" w:lineRule="auto"/>
        <w:rPr>
          <w:sz w:val="20"/>
          <w:szCs w:val="20"/>
          <w:color w:val="auto"/>
        </w:rPr>
      </w:pPr>
      <w:r>
        <w:rPr>
          <w:rFonts w:ascii="Times New Roman" w:cs="Times New Roman" w:eastAsia="Times New Roman" w:hAnsi="Times New Roman"/>
          <w:sz w:val="21"/>
          <w:szCs w:val="21"/>
          <w:color w:val="auto"/>
        </w:rPr>
        <w:t>The opinions in this letter are limited to the existing General Corporation Law of the State of Delaware now in effect. We express no opinion with respect to any other laws.</w:t>
      </w:r>
    </w:p>
    <w:p>
      <w:pPr>
        <w:spacing w:after="0" w:line="137" w:lineRule="exact"/>
        <w:rPr>
          <w:sz w:val="20"/>
          <w:szCs w:val="20"/>
          <w:color w:val="auto"/>
        </w:rPr>
      </w:pPr>
    </w:p>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Based upon, and subject to, the foregoing, it is our opinion that the Shares, when issued and sold by the Company in accordance with the terms (including, without limitation, payment and authorization provisions) of the applicable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88" w:lineRule="exact"/>
        <w:rPr>
          <w:sz w:val="20"/>
          <w:szCs w:val="20"/>
          <w:color w:val="auto"/>
        </w:rPr>
      </w:pPr>
    </w:p>
    <w:p>
      <w:pPr>
        <w:jc w:val="both"/>
        <w:ind w:firstLine="622"/>
        <w:spacing w:after="0" w:line="249" w:lineRule="auto"/>
        <w:rPr>
          <w:sz w:val="20"/>
          <w:szCs w:val="20"/>
          <w:color w:val="auto"/>
        </w:rPr>
      </w:pPr>
      <w:r>
        <w:rPr>
          <w:rFonts w:ascii="Times New Roman" w:cs="Times New Roman" w:eastAsia="Times New Roman" w:hAnsi="Times New Roman"/>
          <w:sz w:val="21"/>
          <w:szCs w:val="21"/>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/s/ 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FENWICK &amp; WEST LLP</w:t>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333333"/>
        </w:rPr>
        <w:t>We consent to the incorporation by reference in the Registration Statement (Form S-8) pertaining to the GeneDx Holdings Corp. Amended and Restated 2021 Equity Incentive Plan and GeneDx Holdings Corp. 2021 Employee Stock Purchase Plan of our reports dated February 23, 2026, with respect to the consolidated financial statements of GeneDx Holding Corp. and the effectiveness of internal control over financial reporting of GeneDx Holdings Corp. included in its Annual Report (Form 10-K) for the year ended December 31, 2025, filed with the Securities and Exchange Commission.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07"/>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jpeg"/><Relationship Id="rId11" Type="http://schemas.openxmlformats.org/officeDocument/2006/relationships/hyperlink" Target="https://www.sec.gov/Archives/edgar/data/1818331/000162828021019193/s-8.htm" TargetMode="External"/><Relationship Id="rId12" Type="http://schemas.openxmlformats.org/officeDocument/2006/relationships/hyperlink" Target="https://www.sec.gov/Archives/edgar/data/1818331/000181833122000020/sema4-sx8filingx12422.htm" TargetMode="External"/><Relationship Id="rId13" Type="http://schemas.openxmlformats.org/officeDocument/2006/relationships/hyperlink" Target="https://www.sec.gov/Archives/edgar/data/1818331/000181833123000008/sema4-sx82023equityevergre.htm" TargetMode="External"/><Relationship Id="rId14" Type="http://schemas.openxmlformats.org/officeDocument/2006/relationships/hyperlink" Target="https://www.sec.gov/Archives/edgar/data/1818331/000181833123000062/genedx-formsx82023induceme.htm" TargetMode="External"/><Relationship Id="rId15" Type="http://schemas.openxmlformats.org/officeDocument/2006/relationships/hyperlink" Target="https://www.sec.gov/Archives/edgar/data/1818331/000181833124000013/wgs-sx8february2024evergre.htm" TargetMode="External"/><Relationship Id="rId16" Type="http://schemas.openxmlformats.org/officeDocument/2006/relationships/hyperlink" Target="https://www.sec.gov/Archives/edgar/data/1818331/000181833125000023/wgs-sx8february2025evergre.htm" TargetMode="External"/><Relationship Id="rId17" Type="http://schemas.openxmlformats.org/officeDocument/2006/relationships/hyperlink" Target="https://www.sec.gov/Archives/edgar/data/1818331/000181833126000015/wgs-20251231.htm" TargetMode="External"/><Relationship Id="rId18" Type="http://schemas.openxmlformats.org/officeDocument/2006/relationships/hyperlink" Target="https://www.sec.gov/Archives/edgar/data/0001818331/000121390020024549/ea126225-8a12b_cmlifescience.htm" TargetMode="External"/><Relationship Id="rId19" Type="http://schemas.openxmlformats.org/officeDocument/2006/relationships/hyperlink" Target="https://www.sec.gov/Archives/edgar/data/1818331/000181833123000024/wgs-20221231.htm" TargetMode="External"/><Relationship Id="rId20" Type="http://schemas.openxmlformats.org/officeDocument/2006/relationships/hyperlink" Target="https://www.sec.gov/Archives/edgar/data/1818331/000181833125000108/genedx-thirdamendedandrest.htm" TargetMode="External"/><Relationship Id="rId21" Type="http://schemas.openxmlformats.org/officeDocument/2006/relationships/hyperlink" Target="https://www.sec.gov/Archives/edgar/data/1818331/000181833123000006/sema4-amendedandrestatedby.htm" TargetMode="External"/><Relationship Id="rId22" Type="http://schemas.openxmlformats.org/officeDocument/2006/relationships/hyperlink" Target="https://www.sec.gov/Archives/edgar/data/1818331/000162828023011808/exhibit101-8xkx4172023.htm" TargetMode="External"/><Relationship Id="rId23" Type="http://schemas.openxmlformats.org/officeDocument/2006/relationships/hyperlink" Target="https://www.sec.gov/Archives/edgar/data/1818331/000162828021014760/exhibit106-super8xk.htm" TargetMode="External"/><Relationship Id="rId24" Type="http://schemas.openxmlformats.org/officeDocument/2006/relationships/hyperlink" Target="https://www.sec.gov/Archives/edgar/data/1818331/000162828021014760/exhibit107-super8xk.htm" TargetMode="External"/><Relationship Id="rId25" Type="http://schemas.openxmlformats.org/officeDocument/2006/relationships/hyperlink" Target="https://www.sec.gov/Archives/edgar/data/1818331/000162828021014760/exhibit109-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2026-02-23T07:31:02Z</dcterms:created>
  <dcterms:modified xsi:type="dcterms:W3CDTF">2026-02-23T07:31:02Z</dcterms:modified>
</cp:coreProperties>
</file>