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2940" w:hanging="638"/>
        <w:spacing w:after="0"/>
        <w:tabs>
          <w:tab w:leader="none" w:pos="2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19" w:lineRule="exact"/>
        <w:rPr>
          <w:rFonts w:ascii="Wingdings" w:cs="Wingdings" w:eastAsia="Wingdings" w:hAnsi="Wingdings"/>
          <w:sz w:val="18"/>
          <w:szCs w:val="18"/>
          <w:b w:val="1"/>
          <w:bCs w:val="1"/>
          <w:color w:val="auto"/>
        </w:rPr>
      </w:pPr>
    </w:p>
    <w:p>
      <w:pPr>
        <w:ind w:left="420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SECURITIES EXCHANGE ACT OF 1934</w:t>
      </w:r>
    </w:p>
    <w:p>
      <w:pPr>
        <w:spacing w:after="0" w:line="10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88265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30" w:right="339" w:bottom="1440" w:gutter="0" w:footer="0" w:header="0"/>
        </w:sectPr>
      </w:pPr>
    </w:p>
    <w:p>
      <w:pPr>
        <w:spacing w:after="0" w:line="27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85-1966622</w:t>
      </w:r>
    </w:p>
    <w:p>
      <w:pPr>
        <w:spacing w:after="0" w:line="65" w:lineRule="exact"/>
        <w:rPr>
          <w:sz w:val="24"/>
          <w:szCs w:val="24"/>
          <w:color w:val="auto"/>
        </w:rPr>
      </w:pPr>
    </w:p>
    <w:p>
      <w:pPr>
        <w:sectPr>
          <w:pgSz w:w="11900" w:h="16838" w:orient="portrait"/>
          <w:cols w:equalWidth="0" w:num="2">
            <w:col w:w="7280" w:space="720"/>
            <w:col w:w="3240"/>
          </w:cols>
          <w:pgMar w:left="320" w:top="1330"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40" w:space="720"/>
            <w:col w:w="4080"/>
          </w:cols>
          <w:pgMar w:left="320" w:top="1330"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11"/>
        </w:trPr>
        <w:tc>
          <w:tcPr>
            <w:tcW w:w="5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WGSWW</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2800"/>
        <w:spacing w:after="0" w:line="47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28,533,204 shares of Class A common stock, par value $0.0001, outstanding at April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 Looking Statements</w:t>
            </w:r>
          </w:p>
        </w:tc>
        <w:tc>
          <w:tcPr>
            <w:tcW w:w="5280" w:type="dxa"/>
            <w:vAlign w:val="bottom"/>
            <w:gridSpan w:val="5"/>
          </w:tcPr>
          <w:p>
            <w:pPr>
              <w:spacing w:after="0"/>
              <w:rPr>
                <w:sz w:val="18"/>
                <w:szCs w:val="18"/>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w:t>
            </w:r>
          </w:p>
        </w:tc>
      </w:tr>
      <w:tr>
        <w:trPr>
          <w:trHeight w:val="507"/>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1054"/>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right="2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becoming profitable on a sustained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fluctuating inflation, interest rates and tariff rates, supply chain interruptions and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acquisition of Fabric Genomics;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Pr>
          <w:p>
            <w:pPr>
              <w:spacing w:after="0"/>
              <w:rPr>
                <w:sz w:val="17"/>
                <w:szCs w:val="17"/>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1"/>
        </w:trPr>
        <w:tc>
          <w:tcPr>
            <w:tcW w:w="7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0" w:type="dxa"/>
            <w:vAlign w:val="bottom"/>
          </w:tcPr>
          <w:p>
            <w:pPr>
              <w:spacing w:after="0"/>
              <w:rPr>
                <w:sz w:val="1"/>
                <w:szCs w:val="1"/>
                <w:color w:val="auto"/>
              </w:rPr>
            </w:pPr>
          </w:p>
        </w:tc>
      </w:tr>
      <w:tr>
        <w:trPr>
          <w:trHeight w:val="223"/>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158,600</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419,380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54,817</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174,133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 and contingencies (Note 9)</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March 31, 2025 and December 31, 2024, respectively</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28,530,337 and</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28,016,545 shares issued and outstanding at March 31, 2025 and December 31, 2024,</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1,596,889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(1,352,474)</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245,247</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419,380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95"/>
        </w:trPr>
        <w:tc>
          <w:tcPr>
            <w:tcW w:w="1280" w:type="dxa"/>
            <w:vAlign w:val="bottom"/>
            <w:tcBorders>
              <w:top w:val="single" w:sz="8" w:color="0000FF"/>
            </w:tcBorders>
          </w:tcPr>
          <w:p>
            <w:pPr>
              <w:spacing w:after="0"/>
              <w:rPr>
                <w:sz w:val="24"/>
                <w:szCs w:val="24"/>
                <w:color w:val="auto"/>
              </w:rPr>
            </w:pPr>
          </w:p>
        </w:tc>
        <w:tc>
          <w:tcPr>
            <w:tcW w:w="616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1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 (Unaudited)</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5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61,104</w:t>
            </w:r>
          </w:p>
        </w:tc>
      </w:tr>
      <w:tr>
        <w:trPr>
          <w:trHeight w:val="230"/>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23"/>
        </w:trPr>
        <w:tc>
          <w:tcPr>
            <w:tcW w:w="7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62,422</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r>
      <w:tr>
        <w:trPr>
          <w:trHeight w:val="223"/>
        </w:trPr>
        <w:tc>
          <w:tcPr>
            <w:tcW w:w="7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r>
      <w:tr>
        <w:trPr>
          <w:trHeight w:val="223"/>
        </w:trPr>
        <w:tc>
          <w:tcPr>
            <w:tcW w:w="7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r>
      <w:tr>
        <w:trPr>
          <w:trHeight w:val="250"/>
        </w:trPr>
        <w:tc>
          <w:tcPr>
            <w:tcW w:w="1280" w:type="dxa"/>
            <w:vAlign w:val="bottom"/>
            <w:shd w:val="clear" w:color="auto" w:fill="CCEEFF"/>
          </w:tcPr>
          <w:p>
            <w:pPr>
              <w:spacing w:after="0"/>
              <w:rPr>
                <w:sz w:val="21"/>
                <w:szCs w:val="21"/>
                <w:color w:val="auto"/>
              </w:rPr>
            </w:pPr>
          </w:p>
        </w:tc>
        <w:tc>
          <w:tcPr>
            <w:tcW w:w="6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30"/>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r>
      <w:tr>
        <w:trPr>
          <w:trHeight w:val="22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(loss) related to available for sale securities, net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26,062,170</w:t>
            </w:r>
          </w:p>
        </w:tc>
      </w:tr>
      <w:tr>
        <w:trPr>
          <w:trHeight w:val="23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Class A common stock</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5"/>
        </w:trPr>
        <w:tc>
          <w:tcPr>
            <w:tcW w:w="128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80" w:type="dxa"/>
            <w:vAlign w:val="bottom"/>
            <w:gridSpan w:val="1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40" w:type="dxa"/>
            <w:vAlign w:val="bottom"/>
            <w:gridSpan w:val="9"/>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5"/>
                <w:szCs w:val="15"/>
                <w:color w:val="auto"/>
              </w:rPr>
            </w:pPr>
          </w:p>
        </w:tc>
        <w:tc>
          <w:tcPr>
            <w:tcW w:w="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28,016,545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1,596,889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(1,352,474)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245,247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pursuant to stock option exercises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 units converted to 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330,350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in ATM offering, net of</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28,530,337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1,615,501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(1,359,003)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257,405</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restart"/>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20" w:type="dxa"/>
            <w:vAlign w:val="bottom"/>
            <w:gridSpan w:val="3"/>
            <w:vMerge w:val="restart"/>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60" w:type="dxa"/>
            <w:vAlign w:val="bottom"/>
            <w:gridSpan w:val="3"/>
            <w:vMerge w:val="restart"/>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20" w:type="dxa"/>
            <w:vAlign w:val="bottom"/>
            <w:gridSpan w:val="2"/>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25,978,863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1,527,778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(1,300,188)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228,017</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pursuant to stock option exercises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 restricted stock units converted to 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26,122,348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207,217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expense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2B2A29"/>
              </w:rPr>
              <w:t>Change in third party payor reserves</w:t>
            </w: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7"/>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Other</w:t>
            </w: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29"/>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offerings, net of issuance costs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payoff and principal payments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84,660</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171"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“GeneDx Holdings” refer to GeneDx Holdings Corp., a Delaware corporation;</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“Legacy GeneDx” refer to GeneDx, LLC, a Delaware limited liability company, which we acquired on April 29, 2022 (the “Acquisition”);</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Sema4 OpCo Inc., a Delaware corporation, which consummated the business combination with CM Life Sciences, Inc. (“CMLS”) on July 22, 2021 (the “Business Combination”); and</w:t>
      </w: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to GeneDx Holdings and its consolidated subsidiaries.</w:t>
      </w:r>
    </w:p>
    <w:p>
      <w:pPr>
        <w:spacing w:after="0" w:line="1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2024 (the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As such, the Company is eligible for exemptions from various reporting requirements applicable to other public companies that are not emerging growth companies, including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and income taxes. Changes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00"/>
        <w:spacing w:after="0" w:line="437" w:lineRule="auto"/>
        <w:rPr>
          <w:sz w:val="20"/>
          <w:szCs w:val="20"/>
          <w:color w:val="auto"/>
        </w:rPr>
      </w:pPr>
      <w:r>
        <w:rPr>
          <w:rFonts w:ascii="Times New Roman" w:cs="Times New Roman" w:eastAsia="Times New Roman" w:hAnsi="Times New Roman"/>
          <w:sz w:val="18"/>
          <w:szCs w:val="18"/>
          <w:color w:val="auto"/>
        </w:rPr>
        <w:t xml:space="preserve">estimates are recorded in the period in which they become known. Actual results could differ materially from those estimates, judgments and assumptions. </w:t>
      </w:r>
      <w:r>
        <w:rPr>
          <w:rFonts w:ascii="Times New Roman" w:cs="Times New Roman" w:eastAsia="Times New Roman" w:hAnsi="Times New Roman"/>
          <w:sz w:val="18"/>
          <w:szCs w:val="18"/>
          <w:b w:val="1"/>
          <w:bCs w:val="1"/>
          <w:i w:val="1"/>
          <w:iCs w:val="1"/>
          <w:color w:val="auto"/>
        </w:rPr>
        <w:t>Summary of Significant Accounting Policies</w:t>
      </w: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set forth below, there have been no material changes to the Company’s critical accounting policies and estimates in the current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granted by the Company include time-based restricted stock units (“RSUs”) and performance-based restricted stock units (“PRSUs”). PRSUs represent a right to receive a certain number of shares of the Company’s Class A common stock based on the achievement of specified performance conditions and continued employment during the vesting period. At each reporting period, the Company assesses the probability of the achievement of such performance conditions and records expense for the awards if it is probable that such performance conditions will be achieved.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included within this Quarterly Report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third-party payor groups that reimburses the Company on the patient’s behalf when evaluating concentration of credit risk. Significant patients and payor groups are those that represent more than 10% of the Company’s total revenues for the period or accounts receivable balance at each respective balance sheet date. The significant concentrations of accounts receivable as of March 31, 2025 and December 31, 2024 were primarily from large managed care insurance companies, institutional billed accounts, and data arrangements. The Company does not require collateral as a means to mitigate customer credit risk.</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significant payor group, revenue as a percentage of total revenues and accounts receivable as a percentage of total accounts receivable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20"/>
                <w:szCs w:val="20"/>
                <w:color w:val="auto"/>
              </w:rPr>
            </w:pPr>
          </w:p>
        </w:tc>
        <w:tc>
          <w:tcPr>
            <w:tcW w:w="39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Accounts Receivable</w:t>
            </w:r>
          </w:p>
        </w:tc>
      </w:tr>
      <w:tr>
        <w:trPr>
          <w:trHeight w:val="466"/>
        </w:trPr>
        <w:tc>
          <w:tcPr>
            <w:tcW w:w="3240" w:type="dxa"/>
            <w:vAlign w:val="bottom"/>
          </w:tcPr>
          <w:p>
            <w:pPr>
              <w:spacing w:after="0"/>
              <w:rPr>
                <w:sz w:val="24"/>
                <w:szCs w:val="24"/>
                <w:color w:val="auto"/>
              </w:rPr>
            </w:pPr>
          </w:p>
        </w:tc>
        <w:tc>
          <w:tcPr>
            <w:tcW w:w="40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9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240" w:type="dxa"/>
            <w:vAlign w:val="bottom"/>
          </w:tcPr>
          <w:p>
            <w:pPr>
              <w:spacing w:after="0"/>
              <w:rPr>
                <w:sz w:val="19"/>
                <w:szCs w:val="19"/>
                <w:color w:val="auto"/>
              </w:rPr>
            </w:pPr>
          </w:p>
        </w:tc>
        <w:tc>
          <w:tcPr>
            <w:tcW w:w="138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560" w:type="dxa"/>
            <w:vAlign w:val="bottom"/>
            <w:tcBorders>
              <w:top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3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Payor group A</w:t>
            </w:r>
            <w:r>
              <w:rPr>
                <w:rFonts w:ascii="Times New Roman" w:cs="Times New Roman" w:eastAsia="Times New Roman" w:hAnsi="Times New Roman"/>
                <w:sz w:val="23"/>
                <w:szCs w:val="23"/>
                <w:color w:val="auto"/>
                <w:vertAlign w:val="superscript"/>
              </w:rPr>
              <w:t>(1)</w:t>
            </w:r>
          </w:p>
        </w:tc>
        <w:tc>
          <w:tcPr>
            <w:tcW w:w="138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group B</w:t>
            </w:r>
            <w:r>
              <w:rPr>
                <w:rFonts w:ascii="Times New Roman" w:cs="Times New Roman" w:eastAsia="Times New Roman" w:hAnsi="Times New Roman"/>
                <w:sz w:val="23"/>
                <w:szCs w:val="23"/>
                <w:color w:val="auto"/>
                <w:vertAlign w:val="superscript"/>
              </w:rPr>
              <w:t>(1)</w:t>
            </w:r>
          </w:p>
        </w:tc>
        <w:tc>
          <w:tcPr>
            <w:tcW w:w="13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35%</w:t>
            </w:r>
          </w:p>
        </w:tc>
        <w:tc>
          <w:tcPr>
            <w:tcW w:w="25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157" w:lineRule="exact"/>
        <w:rPr>
          <w:sz w:val="20"/>
          <w:szCs w:val="20"/>
          <w:color w:val="auto"/>
        </w:rPr>
      </w:pPr>
    </w:p>
    <w:p>
      <w:pPr>
        <w:ind w:left="34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payor groups identified in the table above represent multiple payors aggregated based on similar contract terms and reimbursement patterns. No single payor or individual client accounted for more than 10% of revenue or receivables for the current period.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laboratory equipment and laboratory supplies. One supplier accounted for approximately 25% and 8% of spend for the three months ended March 31, 2025 and 2024, respectively. This risk is managed by maintaining a target quantity of surplus stock. Alternative suppliers are available for the majority of these reagents and supplies.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ASU 2023-09, Income Taxes – Improvements to Income Tax Disclosures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Company plans to adopt this pronouncement on a prospective basis, and will include the additional disclosures as required in the Company's Annual Report on Form 10-K for the year ended December 31, 2025. The Company does not expect the amended guidance to have a material impact on its consolidated financial statements.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Disaggregation of Income Statement Expenses (“ASU 2024-03”). The standard requires public business entities to disclose additional information about specific expense categories in the notes to financial statements at interim and annual reporting periods. As revised by the issuance of ASU 2025-01, Income Statement – Reporting Comprehensive Income – Disaggregation of Income Statement Expenses: Clarifying the Effective Date (“ASU 2025-01”) in January 2025, the provisions of ASU 2024-03 will be effective for annual periods beginning after December 15, 2026, and interim periods beginning after December 15, 2027, with early adoption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6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43,839</w:t>
            </w:r>
          </w:p>
        </w:tc>
      </w:tr>
      <w:tr>
        <w:trPr>
          <w:trHeight w:val="22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r>
      <w:tr>
        <w:trPr>
          <w:trHeight w:val="22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61,104</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revenues associated with the Legacy Sema4 diagnostic testing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and 2024, the total change in estimate recognized, which pertains to performance obligations fulfilled in the previous year, resulted in a net increase to revenue of $6.9 million and $5.7 million, respectively. This change is due to adjustments in the estimated transaction price stemming from contractual modifications, updated information obtained from payors and patients that was previously unknown at the time those performance obligations were met, as well as potential and actual settlements with third party payors. The change in estimate also included an increase in revenue related to a partial release of a previously established payor reserve, as further disclosed in the “Certain Payor Matters” section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each year through June 30, 2026. As of March 31, 2025, $12.0 million in scheduled payments under the agreement remain, with $10.0 million due in December 2025 and $2.0 million due in 2026. In consideration for these payments, the Payor provided releases of the Disputed Claims, effective March 31, 2023.</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March 31, 2025 and December 31, 2024, $14.0 million and $12.6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three months ended March 31, 2025 or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presented in the condensed consolidated balance sheet as of March 31, 2025 have maturity dates ranging from 2025 through 2028 and are classified as current assets as these investments are intended to be readily available to fund current operations. The differences between the fair value and amortized cost basis of each security are the unrealized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or losses recorded in accumulated other comprehensive income. As of March 31, 2025, the amortized cost for maturities less than one year and greater than one year were $20.8 million and $37.5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in connection with the Business Combination, there were 666,516 warrants to purchase shares of Class A common stock outstanding, including 447,223 public warrants and 219,293 private placement warrants. As of March 31, 2025,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$330.00 as described below:</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warrants are classified within Level 1 of the fair value hierarchy as they are traded in active markets and the fair value is determined on the basis of quoted market prices. The private placement warrants are classified within Level 2 of the fair value hierarchy as management determined the fair value of each private placement warrant is the same as that of a public warrant because the terms are substantially the same.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both the three months ended March 31, 2025 and 2024, a loss of $1.1 million was recorded within the change in fair value of warrants in the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consideration for the Credit Agreement, the Company issued to Perceptive a warrant to purchase up to 1,200,000 shares (the “Perceptive Warrants”) of its Class A common stock. 800,000 warrant shares (the “Initial Warrant Shares”) vested and became exercisable on the Closing Date and 400,000 warrant shares (the “Additional Warrant Shares” and together with the Initial Warrant Shares, the “Warrant Shares”) would have potentially vested and become exercisable on the Tranche B Borrowing Date, as defined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As the Company did not seek the additional funding from the Tranche B Loan, the Additional Warrant Shares did not vest and are not exercisable.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(the “Exercise Date”)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to Perceptive in satisfaction of the cashless exercise in respect of the Initial Warrant Shares.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 for further information.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 loss of $5.0 million was recorded within the change in fair value of warrants in the condensed consolidated statements of operations and comprehensive loss based on re-measurement performed as of the period end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$5.5 million and $5.8 million, respectively, as of March 31, 2025 and December 31, 2024, with $1.2 million recorded in other current liabilities on the condensed consolidated balance sheets as of March 31, 2025. The fair value of the loan as of March 31, 2025 was $4.7 million, which is estimated based on discounted cash flows using the yields of similar debt instruments of other companies with similar credit profiles.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w:t>
            </w:r>
          </w:p>
        </w:tc>
      </w:tr>
      <w:tr>
        <w:trPr>
          <w:trHeight w:val="223"/>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32,893</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depreciation and amortization expense was $2.2 million and $1.7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2800" w:type="dxa"/>
            <w:vAlign w:val="bottom"/>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 of March 31, 2025, the carrying values and remaining useful lives of acquired intangible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83,708</w:t>
            </w:r>
          </w:p>
        </w:tc>
        <w:tc>
          <w:tcPr>
            <w:tcW w:w="17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17.1</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$2.3 million was recorded in general and administrative expenses for the three months ended March 31, 2025 and 2024 within the condensed consolidated statements of operations and comprehensive loss. Amortization expense for customer relationships of $1.2 million was recorded in selling and marketing expenses for the three months ended March 31, 2025 and 2024 within the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related party diagnostic testing revenues were $0.2 million and $0.6 million for the three months ended March 31, 2025 and 2024, respectively. Related party revenues primarily include diagnostic testing revenues from a subsidiary of OPKO Health, Inc. (“OPKO”) and the prices charged represent market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other operating expenses, net in the condensed consolidated statements of operations and comprehensive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8"/>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recognized pursuant to service arrangements with Icahn School of Medicine at Mount Sinai (“ISMMS”) totaled $0.8 million and $1.4 million for the three months ended March 31, 2025 and 2024, respectively. These amounts are included in either cost of services or general and administrative expenses on the condensed consolidated statements of operations and comprehensive loss depending on the particular activity to which the costs relate. Payables due to ISMMS for the other service arrangements were $1.8 million and $0.9 million as of March 31, 2025 and December 31, 2024,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$2.5 million and $2.5 million in purchases of diagnostic testing kits and materials and $1.9 million and $1.0 million was recorded in cost of services for the three months ended March 31, 2025 and 2024, respectively, from an affiliate of a member of the Board of Directors who has served in the role since July 2021. The prices paid represent market rates. Payables due were $1.1 million and $0.7 million as of March 31, 2025 and December 31, 2024, respectively.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amounts due to related parties were $2.9 million and $1.6 million as of March 31, 2025 and December 31, 2024, respectively. These amounts are included within other current liabilities on the Company’s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81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2025, long-term debt matures as follows: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930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55,452</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9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 and debt issuance costs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the Perceptive Term Loan Facility. An initial tranche of $50.0 million (the “Tranche A Loan”) was funded under the Perceptive Term Loan Facility on the Closing Date. In addition to the Tranche A Loan, the Perceptive Term Loan Facility included an additional tranche of $25.0 million (the “Tranche B Loan,” and together with the Tranche A Loan, the “Term Loans”), which was accessible by the Company through December 31, 2024 so long as the Company satisfied certain customary conditions precedent, including a specified revenue milestone (the funding date of the Tranche B Loan, the “Tranche B Borrowing Date”). Although the requirements for the Tranche B funding were met, the Company did not seek the additional funding.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has a maturity date of October 27, 2028 (the “Maturity Date”) and provides for an interest-only period during the term of the loan with principal due at the maturity date. The Company’s net proceeds from the Tranche A Loan were approximately $48.8 million, after deducting debt issuance 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as consideration for the Credit Agreement, the Company issued the Perceptive Warrants to Perceptive, which allows them to purchase up to 1,200,000 Warrant Shares. The 800,000 Initial Warrant Shares vested and became exercisable on the Closing Date and the 400,000 Additional Warrant Shares would have potentially vested and become exercisable on the Tranche B Borrowing Date. As the Company did not seek the additional funding from the Tranche B Loan, the Additional Warrant Shares did not vest and are not exercisable.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included within this Quarterly Report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This commitment was collateralized by a security interest in certain machinery and equipment the Company acquired from ISMMS, as defined in a separate security agreement.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(as amended, the “2022 Amended DECD Loan Agreement”). The terms of the 2022 Amended DECD Loan Agreement require the Company to make interest-only payments through July 2024 and require the Company to make principal and interest payments commencing in August 2024 through July 2029 at a fixed annual interest rate of 2.0%.</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made principal payments totaling $0.3 million. The outstanding loan balance from the 2022 Amended DECD Loan Agreement was $5.5 million as of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purchase commitments with software and equipment providers as of March 31, 2025 with a remaining term of at least one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year)</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lease obligations from those disclosed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as of March 31, 2025, nor is it a party to any material legal proceedings as of the date of issuance of these condensed consolidated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styled Helo v. Sema4 Holdings Corp., et al, 22-cv-1131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purports to allege that the defendants made false and misleading statements about the Company’s business, operations and prospects in violation of Sections 10(b) and 20(a) of the Securities Exchange Act of 1934, as amended (the “Exchange Act”), and seeks unspecified compensatory damages, fees and costs. The Company believes the allegations and claims are without merit. Defendants filed a motion to dismiss the second amended complaint, which was fully briefed on February 20, 2025.</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28, 2023, a stockholder filed a derivative suit, allegedly on behalf of the Company, based largely on the same allegations in the securities class action referenced above. The suit was filed in federal court in the District of Delaware, styled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the Helo class action referenced above.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On August 8, 2024, the Court issued an order staying this suit until the earlier of a commencement of discovery, announcement of settlement, or dismissal with prejudice in the Helo class action referenced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8"/>
        </w:trPr>
        <w:tc>
          <w:tcPr>
            <w:tcW w:w="72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stock-based compensation expense</w:t>
            </w:r>
            <w:r>
              <w:rPr>
                <w:rFonts w:ascii="Times New Roman" w:cs="Times New Roman" w:eastAsia="Times New Roman" w:hAnsi="Times New Roman"/>
                <w:sz w:val="23"/>
                <w:szCs w:val="23"/>
                <w:color w:val="auto"/>
                <w:vertAlign w:val="superscript"/>
              </w:rPr>
              <w:t>1,2</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firstLine="8"/>
        <w:spacing w:after="0" w:line="262" w:lineRule="auto"/>
        <w:tabs>
          <w:tab w:leader="none" w:pos="215"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recorded an aggregate reversal of stock-based compensation of $0.6 million and $3.2 million during the three months ended March 31, 2025 and 2024, respectively, due to forfeiture activities upon employee terminations.</w:t>
      </w:r>
    </w:p>
    <w:p>
      <w:pPr>
        <w:ind w:left="220" w:hanging="212"/>
        <w:spacing w:after="0"/>
        <w:tabs>
          <w:tab w:leader="none" w:pos="2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$0.3 million of expenses related to the 2021 Employee Stock Purchase Plan for the three months ended March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Amended and Restated 2021 Equity Incentive Plan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restricted stock units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2025, the number of Class A common stock reserved for future issuance under the 2021 Plan automatically increased by 1,400,827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an aggregate of 2,999,607 shares available for grants of stock options or other awards under the 2021 Plan and Equity Inducement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 options granted under the 2021 Plan are accounted for as time-based equity awards. The following table summarizes the stock option activity during the three months ended March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9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940" w:type="dxa"/>
            <w:vAlign w:val="bottom"/>
            <w:gridSpan w:val="3"/>
            <w:vMerge w:val="continue"/>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120" w:type="dxa"/>
            <w:vAlign w:val="bottom"/>
          </w:tcPr>
          <w:p>
            <w:pPr>
              <w:spacing w:after="0"/>
              <w:rPr>
                <w:sz w:val="12"/>
                <w:szCs w:val="12"/>
                <w:color w:val="auto"/>
              </w:rPr>
            </w:pPr>
          </w:p>
        </w:tc>
        <w:tc>
          <w:tcPr>
            <w:tcW w:w="17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4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341,280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8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307,838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2025</w:t>
            </w:r>
          </w:p>
        </w:tc>
        <w:tc>
          <w:tcPr>
            <w:tcW w:w="18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267,578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Non-vested options outstanding as of March 31, 2025 were 40,260 with a weighted-average grant-date fair value of $46.01. As of March 31, 2025, unrecognized stock-based compensation cost related to the unvested portion of the Company’s stock options was $0.4 million, which is expected to be recognized on a graded-vesting basis over a weighted-average period of 0.8 years.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and total fair value of options with tranches vested during the three months ended March 31, 2025 was $46.77 and $0.5 million,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2025. The aggregate intrinsic value of options exercised during the three months ended March 31, 2025 was $2.3 million, and is calculated based on the difference between the exercise price and the fair value of the Company’s Class A common stock as of the exercise date. There were no options forfeited or canceled during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granted under the 2021 Plan are accounted for as either time-based restricted stock units (“RSUs”) or performance-based restricted stock units (“PRSUs”). Restricted stock units convert to Class A common stock on a one-for-one basis as the awards vest. The Company measures the fair value of restricted stock units at fair value based on the closing price of the underlying common stock on the grant date. The following table summarizes restricted stock unit activity during the three months ended March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Pr>
          <w:p>
            <w:pPr>
              <w:spacing w:after="0"/>
              <w:rPr>
                <w:sz w:val="13"/>
                <w:szCs w:val="13"/>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Date-Fair Value Per Unit</w:t>
            </w:r>
          </w:p>
        </w:tc>
        <w:tc>
          <w:tcPr>
            <w:tcW w:w="0" w:type="dxa"/>
            <w:vAlign w:val="bottom"/>
          </w:tcPr>
          <w:p>
            <w:pPr>
              <w:spacing w:after="0"/>
              <w:rPr>
                <w:sz w:val="1"/>
                <w:szCs w:val="1"/>
                <w:color w:val="auto"/>
              </w:rPr>
            </w:pPr>
          </w:p>
        </w:tc>
      </w:tr>
      <w:tr>
        <w:trPr>
          <w:trHeight w:val="22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9"/>
        </w:trPr>
        <w:tc>
          <w:tcPr>
            <w:tcW w:w="72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Includes 73,677 PRSUs granted during the three months ended March 31, 2025 with a weighted-average grant-date fair value of $98.47.</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approved an award of 73,677 PRSUs to certain executives. The grant date fair value of the PRSUs is based on the fair value of the Company’s Class A common stock on the grant date. The awards have both time-based and performance-based vesting conditions. The actual number of shares earned on vesting ranges from 0% to 200% of the target number of shares granted, depending on the attainment of specified performance goals established for the years ending December 31, 2025 and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three months ended March 31, 2025 was $3.6 million. As of March 31, 2025, unrecognized stock-based compensation expense related to the Company’s restricted stock units was $48.0 million, which is expected to be recognized on a graded-vesting basis over a weighted-average period of 2.2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In January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number of class A common stock reserved for future issuance under the 2021 ESPP automatically increased by 280,165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make any grants of purchase rights under the 2021 ESPP during the three months ended March 31, 2025 and 2024. As of March 31, 2025, a total of 849,996 shares of Class A common stock have been reserved for future issuance under the 2021 ESPP.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was an expense of $0.4 million for the three months ended March 31, 2025 and a benefit of $0.1 million for the three months ended March 31, 2024. Income taxes for these periods are recorded at the Company’s estimated annual effective income tax rate, subject to adjustments for discrete events should they occur. The Company’s effective tax rate for the three months ended March 31, 2025 and 2024 was (1.2)% and 0.4%,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2025 and 2024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28,147,948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26,062,170</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computation of diluted net loss per share attributable to common stockholders for the period presented as the effect would be anti-dilutive:</w:t>
      </w:r>
    </w:p>
    <w:p>
      <w:pPr>
        <w:spacing w:after="0" w:line="14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restricted stock units</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2,104,939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2,586,043</w:t>
            </w: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1,466,515</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2021 ESPP shares</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2,790,952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4,052,558</w:t>
            </w:r>
          </w:p>
        </w:tc>
      </w:tr>
      <w:tr>
        <w:trPr>
          <w:trHeight w:val="20"/>
        </w:trPr>
        <w:tc>
          <w:tcPr>
            <w:tcW w:w="7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Supplemental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to the total of the same amounts shown on the 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as of March 31, 2025 and December 31, 2024 primarily consists of money market deposit accounts that secure an irrevocable standby letter of credit that serves as collateral for security deposit operating leases.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0" w:type="dxa"/>
            <w:vAlign w:val="bottom"/>
          </w:tcPr>
          <w:p>
            <w:pPr>
              <w:spacing w:after="0"/>
              <w:rPr>
                <w:sz w:val="1"/>
                <w:szCs w:val="1"/>
                <w:color w:val="auto"/>
              </w:rPr>
            </w:pPr>
          </w:p>
        </w:tc>
      </w:tr>
      <w:tr>
        <w:trPr>
          <w:trHeight w:val="25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refunds to insurance carriers and others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5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Third party payor reserve</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Sales Agreement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sales agreement (the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“ATM offering”). During the year ended December 31, 2024, the Company issued 825,379 shares of its Class A common stock in connection with the ATM offering at an average price of $58.41 per share. Proceeds received, net of agent fees and other offering expenses, were $46.5 million. During the three months ended March 31, 2025, the Company issued 150,000 shares of its Class A common stock in connection with the ATM offering at an average price of $96.10 per share. Proceeds received, net of agent fees and other offering expenses, were $13.9 million. As of March 31, 2025, approximately $12.4 million of capacity remained available under this ATM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structure is aligned with how the chief operating decision maker (“CODM”) reviews the business, makes investing and resource allocation decisions and assesses operating performance. The Company’s CODM is its Chief Executive Officer. As of March 31, 2025, the Company has identified one reportable segment: GeneDx inclusive of Legacy GeneDx and Legacy Sema4 data revenues and associated costs. The GeneDx segment primarily provides pediatric and rare disease diagnostics with a focus on whole exome and genome sequencing and, to a lesser extent, data and information services. Other represents the revenues and costs associated with the Legacy Sema4 diagnostics business which was completely shut down in 2023.</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segment performance based on revenue and adjusted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62,422</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w:t>
            </w:r>
          </w:p>
        </w:tc>
      </w:tr>
      <w:tr>
        <w:trPr>
          <w:trHeight w:val="223"/>
        </w:trPr>
        <w:tc>
          <w:tcPr>
            <w:tcW w:w="30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38,323</w:t>
            </w:r>
          </w:p>
        </w:tc>
      </w:tr>
      <w:tr>
        <w:trPr>
          <w:trHeight w:val="256"/>
        </w:trPr>
        <w:tc>
          <w:tcPr>
            <w:tcW w:w="3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37,411</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1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2025, the Company entered into an Agreement and Plan of Merger, dated as of April 15, 2025 (the “Merger Agreement”), by and among the Company, Project Flare Merger Sub, Inc., a Delaware corporation (“Merger Sub”) and a wholly-owned subsidiary of the Company, Fabric Genomics, Inc., a Delaware corporation (“Fabric Genomics”), and Martin Reese, as the Agent, pursuant to which, and on the terms and subject to the conditions thereof, the Company agreed to acquire Fabric Genomics through the merger of Merger Sub with and into Fabric Genomics, with Fabric Genomics surviving as a wholly-owned subsidiary of the Company (the “Merger”).</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and subject to the terms and conditions thereof, the Company will pay an aggregate amount of approximately $33.0 million in cash at the closing to acquire all of the issued and outstanding capital stock of Fabric Genomics, subject to customary purchase price adjustments. In addition, the Company agreed in the Merger Agreement to pay up to an additional (i) $10.5 million in cash, shares of Class A common stock or a combination thereof, as determined by the Company in its sole discretion, on or prior to April 30, 2026 subject to Fabric Genomics achieving gross revenue equal to or above $6.0 million and a gross margin equal to or above 69% for the fiscal year ending December 31, 2025 (the “First Milestone Payment”), with the amount of the First Milestone Payment determined by multiplying $7.0 million by the quotient obtained by dividing Fabric Genomics’ gross revenue for the fiscal year ending December 31, 2025 by $8.0 million, and (ii) $7.5 million in cash, shares of Class A common stock or a combination thereof, as determined by the Company in its sole discretion, on or prior to April 30, 2027 subject to Fabric Genomics achieving gross revenue equal to or above $9.0 million and a gross margin equal to or above 69% for the fiscal year ending December 31, 2026 (the “Second Milestone Payment” and, together with the First Milestone Payment, the “Milestone Payments”), with the amount of the Second Milestone Payment determined by multiplying $5.0 million by the quotient obtained by dividing Fabric Genomics’ gross revenue for the fiscal year ending December 31, 2026 by $12.0 million. The shares of Class A common stock issued, if any, pursuant to the Milestone Payments are referred to as the “Milestone Shares.” Any Milestone Shares that are issued will be valued at $93.0318 per share based on the average of the daily volume average weighted price of the Class A common stock over the period of 30 trading days ended April 11, 2025. Transaction costs incurred during the three months ended March 31, 2025 associated with the Merger were $1.2 million.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2024 (the “2024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w:t>
      </w: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 included in this Quarterly Report for more information on the Company’s history.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Quarterly Report and in our 2024 Form 10-K, which is incorporated by reference in this Quarterly Report,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Volume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number of resulted exome and genome tests in any period is important and useful to investors because it directly correlates with long-term patient relationships and the size of our genomic database. During the three months ended March 31, 2025, we resulted 20,562 exome and genome tests, which represented 40% of all test results, compared to the three months ended March 31, 2024, in which we resulted approximately 16,592 exome and genome tests, which represented 30% of all test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services reflects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is recorded as the services are performed.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 of compensation expenses for employees performing commercial sales, account management, marketing, and certain genetic counseling services. Selling and marketing costs are expensed as incurred.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and maintaining compliance with requirements of Nasdaq and of the SEC.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40" w:type="dxa"/>
            <w:vAlign w:val="bottom"/>
            <w:tcBorders>
              <w:bottom w:val="single" w:sz="8" w:color="auto"/>
            </w:tcBorders>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6"/>
        </w:trPr>
        <w:tc>
          <w:tcPr>
            <w:tcW w:w="4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$24.7 million, or 40%, to $87.1 million for the three months ended March 31, 2025, from $62.4 million for the three months ended March 31, 2024.</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$24.7 million, or 40%, to $85.8 million for the three months ended March 31, 2025, from $61.1 million for the three months ended March 31, 2024. The increase primarily reflected an increase of 62% in whole exome and genome sequencing revenues driven by a 24% increase in test volumes.</w:t>
      </w:r>
    </w:p>
    <w:p>
      <w:pPr>
        <w:spacing w:after="0" w:line="122" w:lineRule="exact"/>
        <w:rPr>
          <w:sz w:val="20"/>
          <w:szCs w:val="20"/>
          <w:color w:val="auto"/>
        </w:rPr>
      </w:pPr>
    </w:p>
    <w:p>
      <w:pPr>
        <w:ind w:right="180"/>
        <w:spacing w:after="0" w:line="438" w:lineRule="auto"/>
        <w:rPr>
          <w:sz w:val="20"/>
          <w:szCs w:val="20"/>
          <w:color w:val="auto"/>
        </w:rPr>
      </w:pPr>
      <w:r>
        <w:rPr>
          <w:rFonts w:ascii="Times New Roman" w:cs="Times New Roman" w:eastAsia="Times New Roman" w:hAnsi="Times New Roman"/>
          <w:sz w:val="18"/>
          <w:szCs w:val="18"/>
          <w:color w:val="auto"/>
        </w:rPr>
        <w:t xml:space="preserve">Other revenue increased by a nominal amount for the three months ended March 31, 2025, from $1.3 million for the three months ended March 31, 2024. </w:t>
      </w:r>
      <w:r>
        <w:rPr>
          <w:rFonts w:ascii="Times New Roman" w:cs="Times New Roman" w:eastAsia="Times New Roman" w:hAnsi="Times New Roman"/>
          <w:sz w:val="18"/>
          <w:szCs w:val="18"/>
          <w:b w:val="1"/>
          <w:bCs w:val="1"/>
          <w:i w:val="1"/>
          <w:iCs w:val="1"/>
          <w:color w:val="auto"/>
        </w:rPr>
        <w:t>Gross Profit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$21.1 million or 56%, to $58.5 million for the three months ended March 31, 2025, from $37.4 million for the three months ended March 31, 2024, driven by a combination of a shift in test mix to more profitable whole exome and genome tests, improvement in exome average reimbursement rates, continued cost per test leverage.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$1.0 million, or 9%, to $12.6 million for the three months ended March 31, 2025, from $11.6 million for the three months ended March 31, 2024. The increase was primarily attributable to lower stock compensation expense by $0.6 million in the prior period associated with forfeitures of unvested equity awards of terminated employees. The increase also reflected higher depreciation expense of $0.2 million.</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by $2.2 million, or 14%, to $18.3 million for the three months ended March 31, 2025, from $16.1 million for the three months ended March 31, 2024. The increase reflects our investment to support growth in our commercial team as well as incremental variable billing and selling cost.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$8.7 million, or 37%, to $32.1 million for the three months ended March 31, 2025, from $23.4 million for the three months ended March 31, 2024. The increase was primarily attributable to increased compensation related costs of $6.9 million, which included an increase of $3.1 million in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 Net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Non-operating expense, net decreased by $5.1 million, due to the prior period impact of a $5.0 million loss for the change in fair value of our Perceptive Warrants as a result of a significant increase in fair value driven primarily by the increase in our share price as of March 31, 2024.</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our condensed consolidated financial statements for further information on the changes in fair value of our warrants.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to our adjusted gross profit and of our gross margin to adjusted gross margin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62,422</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28,639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25,011</w:t>
            </w:r>
          </w:p>
        </w:tc>
      </w:tr>
      <w:tr>
        <w:trPr>
          <w:trHeight w:val="2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58,476</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37,411</w:t>
            </w:r>
          </w:p>
        </w:tc>
      </w:tr>
      <w:tr>
        <w:trPr>
          <w:trHeight w:val="19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1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67.1 %</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59.9 %</w:t>
            </w:r>
          </w:p>
        </w:tc>
      </w:tr>
      <w:tr>
        <w:trPr>
          <w:trHeight w:val="256"/>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59,719</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38,323</w:t>
            </w:r>
          </w:p>
        </w:tc>
      </w:tr>
      <w:tr>
        <w:trPr>
          <w:trHeight w:val="18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1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68.6 %</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61.4 %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net income (loss) is a non-GAAP financial measure that we define as net income (loss) adjusted for depreciation and amortization, stock-based compensation expenses, restructuring costs, change in fair value of warrants, interest expense (net), income tax expense (benefit) and transaction costs.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income (loss) to adjusted net income (loss) for the three months ended March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29"/>
        </w:trPr>
        <w:tc>
          <w:tcPr>
            <w:tcW w:w="7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expense, net, income tax expense (benefit), net, and for the three months ended March 31, 2025, transaction costs associated with the Merger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our existing cash and cash equivalents and available-for-sale marketable securities were $159.2 million.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and available-for-sale marketable securities provide us with sufficient liquidity for at least twelve months from the filing date of this Quarterly Report. 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effective shelf registration statement that we filed with the SEC in August of 2022, registering $300.0 million shares of our Class A common stock and other securities. As of March 31, 2025, approximately $87.8 million of securities remained available under this registration statement. Further, we have entered into a sales agreement (the “Sales Agreement”) with TD Securities (USA) LLC (“TD Cowen”) pursuant to which we may, but are not obligated to, offer and sell, from time to time, shares</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Class A common stock with an aggregate offering price up to $75.0 million through TD Cowen, as sales agent, subject to the terms and conditions described in the Sales Agreement and SEC rules and regulations (our “ATM offering”). As of March 31, 2025, approximately $12.4 million of capacity remained available under this ATM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fulfilling our contractual obligations and commitments with existing cash and cash equivalents and available-for-sale marketable securities or through additional capital raised to finance our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the notes to our condensed consolidated financial statements, in 2022, we entered into an agreement with one of our third-party payors to settle for $42.0 million claims related to coverage and billing matters allegedly resulting in overpayments by the payor to Legacy Sema4. As of March 31, 2025, remaining payments due to the payor were $12.0 million. For more information regarding this matter, 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in our 2024 Form 10-K and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condensed consolidated financial statements included within this Quarterly Report,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2024 Form 10-K. Except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there have been no material changes to our critical accounting policies and estimates in the current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260" w:type="dxa"/>
            <w:vAlign w:val="bottom"/>
          </w:tcPr>
          <w:p>
            <w:pPr>
              <w:spacing w:after="0"/>
              <w:rPr>
                <w:sz w:val="22"/>
                <w:szCs w:val="22"/>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2"/>
                <w:szCs w:val="22"/>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6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during the three months ended March 31, 2025 was $10.2 million, driven by a net loss of $6.5 million, net adjustments of $13.4 million and a change in operating assets and liabilities of $3.4 million. The impact of the changes in operating assets and liabilities was primarily driven by and increased accounts payables and accrual due to the timing of vendor payments and orders with suppliers which was partially offset by an increase in accounts receivable, driven by growth in exome and genome test volumes.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was $16.4 million, driven by lower cash expenditures associated with the current year period net loss as compared with the prior year period, which reflected improved gross margin profitability, as well as the realization of cost savings from exiting the Legacy Sema4 business and other cost reduction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was $9.4 million, which included purchases of marketable securities of $17.2 million and property and equipment of $6.1 million, partially offset by $13.9 million in proceeds from the maturities of marketable securities.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2024 was $0.8 million, which included $6.5 million in proceeds from the sales and maturities of marketable securities, partially offset by net purchases of marketable securities of $5.2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$13.7 million, which reflected proceeds from the ATM offering of $13.9 million.</w:t>
      </w:r>
    </w:p>
    <w:p>
      <w:pPr>
        <w:spacing w:after="0" w:line="108" w:lineRule="exact"/>
        <w:rPr>
          <w:sz w:val="20"/>
          <w:szCs w:val="20"/>
          <w:color w:val="auto"/>
        </w:rPr>
      </w:pPr>
    </w:p>
    <w:p>
      <w:pPr>
        <w:ind w:right="300"/>
        <w:spacing w:after="0" w:line="438" w:lineRule="auto"/>
        <w:rPr>
          <w:sz w:val="20"/>
          <w:szCs w:val="20"/>
          <w:color w:val="auto"/>
        </w:rPr>
      </w:pPr>
      <w:r>
        <w:rPr>
          <w:rFonts w:ascii="Times New Roman" w:cs="Times New Roman" w:eastAsia="Times New Roman" w:hAnsi="Times New Roman"/>
          <w:sz w:val="18"/>
          <w:szCs w:val="18"/>
          <w:color w:val="auto"/>
        </w:rPr>
        <w:t xml:space="preserve">Net cash used in financing activities during the three months ended March 31, 2024 was $0.4 million, which reflected finance lease principal payments. </w:t>
      </w:r>
      <w:r>
        <w:rPr>
          <w:rFonts w:ascii="Times New Roman" w:cs="Times New Roman" w:eastAsia="Times New Roman" w:hAnsi="Times New Roman"/>
          <w:sz w:val="18"/>
          <w:szCs w:val="18"/>
          <w:b w:val="1"/>
          <w:bCs w:val="1"/>
          <w:color w:val="auto"/>
        </w:rPr>
        <w:t>JOBS Act Accounting Election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Additional 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within our 2024 Form 10-K, and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$160.2 million as of March 31, 2025 and $142.2 million as of December 31, 2024,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interest rate risk on our variable rate debt associated with the Perceptive term loan facility. Changes in interest rates can impact future interest payments we are obligated to pay. A 100-basis point change in interest rates would not have a material effect on the total future interest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condensed consolidated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2025, the end of the period covered by this Quarterly Report on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three months ended March 31, 2025 covered by this Quarterly Report on Form 10-Q that has materially affected, or is reasonably likely to materially affect, our internal control over financial reporting. We are continuing to take steps to remediate the material weakness in our internal control over financial reporting, as discussed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required under this Item is contained above in Part I. Financial Information, Item 1, Note 9,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within this Quarterly Report and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Except for as set forth below, there have been no material changes in our risk factors from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2024 Form 10-K, which section is incorporated by reference herein.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artificial intelligence (“AI”) solutions into our workflows and, if we acquire Fabric Genomics, Inc., we expect to expand significantly our use of AI in genomic interpretation. In addition, we are exploring additional potential third-party partnerships to help us offer other AI solutions for providers and patients.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 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its various uses, may require significant resources to develop, test and maintain offerings, services, and features to help us implement AI ethically in order to minimize unintended, harmful impact.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FDA oversight for laboratory developed tests (“LDTs”) could subject our operations to much more significant regulatory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FDA outlined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 2028), clinical laboratories would be required to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from certain FDA regulatory requirements, provided certain important limitations have been met.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Multiple lawsuits have been filed challenging the FDA’s authority to regulate LDTs as medical devices under the Federal Food, Drug, and Cosmetic Act (FDCA). On March 31, 2025, the U.S. District Court for the Eastern District of Texas struck down the 2024 final rule on the grounds that FDA exceeded its authority under the FDCA. As a result, clinical laboratories offering LDTs will not be required to comply with any of the Phases of the final rule unless FDA successfully appeals the court’s ruling. The government has not announced whether it intends to appeal the district court’s decision. We are actively reviewing the final rule and monitoring the status of legal challenges to the rule to evaluate its applicability to our operations, and the extent to which we may be required to modify our operations to comply with its requirements.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FDA were to determine that certain tests offered by us as LDTs are subject to regulation for any reason, including new rules, policies or guidance, or due to changes in statute, our tests may become subject to extensive FDA requirements and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de novo submission or approval of a premarket approval application. Furthermore, pending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laws prohibiting ‘kickbacks’ and false or fraudulent claims.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a few courts have addressed the application of EKRA and those courts reached opposite conclusions on the issue of whether laboratory payments to employees for sales and marketing activities implicate or violate EKRA.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Adoptions and Modifications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to our Annual Report on Form 10-K for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updates Part I, Item 1</w:t>
      </w:r>
      <w:r>
        <w:rPr>
          <w:rFonts w:ascii="Times New Roman" w:cs="Times New Roman" w:eastAsia="Times New Roman" w:hAnsi="Times New Roman"/>
          <w:sz w:val="18"/>
          <w:szCs w:val="18"/>
          <w:i w:val="1"/>
          <w:iCs w:val="1"/>
          <w:color w:val="auto"/>
        </w:rPr>
        <w:t>. “Business—Intellectual Property—Patents”</w:t>
      </w:r>
      <w:r>
        <w:rPr>
          <w:rFonts w:ascii="Times New Roman" w:cs="Times New Roman" w:eastAsia="Times New Roman" w:hAnsi="Times New Roman"/>
          <w:sz w:val="18"/>
          <w:szCs w:val="18"/>
          <w:color w:val="auto"/>
        </w:rPr>
        <w:t xml:space="preserve"> in our 2024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six pending U.S. non-provisional utility patent applications and eight U.S. provisional patent applications. The utility patent applications include a U.S. patent application related to performing phenotypic fit analysis, a U.S. patent application related to analyzing genetic variations and phenotypes, a U.S. patent application related to modeling inference of mutation impact, a U.S. patent application related to generating a cancer determination from electronic health records using a cancer determination analysis system, a U.S. patent application related to providing a homologous recombination DNA repair deficiency score for a cancer patient, and a U.S. patent application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Regulation—Diagnostic Products and FDA Oversight of Laboratory Developed Tests”</w:t>
      </w:r>
      <w:r>
        <w:rPr>
          <w:rFonts w:ascii="Times New Roman" w:cs="Times New Roman" w:eastAsia="Times New Roman" w:hAnsi="Times New Roman"/>
          <w:sz w:val="18"/>
          <w:szCs w:val="18"/>
          <w:color w:val="auto"/>
        </w:rPr>
        <w:t xml:space="preserve"> in our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Oversight of Laboratory Developed Tests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FDA outlined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6,2028), clinical laboratories would be required to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Multiple lawsuits have been filed challenging the FDA’s authority to regulate LDTs as medical devices under the Federal Food, Drug, and Cosmetic Act (FDCA). On March 31, 2025, the U.S. District Court for the Eastern District of Texas struck down the 2024 final rule on the grounds that FDA exceeded its authority under the FDCA. As a result, clinical laboratories offering LDTs will not be required to comply with any of the Phases of the final rule unless FDA successfully appeals the court’s ruling. The government has not announced whether it intends to appeal the district court’s decision. We are actively reviewing the final rule and monitoring the status of legal challenges to the rule to evaluate its applicability to our operations, and the extent to which we may be required to modify our operations to comply with its requirements.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For example, versions of the Verifying Accurate Leading-</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edge IVCT Development Act (the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FDCA and establish a risk-based approach to imposing requirements related to premarket review, quality systems, and labeling requirements on all IVCTs, including LDTs, but a grandfathering provision would create exemptions from certain requirements for certain LDTs (e.g., LDTs first offered for clinical use not later than May 6, 2024). The likelihood that Congress will pass such legislation and the extent to which such legislation may affect the FDA’s plans to regulate certain LDTs as medical devices is difficult to predict at this time.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and/or our quality control practices, it may impose restrictions on marketing specific products until corrected. Regulation by governmental authorities in the United States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25, 2025, Illumina Inc., announced Keith Meister, founder, Managing Partner, and Chief Investment Officer of Corvex Management, will join their Board of Directors on March 28, 2025. Mr. Meister currently serves on the board of directors for GeneDx Holdings Corp.</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76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0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40"/>
        </w:trPr>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720" w:type="dxa"/>
            <w:vAlign w:val="bottom"/>
            <w:tcBorders>
              <w:top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80" w:type="dxa"/>
            <w:vAlign w:val="bottom"/>
            <w:tcBorders>
              <w:top w:val="single" w:sz="8" w:color="CCEEFF"/>
            </w:tcBorders>
            <w:gridSpan w:val="3"/>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0" w:type="dxa"/>
            <w:vAlign w:val="bottom"/>
            <w:tcBorders>
              <w:top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540" w:type="dxa"/>
            <w:vAlign w:val="bottom"/>
            <w:tcBorders>
              <w:top w:val="single" w:sz="8" w:color="0000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tcBorders>
              <w:top w:val="single" w:sz="8" w:color="CCEEFF"/>
            </w:tcBorders>
            <w:gridSpan w:val="5"/>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33"/>
        </w:trPr>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54" w:lineRule="exact"/>
        <w:rPr>
          <w:sz w:val="20"/>
          <w:szCs w:val="20"/>
          <w:color w:val="auto"/>
        </w:rPr>
      </w:pPr>
    </w:p>
    <w:p>
      <w:pPr>
        <w:ind w:left="980" w:hanging="628"/>
        <w:spacing w:after="0"/>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970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30,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30, 2025</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Feeley</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Feeley</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2"/>
        </w:trPr>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36</w:t>
            </w:r>
          </w:p>
        </w:tc>
        <w:tc>
          <w:tcPr>
            <w:tcW w:w="4320" w:type="dxa"/>
            <w:vAlign w:val="bottom"/>
          </w:tcPr>
          <w:p>
            <w:pPr>
              <w:spacing w:after="0"/>
              <w:rPr>
                <w:sz w:val="24"/>
                <w:szCs w:val="24"/>
                <w:color w:val="auto"/>
              </w:rPr>
            </w:pPr>
          </w:p>
        </w:tc>
      </w:tr>
    </w:tbl>
    <w:p>
      <w:pPr>
        <w:sectPr>
          <w:pgSz w:w="11900" w:h="16838" w:orient="portrait"/>
          <w:cols w:equalWidth="0" w:num="1">
            <w:col w:w="10340"/>
          </w:cols>
          <w:pgMar w:left="320" w:top="135" w:right="1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17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March 31, 2025, as filed with the Securities and Exchange Commission (the “Report”), I, Katherine Stueland, Chief Executive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March 31, 2025, as filed with the Securities and Exchange Commission (the “Report”), I, Kevin Feeley, Chief Financial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2025-04-30T06:09:58Z</dcterms:created>
  <dcterms:modified xsi:type="dcterms:W3CDTF">2025-04-30T06:09:58Z</dcterms:modified>
</cp:coreProperties>
</file>