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p>
      <w:pPr>
        <w:pStyle w:val="TextBody"/>
        <w:spacing w:lineRule="auto" w:line="417" w:before="0" w:after="0"/>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345"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spacing w:lineRule="auto" w:line="288" w:before="10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val="false"/>
          <w:color w:val="000000"/>
          <w:sz w:val="24"/>
        </w:rPr>
        <w:t xml:space="preserve">Date of Report (date of earliest event reported): </w:t>
      </w:r>
      <w:r>
        <w:rPr>
          <w:rFonts w:ascii="Times New Roman;sans-serif" w:hAnsi="Times New Roman;sans-serif"/>
          <w:b/>
          <w:color w:val="000000"/>
          <w:sz w:val="24"/>
        </w:rPr>
        <w:t>April 14, 2023</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 xml:space="preserve">April 12, 2023) </w:t>
      </w:r>
    </w:p>
    <w:p>
      <w:pPr>
        <w:pStyle w:val="TextBody"/>
        <w:spacing w:before="0" w:after="0"/>
        <w:jc w:val="center"/>
        <w:rPr/>
      </w:pPr>
      <w:r>
        <w:rPr/>
      </w:r>
    </w:p>
    <w:p>
      <w:pPr>
        <w:pStyle w:val="TextBody"/>
        <w:spacing w:before="0" w:after="0"/>
        <w:rPr/>
      </w:pPr>
      <w:r>
        <w:rPr/>
      </w:r>
    </w:p>
    <w:p>
      <w:pPr>
        <w:pStyle w:val="TextBody"/>
        <w:spacing w:lineRule="auto" w:line="28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GeneDx Holdings Corp. </w:t>
      </w:r>
    </w:p>
    <w:p>
      <w:pPr>
        <w:pStyle w:val="TextBody"/>
        <w:spacing w:lineRule="auto" w:line="345"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(Exact name of registrant as specified in its charter)</w:t>
      </w:r>
    </w:p>
    <w:tbl>
      <w:tblPr>
        <w:tblW w:w="10205" w:type="dxa"/>
        <w:jc w:val="center"/>
        <w:tblInd w:w="0" w:type="dxa"/>
        <w:tblCellMar>
          <w:top w:w="28" w:type="dxa"/>
          <w:left w:w="28" w:type="dxa"/>
          <w:bottom w:w="28" w:type="dxa"/>
          <w:right w:w="28" w:type="dxa"/>
        </w:tblCellMar>
      </w:tblPr>
      <w:tblGrid>
        <w:gridCol w:w="864"/>
        <w:gridCol w:w="725"/>
        <w:gridCol w:w="725"/>
        <w:gridCol w:w="789"/>
        <w:gridCol w:w="725"/>
        <w:gridCol w:w="759"/>
        <w:gridCol w:w="109"/>
        <w:gridCol w:w="109"/>
        <w:gridCol w:w="109"/>
        <w:gridCol w:w="357"/>
        <w:gridCol w:w="357"/>
        <w:gridCol w:w="357"/>
        <w:gridCol w:w="357"/>
        <w:gridCol w:w="357"/>
        <w:gridCol w:w="365"/>
        <w:gridCol w:w="109"/>
        <w:gridCol w:w="109"/>
        <w:gridCol w:w="109"/>
        <w:gridCol w:w="818"/>
        <w:gridCol w:w="818"/>
        <w:gridCol w:w="1178"/>
      </w:tblGrid>
      <w:tr>
        <w:trPr/>
        <w:tc>
          <w:tcPr>
            <w:tcW w:w="864"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r>
      <w:tr>
        <w:trPr/>
        <w:tc>
          <w:tcPr>
            <w:tcW w:w="4587"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345" w:before="0" w:after="283"/>
              <w:jc w:val="center"/>
              <w:rPr>
                <w:rFonts w:ascii="Times New Roman;sans-serif" w:hAnsi="Times New Roman;sans-serif"/>
                <w:b/>
                <w:color w:val="000000"/>
                <w:sz w:val="20"/>
              </w:rPr>
            </w:pPr>
            <w:r>
              <w:rPr>
                <w:rFonts w:ascii="Times New Roman;sans-serif" w:hAnsi="Times New Roman;sans-serif"/>
                <w:b/>
                <w:color w:val="000000"/>
                <w:sz w:val="20"/>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458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985"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0"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7"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333 Ludlow Street, North Tower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06902</w:t>
            </w:r>
          </w:p>
        </w:tc>
      </w:tr>
      <w:tr>
        <w:trPr/>
        <w:tc>
          <w:tcPr>
            <w:tcW w:w="23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Stamford,</w:t>
            </w:r>
          </w:p>
        </w:tc>
        <w:tc>
          <w:tcPr>
            <w:tcW w:w="227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Connecticut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58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(800) 298-6470 </w:t>
      </w:r>
    </w:p>
    <w:p>
      <w:pPr>
        <w:pStyle w:val="TextBody"/>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rPr/>
      </w:pPr>
      <w:r>
        <w:rPr/>
      </w:r>
    </w:p>
    <w:p>
      <w:pPr>
        <w:pStyle w:val="TextBody"/>
        <w:spacing w:lineRule="auto" w:line="288" w:before="0" w:after="2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spacing w:before="0" w:after="20"/>
        <w:rPr/>
      </w:pPr>
      <w:r>
        <w:rPr/>
      </w:r>
    </w:p>
    <w:p>
      <w:pPr>
        <w:pStyle w:val="TextBody"/>
        <w:spacing w:lineRule="auto" w:line="288" w:before="0" w:after="20"/>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spacing w:before="0" w:after="0"/>
        <w:rPr/>
      </w:pPr>
      <w:r>
        <w:rPr/>
      </w:r>
    </w:p>
    <w:p>
      <w:pPr>
        <w:pStyle w:val="TextBody"/>
        <w:spacing w:lineRule="auto" w:line="288" w:before="0" w:after="20"/>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spacing w:before="0" w:after="0"/>
        <w:rPr/>
      </w:pPr>
      <w:r>
        <w:rPr/>
      </w:r>
    </w:p>
    <w:p>
      <w:pPr>
        <w:pStyle w:val="TextBody"/>
        <w:spacing w:lineRule="auto" w:line="288" w:before="0" w:after="20"/>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center"/>
        <w:tblInd w:w="0" w:type="dxa"/>
        <w:tblCellMar>
          <w:top w:w="28" w:type="dxa"/>
          <w:left w:w="28" w:type="dxa"/>
          <w:bottom w:w="28" w:type="dxa"/>
          <w:right w:w="28" w:type="dxa"/>
        </w:tblCellMar>
      </w:tblPr>
      <w:tblGrid>
        <w:gridCol w:w="2044"/>
        <w:gridCol w:w="1688"/>
        <w:gridCol w:w="1708"/>
        <w:gridCol w:w="109"/>
        <w:gridCol w:w="109"/>
        <w:gridCol w:w="109"/>
        <w:gridCol w:w="478"/>
        <w:gridCol w:w="449"/>
        <w:gridCol w:w="451"/>
        <w:gridCol w:w="109"/>
        <w:gridCol w:w="109"/>
        <w:gridCol w:w="109"/>
        <w:gridCol w:w="797"/>
        <w:gridCol w:w="797"/>
        <w:gridCol w:w="1139"/>
      </w:tblGrid>
      <w:tr>
        <w:trPr/>
        <w:tc>
          <w:tcPr>
            <w:tcW w:w="2044"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1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r>
      <w:tr>
        <w:trPr/>
        <w:tc>
          <w:tcPr>
            <w:tcW w:w="5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4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5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$11.50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spacing w:before="0" w:after="0"/>
        <w:jc w:val="righ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0" w:after="0"/>
        <w:rPr>
          <w:rFonts w:ascii="Times New Roman;sans-serif" w:hAnsi="Times New Roman;sans-serif"/>
          <w:b/>
          <w:color w:val="000000"/>
          <w:sz w:val="22"/>
          <w:highlight w:val="white"/>
        </w:rPr>
      </w:pPr>
      <w:r>
        <w:rPr>
          <w:rFonts w:ascii="Times New Roman;sans-serif" w:hAnsi="Times New Roman;sans-serif"/>
          <w:b/>
          <w:color w:val="000000"/>
          <w:sz w:val="22"/>
          <w:highlight w:val="white"/>
        </w:rPr>
        <w:t xml:space="preserve">Item 5.02 Departure of Directors or Certain Officers; Election of Directors; Appointment of Certain Officers; Compensatory Arrangements of Certain Officers. </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highlight w:val="white"/>
        </w:rPr>
        <w:t>(e)</w:t>
      </w:r>
      <w:r>
        <w:rPr>
          <w:color w:val="000000"/>
        </w:rPr>
        <w:t xml:space="preserve"> </w:t>
      </w:r>
      <w:r>
        <w:rPr>
          <w:rFonts w:ascii="Times New Roman;sans-serif" w:hAnsi="Times New Roman;sans-serif"/>
          <w:b w:val="false"/>
          <w:i/>
          <w:color w:val="000000"/>
          <w:sz w:val="20"/>
        </w:rPr>
        <w:t>Compensatory Arrangements with Certain Officers.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April 14, 2023, GeneDx Holdings Corp. (the “Company”) announced the Company and Jason Ryan entered into an amendment on April 12, 2023 (the “Amendment”) to Mr. Ryan’s Executive Chairman Agreement, dated as of January 17, 2022 (the “Employment Agreement”), in order to extend the period of Mr. Ryan’s employment as Executive Chairman and amend the terms of Mr. Ryan’s employment, effective as of April 10, 2023.</w:t>
      </w:r>
    </w:p>
    <w:p>
      <w:pPr>
        <w:pStyle w:val="TextBody"/>
        <w:spacing w:before="0" w:after="0"/>
        <w:ind w:left="0" w:right="0" w:firstLine="360"/>
        <w:jc w:val="both"/>
        <w:rPr/>
      </w:pPr>
      <w:r>
        <w:rPr/>
      </w:r>
    </w:p>
    <w:p>
      <w:pPr>
        <w:pStyle w:val="TextBody"/>
        <w:spacing w:lineRule="auto" w:line="268" w:before="0" w:after="0"/>
        <w:jc w:val="both"/>
        <w:rPr/>
      </w:pPr>
      <w:r>
        <w:rPr>
          <w:rFonts w:ascii="Times New Roman;sans-serif" w:hAnsi="Times New Roman;sans-serif"/>
          <w:b w:val="false"/>
          <w:color w:val="000000"/>
          <w:sz w:val="20"/>
        </w:rPr>
        <w:t>The Amendment provides that for calendar year 2023 Mr. Ryan shall be employed 50% of his time by the Company and receive a base annual salary of $337,500 (the “</w:t>
      </w:r>
      <w:r>
        <w:rPr>
          <w:rFonts w:ascii="Times New Roman;sans-serif" w:hAnsi="Times New Roman;sans-serif"/>
          <w:b/>
          <w:i/>
          <w:color w:val="000000"/>
          <w:sz w:val="20"/>
        </w:rPr>
        <w:t>Base Salary</w:t>
      </w:r>
      <w:r>
        <w:rPr>
          <w:color w:val="000000"/>
        </w:rPr>
        <w:t>”</w:t>
      </w:r>
      <w:r>
        <w:rPr>
          <w:rFonts w:ascii="Times New Roman;sans-serif" w:hAnsi="Times New Roman;sans-serif"/>
          <w:b w:val="false"/>
          <w:color w:val="000000"/>
          <w:sz w:val="20"/>
        </w:rPr>
        <w:t>), with an opportunity to receive an annual performance bonus for calendar year 2023 with a target amount equal to one hundred percent of the Base Salary. Except as set forth in the Amendment, the Employment Agreement will remain unmodified and in full force and effect.</w:t>
      </w:r>
    </w:p>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foregoing description of the Amendment does not purport to be complete and is qualified in its entirety by reference to the full text of the Amendment, a copy of which is attached as Exhibit 10.1 and is incorporated herein by reference.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2"/>
        </w:rPr>
      </w:pPr>
      <w:r>
        <w:rPr>
          <w:rFonts w:ascii="Times New Roman;sans-serif" w:hAnsi="Times New Roman;sans-serif"/>
          <w:b/>
          <w:color w:val="000000"/>
          <w:sz w:val="22"/>
        </w:rPr>
        <w:t>Item 9.01 Financial Statements and Exhibits</w:t>
      </w:r>
    </w:p>
    <w:p>
      <w:pPr>
        <w:pStyle w:val="TextBody"/>
        <w:spacing w:before="0" w:after="0"/>
        <w:rPr/>
      </w:pPr>
      <w:r>
        <w:rPr/>
      </w:r>
    </w:p>
    <w:p>
      <w:pPr>
        <w:pStyle w:val="TextBody"/>
        <w:spacing w:lineRule="auto" w:line="268" w:before="0" w:after="0"/>
        <w:rPr>
          <w:rFonts w:ascii="Times New Roman;sans-serif" w:hAnsi="Times New Roman;sans-serif"/>
          <w:b/>
          <w:color w:val="000000"/>
          <w:sz w:val="22"/>
        </w:rPr>
      </w:pPr>
      <w:r>
        <w:rPr>
          <w:rFonts w:ascii="Times New Roman;sans-serif" w:hAnsi="Times New Roman;sans-serif"/>
          <w:b/>
          <w:color w:val="000000"/>
          <w:sz w:val="22"/>
        </w:rPr>
        <w:t>(d) Exhibits</w:t>
      </w:r>
    </w:p>
    <w:p>
      <w:pPr>
        <w:pStyle w:val="TextBody"/>
        <w:spacing w:before="0" w:after="0"/>
        <w:rPr/>
      </w:pPr>
      <w:r>
        <w:rPr/>
      </w:r>
    </w:p>
    <w:tbl>
      <w:tblPr>
        <w:tblW w:w="7664" w:type="dxa"/>
        <w:jc w:val="left"/>
        <w:tblInd w:w="0" w:type="dxa"/>
        <w:tblCellMar>
          <w:top w:w="28" w:type="dxa"/>
          <w:left w:w="28" w:type="dxa"/>
          <w:bottom w:w="28" w:type="dxa"/>
          <w:right w:w="28" w:type="dxa"/>
        </w:tblCellMar>
      </w:tblPr>
      <w:tblGrid>
        <w:gridCol w:w="375"/>
        <w:gridCol w:w="329"/>
        <w:gridCol w:w="331"/>
        <w:gridCol w:w="1934"/>
        <w:gridCol w:w="1934"/>
        <w:gridCol w:w="2761"/>
      </w:tblGrid>
      <w:tr>
        <w:trPr/>
        <w:tc>
          <w:tcPr>
            <w:tcW w:w="37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934" w:type="dxa"/>
            <w:tcBorders/>
            <w:shd w:fill="auto" w:val="clear"/>
            <w:vAlign w:val="center"/>
          </w:tcPr>
          <w:p>
            <w:pPr>
              <w:pStyle w:val="TableContents"/>
              <w:spacing w:before="0" w:after="283"/>
              <w:rPr>
                <w:sz w:val="4"/>
                <w:szCs w:val="4"/>
              </w:rPr>
            </w:pPr>
            <w:r>
              <w:rPr>
                <w:sz w:val="4"/>
                <w:szCs w:val="4"/>
              </w:rPr>
            </w:r>
          </w:p>
        </w:tc>
        <w:tc>
          <w:tcPr>
            <w:tcW w:w="1934" w:type="dxa"/>
            <w:tcBorders/>
            <w:shd w:fill="auto" w:val="clear"/>
            <w:vAlign w:val="center"/>
          </w:tcPr>
          <w:p>
            <w:pPr>
              <w:pStyle w:val="TableContents"/>
              <w:spacing w:before="0" w:after="283"/>
              <w:rPr>
                <w:sz w:val="4"/>
                <w:szCs w:val="4"/>
              </w:rPr>
            </w:pPr>
            <w:r>
              <w:rPr>
                <w:sz w:val="4"/>
                <w:szCs w:val="4"/>
              </w:rPr>
            </w:r>
          </w:p>
        </w:tc>
        <w:tc>
          <w:tcPr>
            <w:tcW w:w="2761" w:type="dxa"/>
            <w:tcBorders/>
            <w:shd w:fill="auto" w:val="clear"/>
            <w:vAlign w:val="center"/>
          </w:tcPr>
          <w:p>
            <w:pPr>
              <w:pStyle w:val="TableContents"/>
              <w:spacing w:before="0" w:after="283"/>
              <w:rPr>
                <w:sz w:val="4"/>
                <w:szCs w:val="4"/>
              </w:rPr>
            </w:pPr>
            <w:r>
              <w:rPr>
                <w:sz w:val="4"/>
                <w:szCs w:val="4"/>
              </w:rPr>
            </w:r>
          </w:p>
        </w:tc>
      </w:tr>
      <w:tr>
        <w:trPr/>
        <w:tc>
          <w:tcPr>
            <w:tcW w:w="1035"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6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629" w:type="dxa"/>
            <w:gridSpan w:val="3"/>
            <w:tcBorders/>
            <w:shd w:fill="auto" w:val="clear"/>
            <w:tcMar>
              <w:top w:w="0" w:type="dxa"/>
              <w:left w:w="0" w:type="dxa"/>
              <w:bottom w:w="0" w:type="dxa"/>
              <w:right w:w="0" w:type="dxa"/>
            </w:tcMar>
            <w:vAlign w:val="center"/>
          </w:tcPr>
          <w:p>
            <w:pPr>
              <w:pStyle w:val="TableContents"/>
              <w:spacing w:lineRule="auto" w:line="333" w:before="53" w:after="30"/>
              <w:jc w:val="left"/>
              <w:rPr/>
            </w:pPr>
            <w:hyperlink w:anchor="exhibit101genedx-amendment.htm">
              <w:r>
                <w:rPr>
                  <w:rStyle w:val="InternetLink"/>
                </w:rPr>
                <w:t xml:space="preserve">Amendment No. 1 to </w:t>
              </w:r>
            </w:hyperlink>
            <w:hyperlink w:anchor="exhibit101genedx-amendment.htm">
              <w:r>
                <w:rPr>
                  <w:rStyle w:val="InternetLink"/>
                </w:rPr>
                <w:t xml:space="preserve">Executive </w:t>
              </w:r>
            </w:hyperlink>
            <w:hyperlink w:anchor="exhibit101genedx-amendment.htm">
              <w:r>
                <w:rPr>
                  <w:rStyle w:val="InternetLink"/>
                </w:rPr>
                <w:t>Chairman</w:t>
              </w:r>
            </w:hyperlink>
            <w:hyperlink w:anchor="exhibit101genedx-amendment.htm">
              <w:r>
                <w:rPr>
                  <w:rStyle w:val="InternetLink"/>
                </w:rPr>
                <w:t xml:space="preserve"> Agreement</w:t>
              </w:r>
            </w:hyperlink>
          </w:p>
        </w:tc>
      </w:tr>
      <w:tr>
        <w:trPr/>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629"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spacing w:lineRule="auto" w:line="333"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tbl>
      <w:tblPr>
        <w:tblW w:w="6058" w:type="dxa"/>
        <w:jc w:val="left"/>
        <w:tblInd w:w="0" w:type="dxa"/>
        <w:tblCellMar>
          <w:top w:w="28" w:type="dxa"/>
          <w:left w:w="28" w:type="dxa"/>
          <w:bottom w:w="28" w:type="dxa"/>
          <w:right w:w="28" w:type="dxa"/>
        </w:tblCellMar>
      </w:tblPr>
      <w:tblGrid>
        <w:gridCol w:w="353"/>
        <w:gridCol w:w="310"/>
        <w:gridCol w:w="312"/>
        <w:gridCol w:w="514"/>
        <w:gridCol w:w="514"/>
        <w:gridCol w:w="516"/>
        <w:gridCol w:w="390"/>
        <w:gridCol w:w="390"/>
        <w:gridCol w:w="390"/>
        <w:gridCol w:w="692"/>
        <w:gridCol w:w="692"/>
        <w:gridCol w:w="985"/>
      </w:tblGrid>
      <w:tr>
        <w:trPr/>
        <w:tc>
          <w:tcPr>
            <w:tcW w:w="35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r>
      <w:tr>
        <w:trPr/>
        <w:tc>
          <w:tcPr>
            <w:tcW w:w="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GeneDx Holdings Corp.</w:t>
            </w:r>
          </w:p>
        </w:tc>
      </w:tr>
      <w:tr>
        <w:trPr/>
        <w:tc>
          <w:tcPr>
            <w:tcW w:w="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2"/>
              </w:rPr>
              <w:t>Date:</w:t>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2"/>
              </w:rPr>
              <w:t>April 14, 2023</w:t>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Katherine Stueland</w:t>
            </w:r>
          </w:p>
        </w:tc>
      </w:tr>
      <w:tr>
        <w:trPr/>
        <w:tc>
          <w:tcPr>
            <w:tcW w:w="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Katherine Stueland</w:t>
            </w:r>
          </w:p>
        </w:tc>
      </w:tr>
      <w:tr>
        <w:trPr/>
        <w:tc>
          <w:tcPr>
            <w:tcW w:w="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w:t>
      </w:r>
      <w:r>
        <w:rPr>
          <w:rFonts w:ascii="Times New Roman;sans-serif" w:hAnsi="Times New Roman;sans-serif"/>
          <w:b w:val="false"/>
          <w:color w:val="000000"/>
          <w:sz w:val="24"/>
        </w:rPr>
        <w:t>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AMENDMENT NO. 1</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TO</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EXECUTIVE CHAIRMAN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THIS AMENDMENT NO. 1 (this “</w:t>
      </w:r>
      <w:r>
        <w:rPr>
          <w:rFonts w:ascii="Times New Roman;sans-serif" w:hAnsi="Times New Roman;sans-serif"/>
          <w:b/>
          <w:i/>
          <w:color w:val="000000"/>
          <w:sz w:val="24"/>
        </w:rPr>
        <w:t>Amendment</w:t>
      </w:r>
      <w:r>
        <w:rPr>
          <w:color w:val="000000"/>
        </w:rPr>
        <w:t>”</w:t>
      </w:r>
      <w:r>
        <w:rPr>
          <w:rFonts w:ascii="Times New Roman;sans-serif" w:hAnsi="Times New Roman;sans-serif"/>
          <w:b w:val="false"/>
          <w:color w:val="000000"/>
          <w:sz w:val="24"/>
        </w:rPr>
        <w:t>) is dated as of April 10, 2023, and amends the Executive Chairman Agreement dated as of January 17, 2022 by and between GeneDx Holdings Corp. (formerly named Sema4 Holdings Corp.) (the “</w:t>
      </w:r>
      <w:r>
        <w:rPr>
          <w:rFonts w:ascii="Times New Roman;sans-serif" w:hAnsi="Times New Roman;sans-serif"/>
          <w:b/>
          <w:i/>
          <w:color w:val="000000"/>
          <w:sz w:val="24"/>
        </w:rPr>
        <w:t>Corporation</w:t>
      </w:r>
      <w:r>
        <w:rPr>
          <w:color w:val="000000"/>
        </w:rPr>
        <w:t>”</w:t>
      </w:r>
      <w:r>
        <w:rPr>
          <w:rFonts w:ascii="Times New Roman;sans-serif" w:hAnsi="Times New Roman;sans-serif"/>
          <w:b w:val="false"/>
          <w:color w:val="000000"/>
          <w:sz w:val="24"/>
        </w:rPr>
        <w:t>) and Jason Ryan (the “</w:t>
      </w:r>
      <w:r>
        <w:rPr>
          <w:rFonts w:ascii="Times New Roman;sans-serif" w:hAnsi="Times New Roman;sans-serif"/>
          <w:b/>
          <w:i/>
          <w:color w:val="000000"/>
          <w:sz w:val="24"/>
        </w:rPr>
        <w:t>Executive</w:t>
      </w:r>
      <w:r>
        <w:rPr>
          <w:color w:val="000000"/>
        </w:rPr>
        <w:t>”</w:t>
      </w:r>
      <w:r>
        <w:rPr>
          <w:rFonts w:ascii="Times New Roman;sans-serif" w:hAnsi="Times New Roman;sans-serif"/>
          <w:b w:val="false"/>
          <w:color w:val="000000"/>
          <w:sz w:val="24"/>
        </w:rPr>
        <w:t>) (the “</w:t>
      </w:r>
      <w:r>
        <w:rPr>
          <w:rFonts w:ascii="Times New Roman;sans-serif" w:hAnsi="Times New Roman;sans-serif"/>
          <w:b/>
          <w:i/>
          <w:color w:val="000000"/>
          <w:sz w:val="24"/>
        </w:rPr>
        <w:t>Prior Agreement</w:t>
      </w:r>
      <w:r>
        <w:rPr>
          <w:color w:val="000000"/>
        </w:rPr>
        <w:t>”</w:t>
      </w:r>
      <w:r>
        <w:rPr>
          <w:rFonts w:ascii="Times New Roman;sans-serif" w:hAnsi="Times New Roman;sans-serif"/>
          <w:b w:val="false"/>
          <w:color w:val="000000"/>
          <w:sz w:val="24"/>
        </w:rPr>
        <w:t xml:space="preserve">). </w:t>
      </w:r>
    </w:p>
    <w:p>
      <w:pPr>
        <w:pStyle w:val="TextBody"/>
        <w:spacing w:lineRule="auto" w:line="240"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W I T N E S S E T H:</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Corporation wishes to set forth the terms and conditions of the Executive’s continued employment as Executive Chairman of the Board, on terms and conditions mutually agreeable and beneficial to the Corporation and the Executive;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Executive is willing to continue to render services to the Corporation pursuant to the terms and conditions hereof.</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mutual covenants and agreements of the parties herein contained, the parties, intending to be legally bound, hereby agree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For the purposes of this Amendment, capitalized words and phrases not otherwise defined herein shall have the meanings set forth in the Prior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End Date</w:t>
      </w:r>
      <w:r>
        <w:rPr>
          <w:rFonts w:ascii="Times New Roman;sans-serif" w:hAnsi="Times New Roman;sans-serif"/>
          <w:b w:val="false"/>
          <w:color w:val="000000"/>
          <w:sz w:val="24"/>
        </w:rPr>
        <w:t>. The Corporation and the Executive hereby mutually agree that the “</w:t>
      </w:r>
      <w:r>
        <w:rPr>
          <w:rFonts w:ascii="Times New Roman;sans-serif" w:hAnsi="Times New Roman;sans-serif"/>
          <w:b/>
          <w:i/>
          <w:color w:val="000000"/>
          <w:sz w:val="24"/>
        </w:rPr>
        <w:t>End Date</w:t>
      </w:r>
      <w:r>
        <w:rPr>
          <w:color w:val="000000"/>
        </w:rPr>
        <w:t xml:space="preserve">” </w:t>
      </w:r>
      <w:r>
        <w:rPr>
          <w:rFonts w:ascii="Times New Roman;sans-serif" w:hAnsi="Times New Roman;sans-serif"/>
          <w:b w:val="false"/>
          <w:color w:val="000000"/>
          <w:sz w:val="24"/>
        </w:rPr>
        <w:t>shall hereafter mean December 31, 2023. However, solely for purposes of Section 4.A(2) of the Prior Agreement as it pertains to the vesting of the Equity Awards as described in Section 4.A of the Prior Agreement, the End Date shall continue to mean December 31, 2022.</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Business Time</w:t>
      </w:r>
      <w:r>
        <w:rPr>
          <w:rFonts w:ascii="Times New Roman;sans-serif" w:hAnsi="Times New Roman;sans-serif"/>
          <w:b w:val="false"/>
          <w:color w:val="000000"/>
          <w:sz w:val="24"/>
        </w:rPr>
        <w:t>. The Corporation and the Executive hereby mutually agree that, commencing on January 1, 2023, it was and is anticipated that the Executive will be employed 50% of his time by the Corporation during the Term.</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The Corporation and the Executive hereby mutually agree that, commencing on January 1, 2023 and for the balance of the Term, the “</w:t>
      </w:r>
      <w:r>
        <w:rPr>
          <w:rFonts w:ascii="Times New Roman;sans-serif" w:hAnsi="Times New Roman;sans-serif"/>
          <w:b/>
          <w:i/>
          <w:color w:val="000000"/>
          <w:sz w:val="24"/>
        </w:rPr>
        <w:t>Base Salary</w:t>
      </w:r>
      <w:r>
        <w:rPr>
          <w:color w:val="000000"/>
        </w:rPr>
        <w:t xml:space="preserve">” </w:t>
      </w:r>
      <w:r>
        <w:rPr>
          <w:rFonts w:ascii="Times New Roman;sans-serif" w:hAnsi="Times New Roman;sans-serif"/>
          <w:b w:val="false"/>
          <w:color w:val="000000"/>
          <w:sz w:val="24"/>
        </w:rPr>
        <w:t>shall equal $337,500 per annum. The Executive acknowledges that he has received a base salary at a rate in excess of such amount in respect of the portion of calendar year 2023 elapsed through the date hereof, and that the Corporation shall withhold such excess from one or more payroll periods following the date hereof.</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Performance Bonus</w:t>
      </w:r>
      <w:r>
        <w:rPr>
          <w:rFonts w:ascii="Times New Roman;sans-serif" w:hAnsi="Times New Roman;sans-serif"/>
          <w:b w:val="false"/>
          <w:color w:val="000000"/>
          <w:sz w:val="24"/>
        </w:rPr>
        <w:t>. In addition to the Base Salary, the Executive shall be eligible to receive an annual performance bonus for calendar year 2023 (the “</w:t>
      </w:r>
      <w:r>
        <w:rPr>
          <w:rFonts w:ascii="Times New Roman;sans-serif" w:hAnsi="Times New Roman;sans-serif"/>
          <w:b/>
          <w:i/>
          <w:color w:val="000000"/>
          <w:sz w:val="24"/>
        </w:rPr>
        <w:t>Performance Bonus</w:t>
      </w:r>
      <w:r>
        <w:rPr>
          <w:color w:val="000000"/>
        </w:rPr>
        <w:t>”</w:t>
      </w:r>
      <w:r>
        <w:rPr>
          <w:rFonts w:ascii="Times New Roman;sans-serif" w:hAnsi="Times New Roman;sans-serif"/>
          <w:b w:val="false"/>
          <w:color w:val="000000"/>
          <w:sz w:val="24"/>
        </w:rPr>
        <w:t>) with a target amount equal to one hundred percent (100%) of the Base Salary. The Performance Bonus shall be paid within the first ninety (90) days of calendar year 2024 (subject to applicable federal, state and local tax withholdings). The amount of the Performance Bonus (which may be greater than or less than the target amount, if actual performance is greater than or less than the performance goals) shall be determined by the Board based on the Board’s determination of the extent of the achievement of performance goals for the Corporation and/or the Executive for such calendar year.</w:t>
      </w:r>
    </w:p>
    <w:p>
      <w:pPr>
        <w:pStyle w:val="TextBody"/>
        <w:spacing w:before="0" w:after="120"/>
        <w:ind w:left="0" w:right="0" w:firstLine="720"/>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Except as otherwise set forth herein the Prior Agreement will remain unmodified and in full force and effect. </w:t>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[SIGNATURE PAGE FOLLOWS]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4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Corporation and the Executive have executed this Amendment as of the first date written above.</w:t>
      </w:r>
    </w:p>
    <w:p>
      <w:pPr>
        <w:pStyle w:val="TextBody"/>
        <w:spacing w:lineRule="auto" w:line="240" w:before="0" w:after="240"/>
        <w:rPr>
          <w:rFonts w:ascii="Times New Roman;sans-serif" w:hAnsi="Times New Roman;sans-serif"/>
          <w:b/>
          <w:color w:val="000000"/>
          <w:sz w:val="24"/>
        </w:rPr>
      </w:pPr>
      <w:r>
        <w:rPr>
          <w:rFonts w:ascii="Times New Roman;sans-serif" w:hAnsi="Times New Roman;sans-serif"/>
          <w:b/>
          <w:color w:val="000000"/>
          <w:sz w:val="24"/>
        </w:rPr>
        <w:t>THE CORPORATION</w:t>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GeneDx Holdings Corp.</w:t>
      </w:r>
    </w:p>
    <w:p>
      <w:pPr>
        <w:pStyle w:val="TextBody"/>
        <w:spacing w:lineRule="auto" w:line="240" w:before="0" w:after="0"/>
        <w:rPr/>
      </w:pPr>
      <w:r>
        <w:rPr>
          <w:rFonts w:ascii="Times New Roman;sans-serif" w:hAnsi="Times New Roman;sans-serif"/>
          <w:b w:val="false"/>
          <w:color w:val="000000"/>
          <w:sz w:val="24"/>
        </w:rPr>
        <w:t>By:_</w:t>
      </w:r>
      <w:r>
        <w:rPr>
          <w:rFonts w:ascii="Times New Roman;sans-serif" w:hAnsi="Times New Roman;sans-serif"/>
          <w:b w:val="false"/>
          <w:color w:val="000000"/>
          <w:sz w:val="24"/>
          <w:u w:val="single"/>
        </w:rPr>
        <w:t>/s/ Karen White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Karen White</w:t>
      </w:r>
    </w:p>
    <w:p>
      <w:pPr>
        <w:pStyle w:val="TextBody"/>
        <w:spacing w:lineRule="auto" w:line="240" w:before="0" w:after="48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Title:    Chief People Officer, pursuant to authority delegated by the Compensation Committee of the Board</w:t>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THE EXECUTIVE</w:t>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Jason Ryan</w:t>
      </w:r>
    </w:p>
    <w:p>
      <w:pPr>
        <w:pStyle w:val="TextBody"/>
        <w:spacing w:lineRule="auto" w:line="240"/>
        <w:rPr>
          <w:rFonts w:ascii="Times New Roman;sans-serif" w:hAnsi="Times New Roman;sans-serif"/>
          <w:b w:val="false"/>
          <w:color w:val="000000"/>
          <w:sz w:val="24"/>
        </w:rPr>
      </w:pPr>
      <w:r>
        <w:rPr>
          <w:rFonts w:ascii="Times New Roman;sans-serif" w:hAnsi="Times New Roman;sans-serif"/>
          <w:b w:val="false"/>
          <w:color w:val="000000"/>
          <w:sz w:val="24"/>
        </w:rPr>
        <w:t>Jason Ryan</w:t>
      </w:r>
      <w:r>
        <w:br w:type="page"/>
      </w:r>
    </w:p>
    <w:p>
      <w:pPr>
        <w:pStyle w:val="TextBody"/>
        <w:spacing w:before="0" w:after="283"/>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Amendment No. 1 to Executive Chairman Agreement</w:t>
                            </w:r>
                            <w:r>
                              <w:rPr>
                                <w:rFonts w:ascii="Times New Roman;sans-serif" w:hAnsi="Times New Roman;sans-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Amendment No. 1 to Executive Chairman Agreement</w:t>
                      </w:r>
                      <w:r>
                        <w:rPr>
                          <w:rFonts w:ascii="Times New Roman;sans-serif" w:hAnsi="Times New Roman;sans-serif"/>
                          <w:b w:val="false"/>
                          <w:color w:val="000000"/>
                          <w:sz w:val="24"/>
                        </w:rPr>
                        <w:t>]</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1190</Words>
  <CharactersWithSpaces>7452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