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12025_080717.xml.htm"/>
      <w:bookmarkStart w:id="1" w:name="ksform407112025_0807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1,720</w:t>
            </w:r>
            <w:r>
              <w:rPr>
                <w:rFonts w:ascii="Times;serif" w:hAnsi="Times;serif"/>
                <w:color w:val="008000"/>
                <w:position w:val="7"/>
                <w:sz w:val="16"/>
                <w:sz w:val="20"/>
                <w:shd w:fill="FFFFFF" w:val="clear"/>
              </w:rPr>
              <w:t>(2)</w:t>
            </w:r>
            <w:r>
              <w:rPr/>
              <w:t xml:space="preserve"> </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Rule 10b5-1 trading plan adopted by the Reporting Person on August 16,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reported sales, in addition to the 1,720 shares of Class A common stock beneficially owned by the Reporting Person, the Reporting Person beneficially owned restricted stock units ("RSUs") representing contingent rights to receive up to an aggregate of 473,709 shares of Class A common stock and options to purchase up to an aggregate of 107,610 shares of Class A common stock, which RSUs and options vest according to their respective terms.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9575"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3596</Characters>
  <CharactersWithSpaces>4205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