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333-267112</w:t>
      </w: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5715</wp:posOffset>
            </wp:positionV>
            <wp:extent cx="2065655"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65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328,571,429 Shares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64770</wp:posOffset>
            </wp:positionV>
            <wp:extent cx="68922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2290" cy="8890"/>
                    </a:xfrm>
                    <a:prstGeom prst="rect">
                      <a:avLst/>
                    </a:prstGeom>
                    <a:noFill/>
                  </pic:spPr>
                </pic:pic>
              </a:graphicData>
            </a:graphic>
          </wp:anchor>
        </w:drawing>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 are offering 328,571,429 shares of our Class A common stock (“Class A common stock”).</w:t>
      </w:r>
    </w:p>
    <w:p>
      <w:pPr>
        <w:spacing w:after="0" w:line="117"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Class A common stock is traded on The Nasdaq Global Select Market (the “Nasdaq”) under the symbol “WGS.” We are an “emerging growth company” and a “smaller reporting company” as those terms are defined under federal securities laws and, as such, we have elected to comply with certain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4"/>
          <w:szCs w:val="24"/>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referenced under the heading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on page </w:t>
      </w:r>
      <w:r>
        <w:rPr>
          <w:rFonts w:ascii="Times New Roman" w:cs="Times New Roman" w:eastAsia="Times New Roman" w:hAnsi="Times New Roman"/>
          <w:sz w:val="18"/>
          <w:szCs w:val="18"/>
          <w:b w:val="1"/>
          <w:bCs w:val="1"/>
          <w:u w:val="single" w:color="auto"/>
          <w:color w:val="0000FF"/>
        </w:rPr>
        <w:t>S-8</w:t>
      </w:r>
      <w:r>
        <w:rPr>
          <w:rFonts w:ascii="Times New Roman" w:cs="Times New Roman" w:eastAsia="Times New Roman" w:hAnsi="Times New Roman"/>
          <w:sz w:val="18"/>
          <w:szCs w:val="18"/>
          <w:b w:val="1"/>
          <w:bCs w:val="1"/>
          <w:color w:val="auto"/>
        </w:rPr>
        <w:t xml:space="preserve"> of this prospectus supplement , as well as the sections entitled “Risk Factors” beginning on page 30 of our Annual Report on Form 10-K for the year ended December 31, 2021, beginning on page 46 of our Quarterly Report on Form 10-Q for the quarter ended March 31, 2022, beginning on page 60 of our Quarterly Report on Form 10-Q for the quarter ended June 30, 2022, and beginning on page 62 of our Quarterly Report on Form 10-Q for the quarter ended September 30, 2022, which reports are incorporated by reference in this prospectus supplement and the accompanying prospectus, before investing in our securities.</w:t>
      </w:r>
    </w:p>
    <w:p>
      <w:pPr>
        <w:spacing w:after="0" w:line="74" w:lineRule="exact"/>
        <w:rPr>
          <w:sz w:val="24"/>
          <w:szCs w:val="24"/>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Share of Class A</w:t>
            </w:r>
          </w:p>
        </w:tc>
        <w:tc>
          <w:tcPr>
            <w:tcW w:w="240" w:type="dxa"/>
            <w:vAlign w:val="bottom"/>
          </w:tcPr>
          <w:p>
            <w:pPr>
              <w:spacing w:after="0"/>
              <w:rPr>
                <w:sz w:val="13"/>
                <w:szCs w:val="13"/>
                <w:color w:val="auto"/>
              </w:rPr>
            </w:pPr>
          </w:p>
        </w:tc>
        <w:tc>
          <w:tcPr>
            <w:tcW w:w="11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offering 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115,000,000</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0.011375</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3,737,500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to GeneDx Holdings Corp. (before fees and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0.338625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111,262,500</w:t>
            </w:r>
          </w:p>
        </w:tc>
        <w:tc>
          <w:tcPr>
            <w:tcW w:w="0" w:type="dxa"/>
            <w:vAlign w:val="bottom"/>
          </w:tcPr>
          <w:p>
            <w:pPr>
              <w:spacing w:after="0"/>
              <w:rPr>
                <w:sz w:val="1"/>
                <w:szCs w:val="1"/>
                <w:color w:val="auto"/>
              </w:rPr>
            </w:pPr>
          </w:p>
        </w:tc>
      </w:tr>
    </w:tbl>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4"/>
          <w:szCs w:val="24"/>
          <w:color w:val="auto"/>
        </w:rPr>
      </w:pP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section titled “Underwriting” for a description of the compensation payable to the underwriter.</w:t>
      </w:r>
    </w:p>
    <w:p>
      <w:pPr>
        <w:spacing w:after="0" w:line="168"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granted the underwriter an option for a period of 30 days from the date of this prospectus supplement to purchase up to an additional 49,285,714 shares of Class A common stock. If the underwriter exercises its option in full, the total underwriting discounts and commissions payable by us will be $4,298,125 and the total proceeds to us, before fees and expenses, will be $127,951,875.</w:t>
      </w:r>
    </w:p>
    <w:p>
      <w:pPr>
        <w:spacing w:after="0" w:line="6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We are offering to sell directly to institutional investors affiliated with Keith Meister, a member of our board of directors, in a concurrent</w:t>
      </w:r>
    </w:p>
    <w:p>
      <w:pPr>
        <w:spacing w:after="0" w:line="16" w:lineRule="exact"/>
        <w:rPr>
          <w:sz w:val="24"/>
          <w:szCs w:val="24"/>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registered direct offering, 100,000,000 shares of our Class A common stock at an offering price of $0.35 per share, equal to the public offering price of this offering (comprising 77,663,376 shares that are expected to be issued following the closing of this offering and 22,336,624 shares that are subject to stockholder approval to satisfy Nasdaq requirements with respect to the issuance of such shares of Class A common stock). We refer to this transaction as the concurrent registered direct offering. This offering is not contingent on the closing of the concurrent registered direct offering. See “</w:t>
      </w:r>
      <w:r>
        <w:rPr>
          <w:rFonts w:ascii="Times New Roman" w:cs="Times New Roman" w:eastAsia="Times New Roman" w:hAnsi="Times New Roman"/>
          <w:sz w:val="18"/>
          <w:szCs w:val="18"/>
          <w:u w:val="single" w:color="auto"/>
          <w:color w:val="0000FF"/>
        </w:rPr>
        <w:t>Underwriting</w:t>
      </w:r>
      <w:r>
        <w:rPr>
          <w:rFonts w:ascii="Times New Roman" w:cs="Times New Roman" w:eastAsia="Times New Roman" w:hAnsi="Times New Roman"/>
          <w:sz w:val="18"/>
          <w:szCs w:val="18"/>
          <w:color w:val="auto"/>
        </w:rPr>
        <w:t>” for more information.</w:t>
      </w:r>
    </w:p>
    <w:p>
      <w:pPr>
        <w:spacing w:after="0" w:line="71" w:lineRule="exact"/>
        <w:rPr>
          <w:sz w:val="24"/>
          <w:szCs w:val="24"/>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on the adequacy or accuracy of this prospectus. Any representation to the contrary is a criminal offense.</w:t>
      </w:r>
    </w:p>
    <w:p>
      <w:pPr>
        <w:spacing w:after="0" w:line="51"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Delivery of securities being offered pursuant to this prospectus supplement and accompanying prospectus will be made on or about January 31, 2023, subject to the satisfaction of certain closing conditions.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Jefferies</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26, 2023.</w:t>
      </w:r>
    </w:p>
    <w:p>
      <w:pPr>
        <w:sectPr>
          <w:pgSz w:w="11900" w:h="16838" w:orient="portrait"/>
          <w:cols w:equalWidth="0" w:num="1">
            <w:col w:w="11240"/>
          </w:cols>
          <w:pgMar w:left="320" w:top="1035" w:right="339" w:bottom="1440" w:gutter="0" w:footer="0" w:header="0"/>
        </w:sectPr>
      </w:pPr>
    </w:p>
    <w:bookmarkStart w:id="1" w:name="page2"/>
    <w:bookmarkEnd w:id="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86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1036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ABOUT THIS PROSPECTUS SUPPLEMENT</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0000FF"/>
                <w:w w:val="77"/>
              </w:rPr>
              <w:t>S-1</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PROSPECTUS SUPPLEMENT SUMMARY</w:t>
            </w:r>
          </w:p>
        </w:tc>
        <w:tc>
          <w:tcPr>
            <w:tcW w:w="140" w:type="dxa"/>
            <w:vAlign w:val="bottom"/>
          </w:tcPr>
          <w:p>
            <w:pPr>
              <w:spacing w:after="0"/>
              <w:rPr>
                <w:sz w:val="18"/>
                <w:szCs w:val="18"/>
                <w:color w:val="auto"/>
              </w:rPr>
            </w:pPr>
          </w:p>
        </w:tc>
        <w:tc>
          <w:tcPr>
            <w:tcW w:w="6920" w:type="dxa"/>
            <w:vAlign w:val="bottom"/>
            <w:gridSpan w:val="8"/>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0000FF"/>
                <w:w w:val="77"/>
              </w:rPr>
              <w:t>S-3</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THE OFFERING</w:t>
            </w:r>
          </w:p>
        </w:tc>
        <w:tc>
          <w:tcPr>
            <w:tcW w:w="7060" w:type="dxa"/>
            <w:vAlign w:val="bottom"/>
            <w:gridSpan w:val="9"/>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0000FF"/>
                <w:w w:val="77"/>
              </w:rPr>
              <w:t>S-6</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9100" w:type="dxa"/>
            <w:vAlign w:val="bottom"/>
            <w:gridSpan w:val="19"/>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0000FF"/>
                <w:w w:val="77"/>
              </w:rPr>
              <w:t>S-8</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PRO FORMA COMBINED FINANCIAL STATEMENTS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S-22</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S-27</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USE OF PROCEEDS</w:t>
            </w:r>
          </w:p>
        </w:tc>
        <w:tc>
          <w:tcPr>
            <w:tcW w:w="4200" w:type="dxa"/>
            <w:vAlign w:val="bottom"/>
            <w:gridSpan w:val="14"/>
          </w:tcPr>
          <w:p>
            <w:pPr>
              <w:spacing w:after="0"/>
              <w:rPr>
                <w:sz w:val="18"/>
                <w:szCs w:val="18"/>
                <w:color w:val="auto"/>
              </w:rPr>
            </w:pPr>
          </w:p>
        </w:tc>
        <w:tc>
          <w:tcPr>
            <w:tcW w:w="45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S-29</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DESCRIPTION OF THE SECURITIES WE ARE OFFERING</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S-30</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DIVIDEND POLICY</w:t>
            </w:r>
          </w:p>
        </w:tc>
        <w:tc>
          <w:tcPr>
            <w:tcW w:w="2980" w:type="dxa"/>
            <w:vAlign w:val="bottom"/>
            <w:gridSpan w:val="11"/>
          </w:tcPr>
          <w:p>
            <w:pPr>
              <w:spacing w:after="0"/>
              <w:rPr>
                <w:sz w:val="18"/>
                <w:szCs w:val="18"/>
                <w:color w:val="auto"/>
              </w:rPr>
            </w:pPr>
          </w:p>
        </w:tc>
        <w:tc>
          <w:tcPr>
            <w:tcW w:w="580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S-31</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CAPITALIZATION</w:t>
            </w:r>
          </w:p>
        </w:tc>
        <w:tc>
          <w:tcPr>
            <w:tcW w:w="120" w:type="dxa"/>
            <w:vAlign w:val="bottom"/>
          </w:tcPr>
          <w:p>
            <w:pPr>
              <w:spacing w:after="0"/>
              <w:rPr>
                <w:sz w:val="18"/>
                <w:szCs w:val="18"/>
                <w:color w:val="auto"/>
              </w:rPr>
            </w:pPr>
          </w:p>
        </w:tc>
        <w:tc>
          <w:tcPr>
            <w:tcW w:w="8780" w:type="dxa"/>
            <w:vAlign w:val="bottom"/>
            <w:gridSpan w:val="16"/>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S-32</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DILUTION</w:t>
            </w:r>
          </w:p>
        </w:tc>
        <w:tc>
          <w:tcPr>
            <w:tcW w:w="600" w:type="dxa"/>
            <w:vAlign w:val="bottom"/>
            <w:gridSpan w:val="3"/>
          </w:tcPr>
          <w:p>
            <w:pPr>
              <w:spacing w:after="0"/>
              <w:rPr>
                <w:sz w:val="18"/>
                <w:szCs w:val="18"/>
                <w:color w:val="auto"/>
              </w:rPr>
            </w:pPr>
          </w:p>
        </w:tc>
        <w:tc>
          <w:tcPr>
            <w:tcW w:w="8900" w:type="dxa"/>
            <w:vAlign w:val="bottom"/>
            <w:gridSpan w:val="17"/>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S-34</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9500" w:type="dxa"/>
            <w:vAlign w:val="bottom"/>
            <w:gridSpan w:val="20"/>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S-36</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MATERIAL U.S. FEDERAL INCOME TAX CONSEQUENCES</w:t>
            </w:r>
          </w:p>
        </w:tc>
        <w:tc>
          <w:tcPr>
            <w:tcW w:w="560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S-55</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UNDERWRITING</w:t>
            </w:r>
          </w:p>
        </w:tc>
        <w:tc>
          <w:tcPr>
            <w:tcW w:w="3360" w:type="dxa"/>
            <w:vAlign w:val="bottom"/>
            <w:gridSpan w:val="14"/>
          </w:tcPr>
          <w:p>
            <w:pPr>
              <w:spacing w:after="0"/>
              <w:rPr>
                <w:sz w:val="18"/>
                <w:szCs w:val="18"/>
                <w:color w:val="auto"/>
              </w:rPr>
            </w:pPr>
          </w:p>
        </w:tc>
        <w:tc>
          <w:tcPr>
            <w:tcW w:w="560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S-60</w:t>
            </w: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S-70</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4"/>
          </w:tcPr>
          <w:p>
            <w:pPr>
              <w:spacing w:after="0"/>
              <w:rPr>
                <w:sz w:val="18"/>
                <w:szCs w:val="18"/>
                <w:color w:val="auto"/>
              </w:rPr>
            </w:pPr>
          </w:p>
        </w:tc>
        <w:tc>
          <w:tcPr>
            <w:tcW w:w="8900" w:type="dxa"/>
            <w:vAlign w:val="bottom"/>
            <w:gridSpan w:val="17"/>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S-70</w:t>
            </w:r>
          </w:p>
        </w:tc>
      </w:tr>
      <w:tr>
        <w:trPr>
          <w:trHeight w:val="20"/>
        </w:trPr>
        <w:tc>
          <w:tcPr>
            <w:tcW w:w="780" w:type="dxa"/>
            <w:vAlign w:val="bottom"/>
            <w:shd w:val="clear" w:color="auto" w:fill="0000FF"/>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7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 INCORPORATION BY REFERENCE</w:t>
            </w:r>
          </w:p>
        </w:tc>
        <w:tc>
          <w:tcPr>
            <w:tcW w:w="3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S-70</w:t>
            </w:r>
          </w:p>
        </w:tc>
      </w:tr>
      <w:tr>
        <w:trPr>
          <w:trHeight w:val="529"/>
        </w:trPr>
        <w:tc>
          <w:tcPr>
            <w:tcW w:w="67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3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22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w w:val="99"/>
              </w:rPr>
              <w:t>ABOUT THIS PROSPECTUS</w:t>
            </w:r>
          </w:p>
        </w:tc>
        <w:tc>
          <w:tcPr>
            <w:tcW w:w="8120" w:type="dxa"/>
            <w:vAlign w:val="bottom"/>
            <w:gridSpan w:val="14"/>
          </w:tcPr>
          <w:p>
            <w:pPr>
              <w:spacing w:after="0"/>
              <w:rPr>
                <w:sz w:val="16"/>
                <w:szCs w:val="16"/>
                <w:color w:val="auto"/>
              </w:rPr>
            </w:pPr>
          </w:p>
        </w:tc>
        <w:tc>
          <w:tcPr>
            <w:tcW w:w="860" w:type="dxa"/>
            <w:vAlign w:val="bottom"/>
            <w:gridSpan w:val="5"/>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2060" w:type="dxa"/>
            <w:vAlign w:val="bottom"/>
            <w:tcBorders>
              <w:right w:val="single" w:sz="8" w:color="0000FF"/>
            </w:tcBorders>
            <w:gridSpan w:val="7"/>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54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SELECTED DEFINITIONS</w:t>
            </w:r>
          </w:p>
        </w:tc>
        <w:tc>
          <w:tcPr>
            <w:tcW w:w="180" w:type="dxa"/>
            <w:vAlign w:val="bottom"/>
          </w:tcPr>
          <w:p>
            <w:pPr>
              <w:spacing w:after="0"/>
              <w:rPr>
                <w:sz w:val="18"/>
                <w:szCs w:val="18"/>
                <w:color w:val="auto"/>
              </w:rPr>
            </w:pPr>
          </w:p>
        </w:tc>
        <w:tc>
          <w:tcPr>
            <w:tcW w:w="8120" w:type="dxa"/>
            <w:vAlign w:val="bottom"/>
            <w:gridSpan w:val="14"/>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60" w:type="dxa"/>
            <w:vAlign w:val="bottom"/>
            <w:tcBorders>
              <w:right w:val="single" w:sz="8" w:color="0000FF"/>
            </w:tcBorders>
            <w:gridSpan w:val="7"/>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54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8300" w:type="dxa"/>
            <w:vAlign w:val="bottom"/>
            <w:gridSpan w:val="15"/>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60" w:type="dxa"/>
            <w:vAlign w:val="bottom"/>
            <w:tcBorders>
              <w:right w:val="single" w:sz="8" w:color="0000FF"/>
            </w:tcBorders>
            <w:gridSpan w:val="7"/>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54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800" w:type="dxa"/>
            <w:vAlign w:val="bottom"/>
            <w:gridSpan w:val="4"/>
          </w:tcPr>
          <w:p>
            <w:pPr>
              <w:spacing w:after="0"/>
              <w:rPr>
                <w:sz w:val="18"/>
                <w:szCs w:val="18"/>
                <w:color w:val="auto"/>
              </w:rPr>
            </w:pPr>
          </w:p>
        </w:tc>
        <w:tc>
          <w:tcPr>
            <w:tcW w:w="8300" w:type="dxa"/>
            <w:vAlign w:val="bottom"/>
            <w:gridSpan w:val="15"/>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260" w:type="dxa"/>
            <w:vAlign w:val="bottom"/>
            <w:gridSpan w:val="3"/>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54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60" w:type="dxa"/>
            <w:vAlign w:val="bottom"/>
            <w:tcBorders>
              <w:right w:val="single" w:sz="8" w:color="0000FF"/>
            </w:tcBorders>
            <w:gridSpan w:val="7"/>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1960" w:type="dxa"/>
            <w:vAlign w:val="bottom"/>
            <w:gridSpan w:val="4"/>
          </w:tcPr>
          <w:p>
            <w:pPr>
              <w:spacing w:after="0"/>
              <w:rPr>
                <w:sz w:val="18"/>
                <w:szCs w:val="18"/>
                <w:color w:val="auto"/>
              </w:rPr>
            </w:pPr>
          </w:p>
        </w:tc>
        <w:tc>
          <w:tcPr>
            <w:tcW w:w="4580" w:type="dxa"/>
            <w:vAlign w:val="bottom"/>
            <w:gridSpan w:val="2"/>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2060" w:type="dxa"/>
            <w:vAlign w:val="bottom"/>
            <w:tcBorders>
              <w:right w:val="single" w:sz="8" w:color="0000FF"/>
            </w:tcBorders>
            <w:gridSpan w:val="7"/>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54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INCORPORATION BY REFERENCE</w:t>
            </w:r>
          </w:p>
        </w:tc>
        <w:tc>
          <w:tcPr>
            <w:tcW w:w="6540" w:type="dxa"/>
            <w:vAlign w:val="bottom"/>
            <w:gridSpan w:val="6"/>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60" w:type="dxa"/>
            <w:vAlign w:val="bottom"/>
            <w:tcBorders>
              <w:right w:val="single" w:sz="8" w:color="0000FF"/>
            </w:tcBorders>
            <w:gridSpan w:val="7"/>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USE OF PROCEEDS</w:t>
            </w:r>
          </w:p>
        </w:tc>
        <w:tc>
          <w:tcPr>
            <w:tcW w:w="1240" w:type="dxa"/>
            <w:vAlign w:val="bottom"/>
            <w:gridSpan w:val="4"/>
          </w:tcPr>
          <w:p>
            <w:pPr>
              <w:spacing w:after="0"/>
              <w:rPr>
                <w:sz w:val="18"/>
                <w:szCs w:val="18"/>
                <w:color w:val="auto"/>
              </w:rPr>
            </w:pPr>
          </w:p>
        </w:tc>
        <w:tc>
          <w:tcPr>
            <w:tcW w:w="7540" w:type="dxa"/>
            <w:vAlign w:val="bottom"/>
            <w:gridSpan w:val="12"/>
          </w:tcPr>
          <w:p>
            <w:pPr>
              <w:spacing w:after="0"/>
              <w:rPr>
                <w:sz w:val="18"/>
                <w:szCs w:val="18"/>
                <w:color w:val="auto"/>
              </w:rPr>
            </w:pPr>
          </w:p>
        </w:tc>
        <w:tc>
          <w:tcPr>
            <w:tcW w:w="680" w:type="dxa"/>
            <w:vAlign w:val="bottom"/>
            <w:gridSpan w:val="2"/>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10</w:t>
            </w:r>
          </w:p>
        </w:tc>
        <w:tc>
          <w:tcPr>
            <w:tcW w:w="20" w:type="dxa"/>
            <w:vAlign w:val="bottom"/>
          </w:tcPr>
          <w:p>
            <w:pPr>
              <w:spacing w:after="0"/>
              <w:rPr>
                <w:sz w:val="18"/>
                <w:szCs w:val="18"/>
                <w:color w:val="auto"/>
              </w:rPr>
            </w:pPr>
          </w:p>
        </w:tc>
      </w:tr>
      <w:tr>
        <w:trPr>
          <w:trHeight w:val="209"/>
        </w:trPr>
        <w:tc>
          <w:tcPr>
            <w:tcW w:w="20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8300" w:type="dxa"/>
            <w:vAlign w:val="bottom"/>
            <w:gridSpan w:val="15"/>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r>
      <w:tr>
        <w:trPr>
          <w:trHeight w:val="20"/>
        </w:trPr>
        <w:tc>
          <w:tcPr>
            <w:tcW w:w="2060" w:type="dxa"/>
            <w:vAlign w:val="bottom"/>
            <w:tcBorders>
              <w:right w:val="single" w:sz="8" w:color="0000FF"/>
            </w:tcBorders>
            <w:gridSpan w:val="7"/>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8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480" w:type="dxa"/>
            <w:vAlign w:val="bottom"/>
            <w:gridSpan w:val="11"/>
          </w:tcPr>
          <w:p>
            <w:pPr>
              <w:spacing w:after="0"/>
              <w:rPr>
                <w:sz w:val="18"/>
                <w:szCs w:val="18"/>
                <w:color w:val="auto"/>
              </w:rPr>
            </w:pPr>
          </w:p>
        </w:tc>
        <w:tc>
          <w:tcPr>
            <w:tcW w:w="680" w:type="dxa"/>
            <w:vAlign w:val="bottom"/>
            <w:gridSpan w:val="2"/>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13</w:t>
            </w:r>
          </w:p>
        </w:tc>
        <w:tc>
          <w:tcPr>
            <w:tcW w:w="20" w:type="dxa"/>
            <w:vAlign w:val="bottom"/>
          </w:tcPr>
          <w:p>
            <w:pPr>
              <w:spacing w:after="0"/>
              <w:rPr>
                <w:sz w:val="18"/>
                <w:szCs w:val="18"/>
                <w:color w:val="auto"/>
              </w:rPr>
            </w:pPr>
          </w:p>
        </w:tc>
      </w:tr>
      <w:tr>
        <w:trPr>
          <w:trHeight w:val="210"/>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DESCRIPTION OF DEBT SECURITIES</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8"/>
                <w:szCs w:val="18"/>
                <w:color w:val="auto"/>
              </w:rPr>
            </w:pPr>
          </w:p>
        </w:tc>
      </w:tr>
      <w:tr>
        <w:trPr>
          <w:trHeight w:val="210"/>
        </w:trPr>
        <w:tc>
          <w:tcPr>
            <w:tcW w:w="30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DESCRIPTION OF WARRANTS</w:t>
            </w:r>
          </w:p>
        </w:tc>
        <w:tc>
          <w:tcPr>
            <w:tcW w:w="7340" w:type="dxa"/>
            <w:vAlign w:val="bottom"/>
            <w:gridSpan w:val="10"/>
          </w:tcPr>
          <w:p>
            <w:pPr>
              <w:spacing w:after="0"/>
              <w:rPr>
                <w:sz w:val="18"/>
                <w:szCs w:val="18"/>
                <w:color w:val="auto"/>
              </w:rPr>
            </w:pPr>
          </w:p>
        </w:tc>
        <w:tc>
          <w:tcPr>
            <w:tcW w:w="680" w:type="dxa"/>
            <w:vAlign w:val="bottom"/>
            <w:gridSpan w:val="2"/>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24</w:t>
            </w:r>
          </w:p>
        </w:tc>
        <w:tc>
          <w:tcPr>
            <w:tcW w:w="20" w:type="dxa"/>
            <w:vAlign w:val="bottom"/>
          </w:tcPr>
          <w:p>
            <w:pPr>
              <w:spacing w:after="0"/>
              <w:rPr>
                <w:sz w:val="18"/>
                <w:szCs w:val="18"/>
                <w:color w:val="auto"/>
              </w:rPr>
            </w:pPr>
          </w:p>
        </w:tc>
      </w:tr>
      <w:tr>
        <w:trPr>
          <w:trHeight w:val="20"/>
        </w:trPr>
        <w:tc>
          <w:tcPr>
            <w:tcW w:w="2060" w:type="dxa"/>
            <w:vAlign w:val="bottom"/>
            <w:tcBorders>
              <w:right w:val="single" w:sz="8" w:color="0000FF"/>
            </w:tcBorders>
            <w:gridSpan w:val="7"/>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68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DESCRIPTION OF SUBSCRIPTION RIGHTS</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r>
      <w:tr>
        <w:trPr>
          <w:trHeight w:val="210"/>
        </w:trPr>
        <w:tc>
          <w:tcPr>
            <w:tcW w:w="34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DESCRIPTION OF UNITS</w:t>
            </w:r>
          </w:p>
        </w:tc>
        <w:tc>
          <w:tcPr>
            <w:tcW w:w="6900" w:type="dxa"/>
            <w:vAlign w:val="bottom"/>
            <w:gridSpan w:val="7"/>
          </w:tcPr>
          <w:p>
            <w:pPr>
              <w:spacing w:after="0"/>
              <w:rPr>
                <w:sz w:val="18"/>
                <w:szCs w:val="18"/>
                <w:color w:val="auto"/>
              </w:rPr>
            </w:pPr>
          </w:p>
        </w:tc>
        <w:tc>
          <w:tcPr>
            <w:tcW w:w="680" w:type="dxa"/>
            <w:vAlign w:val="bottom"/>
            <w:gridSpan w:val="2"/>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31</w:t>
            </w:r>
          </w:p>
        </w:tc>
        <w:tc>
          <w:tcPr>
            <w:tcW w:w="20" w:type="dxa"/>
            <w:vAlign w:val="bottom"/>
          </w:tcPr>
          <w:p>
            <w:pPr>
              <w:spacing w:after="0"/>
              <w:rPr>
                <w:sz w:val="18"/>
                <w:szCs w:val="18"/>
                <w:color w:val="auto"/>
              </w:rPr>
            </w:pPr>
          </w:p>
        </w:tc>
      </w:tr>
      <w:tr>
        <w:trPr>
          <w:trHeight w:val="210"/>
        </w:trPr>
        <w:tc>
          <w:tcPr>
            <w:tcW w:w="20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300" w:type="dxa"/>
            <w:vAlign w:val="bottom"/>
            <w:gridSpan w:val="15"/>
          </w:tcPr>
          <w:p>
            <w:pPr>
              <w:spacing w:after="0"/>
              <w:rPr>
                <w:sz w:val="18"/>
                <w:szCs w:val="18"/>
                <w:color w:val="auto"/>
              </w:rPr>
            </w:pPr>
          </w:p>
        </w:tc>
        <w:tc>
          <w:tcPr>
            <w:tcW w:w="680" w:type="dxa"/>
            <w:vAlign w:val="bottom"/>
            <w:gridSpan w:val="2"/>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32</w:t>
            </w:r>
          </w:p>
        </w:tc>
        <w:tc>
          <w:tcPr>
            <w:tcW w:w="20" w:type="dxa"/>
            <w:vAlign w:val="bottom"/>
          </w:tcPr>
          <w:p>
            <w:pPr>
              <w:spacing w:after="0"/>
              <w:rPr>
                <w:sz w:val="18"/>
                <w:szCs w:val="18"/>
                <w:color w:val="auto"/>
              </w:rPr>
            </w:pPr>
          </w:p>
        </w:tc>
      </w:tr>
      <w:tr>
        <w:trPr>
          <w:trHeight w:val="210"/>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4"/>
          </w:tcPr>
          <w:p>
            <w:pPr>
              <w:spacing w:after="0"/>
              <w:rPr>
                <w:sz w:val="18"/>
                <w:szCs w:val="18"/>
                <w:color w:val="auto"/>
              </w:rPr>
            </w:pPr>
          </w:p>
        </w:tc>
        <w:tc>
          <w:tcPr>
            <w:tcW w:w="8900" w:type="dxa"/>
            <w:vAlign w:val="bottom"/>
            <w:gridSpan w:val="17"/>
          </w:tcPr>
          <w:p>
            <w:pPr>
              <w:spacing w:after="0"/>
              <w:rPr>
                <w:sz w:val="18"/>
                <w:szCs w:val="18"/>
                <w:color w:val="auto"/>
              </w:rPr>
            </w:pPr>
          </w:p>
        </w:tc>
        <w:tc>
          <w:tcPr>
            <w:tcW w:w="680" w:type="dxa"/>
            <w:vAlign w:val="bottom"/>
            <w:gridSpan w:val="2"/>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32</w:t>
            </w:r>
          </w:p>
        </w:tc>
        <w:tc>
          <w:tcPr>
            <w:tcW w:w="20" w:type="dxa"/>
            <w:vAlign w:val="bottom"/>
          </w:tcPr>
          <w:p>
            <w:pPr>
              <w:spacing w:after="0"/>
              <w:rPr>
                <w:sz w:val="18"/>
                <w:szCs w:val="18"/>
                <w:color w:val="auto"/>
              </w:rPr>
            </w:pPr>
          </w:p>
        </w:tc>
      </w:tr>
    </w:tbl>
    <w:p>
      <w:pPr>
        <w:sectPr>
          <w:pgSz w:w="11900" w:h="16838" w:orient="portrait"/>
          <w:cols w:equalWidth="0" w:num="1">
            <w:col w:w="11220"/>
          </w:cols>
          <w:pgMar w:left="340" w:top="1440" w:right="339" w:bottom="1440" w:gutter="0" w:footer="0" w:header="0"/>
        </w:sectPr>
      </w:pPr>
    </w:p>
    <w:bookmarkStart w:id="2" w:name="page3"/>
    <w:bookmarkEnd w:id="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document is part of the registration statement on Form S-3 that we filed with the Securities and Exchange Commission (the “SEC”) using a “shelf” registration process and consists of two parts. The first part is this prospectus supplement, including the documents incorporated by reference, which describes the specific terms of this offering. The second part, the accompanying prospectus, including the documents incorporated by reference, gives more general information, some of which may not apply to this offering. Generally, when we refer only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prospectus supplement describes the terms of this offering of Class A common stock and also adds to and updates information contained in the documents incorporated by reference into this prospectus supplement and the accompanying prospectus. To the extent there is a conflict between the information contained in this prospectus supplement, on the one hand, and the information contained in any document incorporated by reference into this prospectus supplement and the accompanying prospectus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into this prospectus supplement and the accompanying prospectus—the statement in the document having the later date modifies or supersedes the earlier statement.</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You should rely only on this prospectus supplement, the accompanying prospectus and the information incorporated or deemed to be incorporated by reference in this prospectus supplement and the accompanying prospectus. We have not authorized, and the underwriter has not authorized, anyone to provide you with information that is in addition to or different from that contained or incorporated by reference in this prospectus supplement and the accompanying prospectus. If anyone provides you with different or inconsistent information, you should not rely on it, and neither we nor the underwriter takes any responsibility for, and provide no assurance as to the reliability of, any other information that others may give you. You should not assume that the information contained or incorporated by reference in this prospectus supplement or the accompanying prospectus is accurate as of any date other than as of the date of this prospectus supplement or the accompanying prospectus, as the case may be, or in the case of the documents incorporated by reference, the date of such documents regardless of the time of delivery of this prospectus supplement and the accompanying prospectus or any sale of our Class A common stock. Our business, financial condition, liquidity, results of operations and prospects may have changed since those dates.</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not offering to sell shares of our Class A common stock in any jurisdiction where the offer or sale is not permitted. The distribution of this prospectus supplement and the offering of the Class A common stock in certain jurisdictions may be restricted by law. Persons outside the United States who come into possession of this prospectus supplement must inform themselves about, and observe any restrictions relating to, the offering of the Class A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references in this prospectus supplement to:</w:t>
      </w:r>
    </w:p>
    <w:p>
      <w:pPr>
        <w:spacing w:after="0" w:line="171" w:lineRule="exact"/>
        <w:rPr>
          <w:sz w:val="20"/>
          <w:szCs w:val="20"/>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“GeneDx Holdings” refer to GeneDx Holdings Corp., a Delaware corporation (f/k/a Sema4 Holdings Corp. (“Sema4 Holdings”)), the issuer of the shares of Class A common stock in this offering and the concurrent registered direct offering;</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GeneDx” refer to GeneDx, LLC, a Delaware limited liability company (formerly, GeneDx, Inc., a New Jersey corporation), which we acquired on April 29, 2022 (the “Acquisition”);</w:t>
      </w:r>
    </w:p>
    <w:p>
      <w:pPr>
        <w:spacing w:after="0" w:line="10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Sema4” refer to Mount Sinai Genomics, Inc. d/b/a as Sema4, a Delaware corporation, which consummated the business combination with CM Life Sciences, Inc. (“CMLS”) on July 22, 2021 (the “Business Combination”);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20"/>
          </w:cols>
          <w:pgMar w:left="320" w:top="1440" w:right="359" w:bottom="1440" w:gutter="0" w:footer="0" w:header="0"/>
        </w:sectPr>
      </w:pPr>
    </w:p>
    <w:bookmarkStart w:id="3" w:name="page4"/>
    <w:bookmarkEnd w:id="3"/>
    <w:p>
      <w:pPr>
        <w:spacing w:after="0" w:line="14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the “Company” and “GeneDx” refer, as the context requires, to:</w:t>
      </w:r>
    </w:p>
    <w:p>
      <w:pPr>
        <w:spacing w:after="0" w:line="171" w:lineRule="exact"/>
        <w:rPr>
          <w:rFonts w:ascii="Times New Roman" w:cs="Times New Roman" w:eastAsia="Times New Roman" w:hAnsi="Times New Roman"/>
          <w:sz w:val="18"/>
          <w:szCs w:val="18"/>
          <w:color w:val="auto"/>
        </w:rPr>
      </w:pPr>
    </w:p>
    <w:p>
      <w:pPr>
        <w:ind w:left="980" w:hanging="324"/>
        <w:spacing w:after="0" w:line="282" w:lineRule="auto"/>
        <w:tabs>
          <w:tab w:leader="none" w:pos="97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Sema4 prior to the Business Combination, and GeneDx Holdings and its consolidated subsidiaries following the consummation of the Business Combination; and</w:t>
      </w:r>
    </w:p>
    <w:p>
      <w:pPr>
        <w:spacing w:after="0" w:line="107"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7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GeneDx prior to the Acquisition, and GeneDx Holdings and its consolidated subsidiaries following the consummation of the Acquisition.</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as described in more detail herein, we are pursuing a new strategic direction focused on our whole exome and genome sequencing business coupled with our Centrellis data platform. We are in the process of exiting our reproductive and women’s health testing business, which we expect to complete by the end of the first quarter of 2023, and we also completed the exit of our somatic tumor testing services during the fourth quarter of 2022. For more information, see “</w:t>
      </w:r>
      <w:r>
        <w:rPr>
          <w:rFonts w:ascii="Times New Roman" w:cs="Times New Roman" w:eastAsia="Times New Roman" w:hAnsi="Times New Roman"/>
          <w:sz w:val="18"/>
          <w:szCs w:val="18"/>
          <w:i w:val="1"/>
          <w:iCs w:val="1"/>
          <w:color w:val="auto"/>
        </w:rPr>
        <w:t>Prospectus Supplement Summary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Sema4 Business Exits</w:t>
      </w:r>
      <w:r>
        <w:rPr>
          <w:rFonts w:ascii="Times New Roman" w:cs="Times New Roman" w:eastAsia="Times New Roman" w:hAnsi="Times New Roman"/>
          <w:sz w:val="18"/>
          <w:szCs w:val="18"/>
          <w:color w:val="auto"/>
        </w:rPr>
        <w:t>.” Unless the context otherwise requires, the description of our business and operations in this prospectus supplement assumes the completion of the exits from somatic tumor testing services and the reproductive and women’s health testing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200"/>
          </w:cols>
          <w:pgMar w:left="320" w:top="1440"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79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779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7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may not contain all the information that you should consider before investing in our Class A common stock . You should read the entire prospectus supplement and the accompanying prospectus and the information incorporated by reference herein and therein carefully, including “Risk Factors” and the financial statements and related notes incorporated by reference herein, before making an investment decision.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GeneDx is focused on delivering personalized and actionable health insights to inform diagnosis, direct treatment and improve drug discovery. We sit at the intersection of diagnostics and data science, pairing decades of genomic expertise with an ability to interpret clinical data at scale. We are uniquely positioned to accelerate the use of genomics and leverage large-scale clinical data to enable precision medicine as the standard of care.</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Legacy GeneDx was founded in 2000 by scientists from the National Institutes of Health whose mission was making genetic testing accessible for patients with rare diseases. The company quickly became a leader in genomics, creating the foundation for how to provide genomic information at scale and pioneering exome and genome sequencing for pediatric rare and ultra-rare genetic disorders. More than 20 years later, we have amassed one of the world’s largest rare disease data sets and remain a leader in genomics. In May 2022, Legacy GeneDx integrated with Sema4 Holdings, adding Centrellis®, a highly innovative health information platform to our portfolio of solutions. Centrellis® integrates digital tools and artificial intelligence and allows us to ingest and synthesize clinical and genomic data to deliver better, more comprehensive health insights.</w:t>
      </w:r>
    </w:p>
    <w:p>
      <w:pPr>
        <w:spacing w:after="0" w:line="13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Today, we are powered by our industry-leading genomic interpretation platform and Centrellis®, our innovative health information platform. We believe exome and genome testing will become the standard of care, transforming healthcare and improving patients’ quality of life for generations by sequencing once and analyzing for a lifetime.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were incorporated on July 10, 2020 as a special purpose acquisition company and a Delaware corporation under the name CM Life Sciences, Inc. On September 4, 2020, CMLS completed its initial public offering. On July 22, 2021, CMLS consummated the Business Combination with Legacy Sema4. In connection with the Business Combination, CMLS changed its name to Sema4 Holdings Corp. On January 9, 2023, Sema4 Holdings Corp. changed its name to GeneDx Holdings Corp.</w:t>
      </w:r>
    </w:p>
    <w:p>
      <w:pPr>
        <w:spacing w:after="0" w:line="12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address is 333 Ludlow Street, North Tower, 8th Floor, Stamford, Connecticut 06902. Our telephone number is +1 (800) 298-6470. Our website address is https://genedx.com. Information contained on our website or connected thereto does not constitute part of, and is not incorporated by reference into, this prospectus supplement or the registration statement of which it forms a part.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Sema4 Business Exits</w:t>
      </w:r>
    </w:p>
    <w:p>
      <w:pPr>
        <w:spacing w:after="0" w:line="17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On August 11, 2022, our board of directors approved a restructuring plan that contemplated exiting our somatic tumor testing services and the closing of our laboratory in Branford, CT, which we completed as of December 31, 2022. In connection with the plan, we also eliminated approximately 250 positions, representing about 13% of our workforce, which, combined with our prior reductions in force during 2022, resulted in the elimination of approximately 30% of the roles from the Legacy Sema4 business.</w:t>
      </w:r>
    </w:p>
    <w:p>
      <w:pPr>
        <w:spacing w:after="0" w:line="1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November 14, 2022, we announced our plan to pursue a new strategic direction focused on our exome and genome sequencing business coupled with our Centrellis data platform. As part of our strategic realignment, on November 11, 2022, our board of directors approved our exit from the reproductive and women’s health testing business, which includes carrier screening, noninvasive prenatal, and other ancillary reproductive testing offerings. We ceased accepting samples for reproductive and women’s health tests on December 14, 2022 and notified our customers impacted by this decision immediately. We expect to exit the operations of the reproductive and women’s health testing services by the end of the first quarter of 2023. As a result of this business exit, we eliminated</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w:t>
      </w:r>
    </w:p>
    <w:p>
      <w:pPr>
        <w:sectPr>
          <w:pgSz w:w="11900" w:h="16838" w:orient="portrait"/>
          <w:cols w:equalWidth="0" w:num="1">
            <w:col w:w="9880"/>
          </w:cols>
          <w:pgMar w:left="1000" w:top="1440" w:right="101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07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7607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approximately 500 positions, representing approximately 32.5% of our workforce, and ceased operations at our Stamford, CT laboratory. Our go-forward testing services will be consolidated and performed out of our Gaithersburg, MD laboratory which was primarily used for our pediatric and rare disease testing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Compliance</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December 28, 2022, we received a written notice from the Listing Qualifications Department of The Nasdaq Stock Market, LLC that we were not in compliance with the minimum bid price requirements set forth in Nasdaq Listing Rule 5450(a)(1) (the “Minimum Bid Price Requirement”) for the last 30 consecutive trading days for continued listing on the Nasdaq Global Select Market (the “Nasdaq”). The Minimum Bid Price Requirement requires listed securities to maintain a minimum bid price of $1.00 per share, and Nasdaq Listing Rule 5810(c)(3)(A) provides that a failure to meet the Minimum Bid Price Requirement exists if the deficiency continues for a period of 30 consecutive trading days.</w:t>
      </w:r>
    </w:p>
    <w:p>
      <w:pPr>
        <w:spacing w:after="0" w:line="13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Pursuant to the Nasdaq Listing Rules, we have been provided an initial compliance period of 180 calendar days to regain compliance with the Minimum Bid Price Requirement. To regain compliance, the closing bid price of our Class A common stock must be at least $1.00 per share for a minimum of 10 consecutive trading days prior to June 26, 2023, and we must otherwise satisfy the Nasdaq’s requirements for listing.</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highlight w:val="white"/>
        </w:rPr>
        <w:t>We intend to monitor the closing bid price of our Class A common stock and consider our available options to resolve the noncompliance with the Minimum Bid Price Requirement. There can be no assurance that we will be able to regain compliance with the Nasdaq’s continued listing requirements or that Nasdaq will grant us a further extension of time to regain compliance, if applicable.</w:t>
      </w:r>
    </w:p>
    <w:p>
      <w:pPr>
        <w:spacing w:after="0" w:line="122" w:lineRule="exact"/>
        <w:rPr>
          <w:sz w:val="20"/>
          <w:szCs w:val="20"/>
          <w:color w:val="auto"/>
        </w:rPr>
      </w:pPr>
    </w:p>
    <w:p>
      <w:pPr>
        <w:ind w:right="1380"/>
        <w:spacing w:after="0" w:line="438" w:lineRule="auto"/>
        <w:rPr>
          <w:sz w:val="20"/>
          <w:szCs w:val="20"/>
          <w:color w:val="auto"/>
        </w:rPr>
      </w:pPr>
      <w:r>
        <w:rPr>
          <w:rFonts w:ascii="Times New Roman" w:cs="Times New Roman" w:eastAsia="Times New Roman" w:hAnsi="Times New Roman"/>
          <w:sz w:val="18"/>
          <w:szCs w:val="18"/>
          <w:color w:val="auto"/>
        </w:rPr>
        <w:t xml:space="preserve">Please see “Risk Factors” below for additional disclosure regarding our compliance with Nasdaq listing qualifications. </w:t>
      </w:r>
      <w:r>
        <w:rPr>
          <w:rFonts w:ascii="Times New Roman" w:cs="Times New Roman" w:eastAsia="Times New Roman" w:hAnsi="Times New Roman"/>
          <w:sz w:val="18"/>
          <w:szCs w:val="18"/>
          <w:b w:val="1"/>
          <w:bCs w:val="1"/>
          <w:i w:val="1"/>
          <w:iCs w:val="1"/>
          <w:color w:val="auto"/>
        </w:rPr>
        <w:t>Name Change</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January 9, 2023, we changed the name of the Company from “Sema4 Holdings Corp.” to “GeneDx Holdings Corp.” pursuant to a certificate of amendment to our certificate of incorporation. In conjunction with the name change, our Class A common stock and warrants also ceased trading under the ticker symbols “SMFR” and “SMFRW” and began trading under new ticker symbols, “WGS” and “WGSWW,” respectively, on the Nasdaq on January 10,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75"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An emerging growth company may take advantage of reduced reporting requirements that are otherwise applicable to public companies. These provisions include, but are not limited to:</w:t>
      </w:r>
    </w:p>
    <w:p>
      <w:pPr>
        <w:spacing w:after="0" w:line="122" w:lineRule="exact"/>
        <w:rPr>
          <w:sz w:val="20"/>
          <w:szCs w:val="20"/>
          <w:color w:val="auto"/>
        </w:rPr>
      </w:pPr>
    </w:p>
    <w:p>
      <w:pPr>
        <w:ind w:left="640" w:right="240" w:hanging="322"/>
        <w:spacing w:after="0" w:line="26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only two years of related “Management’s Discussion and Analysis of Financial Condition and Results of Operations” disclosure in our periodic reports and registration statements</w:t>
      </w:r>
    </w:p>
    <w:p>
      <w:pPr>
        <w:spacing w:after="0" w:line="121" w:lineRule="exact"/>
        <w:rPr>
          <w:rFonts w:ascii="Times New Roman" w:cs="Times New Roman" w:eastAsia="Times New Roman" w:hAnsi="Times New Roman"/>
          <w:sz w:val="18"/>
          <w:szCs w:val="18"/>
          <w:color w:val="auto"/>
        </w:rPr>
      </w:pPr>
    </w:p>
    <w:p>
      <w:pPr>
        <w:ind w:left="640" w:right="32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on the effectiveness of our internal controls over financial reporting</w:t>
      </w:r>
    </w:p>
    <w:p>
      <w:pPr>
        <w:spacing w:after="0" w:line="107" w:lineRule="exact"/>
        <w:rPr>
          <w:rFonts w:ascii="Times New Roman" w:cs="Times New Roman" w:eastAsia="Times New Roman" w:hAnsi="Times New Roman"/>
          <w:sz w:val="18"/>
          <w:szCs w:val="18"/>
          <w:color w:val="auto"/>
        </w:rPr>
      </w:pPr>
    </w:p>
    <w:p>
      <w:pPr>
        <w:ind w:left="640" w:right="28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arrangements in our periodic reports, proxy statements and registration statements; and</w:t>
      </w:r>
    </w:p>
    <w:p>
      <w:pPr>
        <w:spacing w:after="0" w:line="107" w:lineRule="exact"/>
        <w:rPr>
          <w:rFonts w:ascii="Times New Roman" w:cs="Times New Roman" w:eastAsia="Times New Roman" w:hAnsi="Times New Roman"/>
          <w:sz w:val="18"/>
          <w:szCs w:val="18"/>
          <w:color w:val="auto"/>
        </w:rPr>
      </w:pPr>
    </w:p>
    <w:p>
      <w:pPr>
        <w:ind w:left="640" w:right="12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$1.07 billion in annual revenue; (ii) the date we qualify as a “large accelerated filer,” with</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S-4</w:t>
      </w:r>
    </w:p>
    <w:p>
      <w:pPr>
        <w:sectPr>
          <w:pgSz w:w="11900" w:h="16838" w:orient="portrait"/>
          <w:cols w:equalWidth="0" w:num="1">
            <w:col w:w="9900"/>
          </w:cols>
          <w:pgMar w:left="1000" w:top="1440" w:right="99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218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3218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at least $700 million of equity securities held by non-affiliates; (iii) the date on which we have issued, in any three-year period, more than $1.0 billion in non-convertible debt securities; and (iv) December 31, 2025.</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this offering and the concurrent registered direct offering,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9860"/>
          </w:cols>
          <w:pgMar w:left="1000" w:top="1440" w:right="10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13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51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12" w:lineRule="exact"/>
        <w:rPr>
          <w:sz w:val="20"/>
          <w:szCs w:val="20"/>
          <w:color w:val="auto"/>
        </w:rPr>
      </w:pPr>
    </w:p>
    <w:p>
      <w:pPr>
        <w:ind w:left="20"/>
        <w:spacing w:after="0"/>
        <w:tabs>
          <w:tab w:leader="none" w:pos="4440" w:val="left"/>
        </w:tabs>
        <w:rPr>
          <w:sz w:val="20"/>
          <w:szCs w:val="20"/>
          <w:color w:val="auto"/>
        </w:rPr>
      </w:pPr>
      <w:r>
        <w:rPr>
          <w:rFonts w:ascii="Times New Roman" w:cs="Times New Roman" w:eastAsia="Times New Roman" w:hAnsi="Times New Roman"/>
          <w:sz w:val="18"/>
          <w:szCs w:val="18"/>
          <w:b w:val="1"/>
          <w:bCs w:val="1"/>
          <w:color w:val="auto"/>
        </w:rPr>
        <w:t>Securities Offered by Us</w:t>
      </w:r>
      <w:r>
        <w:rPr>
          <w:sz w:val="20"/>
          <w:szCs w:val="20"/>
          <w:color w:val="auto"/>
        </w:rPr>
        <w:tab/>
      </w:r>
      <w:r>
        <w:rPr>
          <w:rFonts w:ascii="Times New Roman" w:cs="Times New Roman" w:eastAsia="Times New Roman" w:hAnsi="Times New Roman"/>
          <w:sz w:val="17"/>
          <w:szCs w:val="17"/>
          <w:color w:val="auto"/>
        </w:rPr>
        <w:t>We are offering 328,571,429 shares of our Class A common stock.</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4440" w:val="left"/>
        </w:tabs>
        <w:rPr>
          <w:sz w:val="20"/>
          <w:szCs w:val="20"/>
          <w:color w:val="auto"/>
        </w:rPr>
      </w:pPr>
      <w:r>
        <w:rPr>
          <w:rFonts w:ascii="Times New Roman" w:cs="Times New Roman" w:eastAsia="Times New Roman" w:hAnsi="Times New Roman"/>
          <w:sz w:val="18"/>
          <w:szCs w:val="18"/>
          <w:b w:val="1"/>
          <w:bCs w:val="1"/>
          <w:color w:val="auto"/>
        </w:rPr>
        <w:t>Option to Purchase Additional Securities</w:t>
      </w:r>
      <w:r>
        <w:rPr>
          <w:sz w:val="20"/>
          <w:szCs w:val="20"/>
          <w:color w:val="auto"/>
        </w:rPr>
        <w:tab/>
      </w:r>
      <w:r>
        <w:rPr>
          <w:rFonts w:ascii="Times New Roman" w:cs="Times New Roman" w:eastAsia="Times New Roman" w:hAnsi="Times New Roman"/>
          <w:sz w:val="17"/>
          <w:szCs w:val="17"/>
          <w:color w:val="auto"/>
        </w:rPr>
        <w:t>We have granted the underwriter an option for a period of 30 days to</w:t>
      </w:r>
    </w:p>
    <w:p>
      <w:pPr>
        <w:spacing w:after="0" w:line="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purchase up to an additional 49,285,714 shares of Class A common stock.</w:t>
      </w:r>
    </w:p>
    <w:p>
      <w:pPr>
        <w:sectPr>
          <w:pgSz w:w="11900" w:h="16838" w:orient="portrait"/>
          <w:cols w:equalWidth="0" w:num="1">
            <w:col w:w="9840"/>
          </w:cols>
          <w:pgMar w:left="1000" w:top="1440" w:right="1059" w:bottom="1440" w:gutter="0" w:footer="0" w:header="0"/>
        </w:sectPr>
      </w:pP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Concurrent Registered Direct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7"/>
          <w:szCs w:val="17"/>
          <w:b w:val="1"/>
          <w:bCs w:val="1"/>
          <w:color w:val="auto"/>
        </w:rPr>
        <w:t>Class A Common Stock to be Outstanding Immediately</w:t>
      </w:r>
    </w:p>
    <w:p>
      <w:pPr>
        <w:spacing w:after="0" w:line="18" w:lineRule="exact"/>
        <w:rPr>
          <w:sz w:val="20"/>
          <w:szCs w:val="20"/>
          <w:color w:val="auto"/>
        </w:rPr>
      </w:pPr>
    </w:p>
    <w:p>
      <w:pPr>
        <w:ind w:left="180" w:right="160"/>
        <w:spacing w:after="0" w:line="226" w:lineRule="auto"/>
        <w:rPr>
          <w:sz w:val="20"/>
          <w:szCs w:val="20"/>
          <w:color w:val="auto"/>
        </w:rPr>
      </w:pPr>
      <w:r>
        <w:rPr>
          <w:rFonts w:ascii="Times New Roman" w:cs="Times New Roman" w:eastAsia="Times New Roman" w:hAnsi="Times New Roman"/>
          <w:sz w:val="18"/>
          <w:szCs w:val="18"/>
          <w:b w:val="1"/>
          <w:bCs w:val="1"/>
          <w:color w:val="auto"/>
        </w:rPr>
        <w:t>After This Offering and the Concurrent Registered Direct Offering</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offering to sell directly to institutional investors affiliated with Keith Meister, a member of our board of directors, in a concurrent registered direct offering, 100,000,000 shares of our Class A common stock at an offering price of $0.35 per share, equal to the public offering price of this offering (comprising 77,663,376 shares that are expected to be issued following the closing of this offering and 22,336,624 shares that are subject to stockholder approval to satisfy Nasdaq requirements with respect to the issuance of such shares of Class A common stock). We refer to this transaction as the concurrent registered direct offering. This offering is not contingent on the closing of the concurrent registered direct offering. See “Underwriting” for more information</w:t>
      </w:r>
    </w:p>
    <w:p>
      <w:pPr>
        <w:spacing w:after="0" w:line="19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810,000,334 shares (or 859,286,048 shares if the underwriter exercises its option to purchase additional shares in full).</w:t>
      </w:r>
    </w:p>
    <w:p>
      <w:pPr>
        <w:spacing w:after="0" w:line="199" w:lineRule="exact"/>
        <w:rPr>
          <w:sz w:val="20"/>
          <w:szCs w:val="20"/>
          <w:color w:val="auto"/>
        </w:rPr>
      </w:pPr>
    </w:p>
    <w:p>
      <w:pPr>
        <w:sectPr>
          <w:pgSz w:w="11900" w:h="16838" w:orient="portrait"/>
          <w:cols w:equalWidth="0" w:num="2">
            <w:col w:w="4260" w:space="200"/>
            <w:col w:w="5380"/>
          </w:cols>
          <w:pgMar w:left="1000" w:top="1440" w:right="1059" w:bottom="1440" w:gutter="0" w:footer="0" w:header="0"/>
          <w:type w:val="continuous"/>
        </w:sectPr>
      </w:pPr>
    </w:p>
    <w:p>
      <w:pPr>
        <w:ind w:left="20"/>
        <w:spacing w:after="0"/>
        <w:tabs>
          <w:tab w:leader="none" w:pos="444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7"/>
          <w:szCs w:val="17"/>
          <w:color w:val="auto"/>
        </w:rPr>
        <w:t>We currently intend to use the net proceeds of this offering and the</w:t>
      </w:r>
    </w:p>
    <w:p>
      <w:pPr>
        <w:spacing w:after="0" w:line="6" w:lineRule="exact"/>
        <w:rPr>
          <w:sz w:val="20"/>
          <w:szCs w:val="20"/>
          <w:color w:val="auto"/>
        </w:rPr>
      </w:pPr>
    </w:p>
    <w:p>
      <w:pPr>
        <w:ind w:left="4460"/>
        <w:spacing w:after="0" w:line="208" w:lineRule="auto"/>
        <w:rPr>
          <w:sz w:val="20"/>
          <w:szCs w:val="20"/>
          <w:color w:val="auto"/>
        </w:rPr>
      </w:pPr>
      <w:r>
        <w:rPr>
          <w:rFonts w:ascii="Times New Roman" w:cs="Times New Roman" w:eastAsia="Times New Roman" w:hAnsi="Times New Roman"/>
          <w:sz w:val="18"/>
          <w:szCs w:val="18"/>
          <w:color w:val="auto"/>
        </w:rPr>
        <w:t>concurrent registered direct offering primarily for general corporate purposes, including additions to working capital, repayment or redemption of existing indebtedness, and strategic investment opportunities. See “</w:t>
      </w:r>
      <w:r>
        <w:rPr>
          <w:rFonts w:ascii="Times New Roman" w:cs="Times New Roman" w:eastAsia="Times New Roman" w:hAnsi="Times New Roman"/>
          <w:sz w:val="18"/>
          <w:szCs w:val="18"/>
          <w:i w:val="1"/>
          <w:iCs w:val="1"/>
          <w:color w:val="auto"/>
        </w:rPr>
        <w:t>Use</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of Proceeds.”</w:t>
      </w:r>
    </w:p>
    <w:p>
      <w:pPr>
        <w:spacing w:after="0" w:line="53" w:lineRule="exact"/>
        <w:rPr>
          <w:sz w:val="20"/>
          <w:szCs w:val="20"/>
          <w:color w:val="auto"/>
        </w:rPr>
      </w:pPr>
    </w:p>
    <w:p>
      <w:pPr>
        <w:ind w:left="20"/>
        <w:spacing w:after="0"/>
        <w:tabs>
          <w:tab w:leader="none" w:pos="444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8"/>
          <w:szCs w:val="18"/>
          <w:color w:val="auto"/>
        </w:rPr>
        <w:t>Investing in our Class A common stock involves significant risks. See the</w:t>
      </w:r>
    </w:p>
    <w:p>
      <w:pPr>
        <w:spacing w:after="0" w:line="6" w:lineRule="exact"/>
        <w:rPr>
          <w:sz w:val="20"/>
          <w:szCs w:val="20"/>
          <w:color w:val="auto"/>
        </w:rPr>
      </w:pPr>
    </w:p>
    <w:p>
      <w:pPr>
        <w:ind w:left="4460" w:right="20"/>
        <w:spacing w:after="0" w:line="231" w:lineRule="auto"/>
        <w:rPr>
          <w:sz w:val="20"/>
          <w:szCs w:val="20"/>
          <w:color w:val="auto"/>
        </w:rPr>
      </w:pPr>
      <w:r>
        <w:rPr>
          <w:rFonts w:ascii="Times New Roman" w:cs="Times New Roman" w:eastAsia="Times New Roman" w:hAnsi="Times New Roman"/>
          <w:sz w:val="17"/>
          <w:szCs w:val="17"/>
          <w:color w:val="auto"/>
        </w:rPr>
        <w:t>disclosure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prospectus supplement and under similar headings in other documents incorporated by reference into this prospectus supplement and the accompanying prospectus.</w:t>
      </w:r>
    </w:p>
    <w:p>
      <w:pPr>
        <w:spacing w:after="0" w:line="46" w:lineRule="exact"/>
        <w:rPr>
          <w:sz w:val="20"/>
          <w:szCs w:val="20"/>
          <w:color w:val="auto"/>
        </w:rPr>
      </w:pPr>
    </w:p>
    <w:p>
      <w:pPr>
        <w:ind w:left="20"/>
        <w:spacing w:after="0"/>
        <w:tabs>
          <w:tab w:leader="none" w:pos="4440" w:val="left"/>
        </w:tabs>
        <w:rPr>
          <w:sz w:val="20"/>
          <w:szCs w:val="20"/>
          <w:color w:val="auto"/>
        </w:rPr>
      </w:pPr>
      <w:r>
        <w:rPr>
          <w:rFonts w:ascii="Times New Roman" w:cs="Times New Roman" w:eastAsia="Times New Roman" w:hAnsi="Times New Roman"/>
          <w:sz w:val="18"/>
          <w:szCs w:val="18"/>
          <w:b w:val="1"/>
          <w:bCs w:val="1"/>
          <w:color w:val="auto"/>
        </w:rPr>
        <w:t>Listing</w:t>
      </w:r>
      <w:r>
        <w:rPr>
          <w:sz w:val="20"/>
          <w:szCs w:val="20"/>
          <w:color w:val="auto"/>
        </w:rPr>
        <w:tab/>
      </w:r>
      <w:r>
        <w:rPr>
          <w:rFonts w:ascii="Times New Roman" w:cs="Times New Roman" w:eastAsia="Times New Roman" w:hAnsi="Times New Roman"/>
          <w:sz w:val="18"/>
          <w:szCs w:val="18"/>
          <w:color w:val="auto"/>
        </w:rPr>
        <w:t>Our Class A common stock is listed on the Nasdaq under the symbol</w:t>
      </w:r>
    </w:p>
    <w:p>
      <w:pPr>
        <w:spacing w:after="0" w:line="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“WGS.”</w:t>
      </w:r>
    </w:p>
    <w:p>
      <w:pPr>
        <w:spacing w:after="0" w:line="246"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The number of shares of our Class A common stock shown above to be outstanding after this offering and the concurrent registered direct offering is based on 381,428,905 shares of our Class A common stock outstanding as of September 30, 2022, and excludes:</w:t>
      </w:r>
    </w:p>
    <w:p>
      <w:pPr>
        <w:spacing w:after="0" w:line="86" w:lineRule="exact"/>
        <w:rPr>
          <w:sz w:val="20"/>
          <w:szCs w:val="20"/>
          <w:color w:val="auto"/>
        </w:rPr>
      </w:pPr>
    </w:p>
    <w:p>
      <w:pPr>
        <w:ind w:left="640" w:right="120" w:hanging="322"/>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21,994,972 shares of Class A common stock issuable upon exercise of warrants outstanding as of September 30, 2022 with an exercise price of $11.50 per share;</w:t>
      </w:r>
    </w:p>
    <w:p>
      <w:pPr>
        <w:spacing w:after="0" w:line="107" w:lineRule="exact"/>
        <w:rPr>
          <w:rFonts w:ascii="Times New Roman" w:cs="Times New Roman" w:eastAsia="Times New Roman" w:hAnsi="Times New Roman"/>
          <w:sz w:val="18"/>
          <w:szCs w:val="18"/>
          <w:color w:val="auto"/>
        </w:rPr>
      </w:pPr>
    </w:p>
    <w:p>
      <w:pPr>
        <w:ind w:left="640" w:right="300" w:hanging="322"/>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32,354,294 shares of Class A common stock issuable upon exercise of options outstanding as of September 30, 2022 with a weighted average exercise price of $1.47 per share;</w:t>
      </w:r>
    </w:p>
    <w:p>
      <w:pPr>
        <w:spacing w:after="0" w:line="107" w:lineRule="exact"/>
        <w:rPr>
          <w:rFonts w:ascii="Times New Roman" w:cs="Times New Roman" w:eastAsia="Times New Roman" w:hAnsi="Times New Roman"/>
          <w:sz w:val="18"/>
          <w:szCs w:val="18"/>
          <w:color w:val="auto"/>
        </w:rPr>
      </w:pPr>
    </w:p>
    <w:p>
      <w:pPr>
        <w:ind w:left="640" w:right="360" w:hanging="322"/>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23,871,012 shares of common stock issuable upon vesting and settlement of restricted stock units (“RSUs”) (excluding the Earn-Out RSUs (as defined below)) outstanding as of September 30, 2022;</w:t>
      </w:r>
    </w:p>
    <w:p>
      <w:pPr>
        <w:spacing w:after="0" w:line="107" w:lineRule="exact"/>
        <w:rPr>
          <w:rFonts w:ascii="Times New Roman" w:cs="Times New Roman" w:eastAsia="Times New Roman" w:hAnsi="Times New Roman"/>
          <w:sz w:val="18"/>
          <w:szCs w:val="18"/>
          <w:color w:val="auto"/>
        </w:rPr>
      </w:pPr>
    </w:p>
    <w:p>
      <w:pPr>
        <w:ind w:left="640" w:right="200" w:hanging="322"/>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19,021,576 shares of Class A common stock that may be issuable (1) to certain former equity holders of Legacy Sema4 upon the achievement of certain vesting conditions and (2) upon the vesting and</w:t>
      </w:r>
    </w:p>
    <w:p>
      <w:pPr>
        <w:sectPr>
          <w:pgSz w:w="11900" w:h="16838" w:orient="portrait"/>
          <w:cols w:equalWidth="0" w:num="1">
            <w:col w:w="9840"/>
          </w:cols>
          <w:pgMar w:left="1000" w:top="1440"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S-6</w:t>
      </w:r>
    </w:p>
    <w:p>
      <w:pPr>
        <w:sectPr>
          <w:pgSz w:w="11900" w:h="16838" w:orient="portrait"/>
          <w:cols w:equalWidth="0" w:num="1">
            <w:col w:w="9840"/>
          </w:cols>
          <w:pgMar w:left="1000" w:top="1440" w:right="105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184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318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40" w:right="200"/>
        <w:spacing w:after="0" w:line="282" w:lineRule="auto"/>
        <w:rPr>
          <w:sz w:val="20"/>
          <w:szCs w:val="20"/>
          <w:color w:val="auto"/>
        </w:rPr>
      </w:pPr>
      <w:r>
        <w:rPr>
          <w:rFonts w:ascii="Times New Roman" w:cs="Times New Roman" w:eastAsia="Times New Roman" w:hAnsi="Times New Roman"/>
          <w:sz w:val="18"/>
          <w:szCs w:val="18"/>
          <w:color w:val="auto"/>
        </w:rPr>
        <w:t>settlement of certain RSU awards (the “Earn-Out RSUs”) that were granted to certain former equity award holders of Legacy Sema4 and certain employees of the Company;</w:t>
      </w:r>
    </w:p>
    <w:p>
      <w:pPr>
        <w:spacing w:after="0" w:line="108" w:lineRule="exact"/>
        <w:rPr>
          <w:sz w:val="20"/>
          <w:szCs w:val="20"/>
          <w:color w:val="auto"/>
        </w:rPr>
      </w:pPr>
    </w:p>
    <w:p>
      <w:pPr>
        <w:ind w:left="640" w:hanging="322"/>
        <w:spacing w:after="0" w:line="26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30,864,198 shares of our Class A common stock that may be issuable to OPKO Health, Inc. (“OPKO”) in connection with the achievement of certain revenue-based milestones for each of the fiscal years ending December 31, 2022 and December 31, 2023; and</w:t>
      </w:r>
    </w:p>
    <w:p>
      <w:pPr>
        <w:spacing w:after="0" w:line="121" w:lineRule="exact"/>
        <w:rPr>
          <w:rFonts w:ascii="Times New Roman" w:cs="Times New Roman" w:eastAsia="Times New Roman" w:hAnsi="Times New Roman"/>
          <w:sz w:val="18"/>
          <w:szCs w:val="18"/>
          <w:color w:val="auto"/>
        </w:rPr>
      </w:pPr>
    </w:p>
    <w:p>
      <w:pPr>
        <w:ind w:left="640" w:right="20" w:hanging="322"/>
        <w:spacing w:after="0" w:line="261"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22,111,381 shares of Class A common stock reserved and available for future issuance as of September 30, 2022, under our equity incentive plan and employee stock purchase plan, consisting of (1) 14,881,582 shares of Class A common stock reserved and available for issuance under our 2021 Equity Incentive Plan as of September 30, 2022, and (2) 7,229,799 shares of Class A common stock reserved for issuance under our 2021 Employee Stock Purchase Plan as of September 30, 2022.</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highlight w:val="white"/>
        </w:rPr>
        <w:t xml:space="preserve">Except as otherwise indicated, the information in this prospectus supplement assumes no exercise of the underwriter’s option to purchase additional shares of our Class A common stock, all </w:t>
      </w:r>
      <w:r>
        <w:rPr>
          <w:rFonts w:ascii="Times New Roman" w:cs="Times New Roman" w:eastAsia="Times New Roman" w:hAnsi="Times New Roman"/>
          <w:sz w:val="18"/>
          <w:szCs w:val="18"/>
          <w:color w:val="auto"/>
        </w:rPr>
        <w:t>100,000,000 shares of our Class A common stock are issued and sold in the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concurrent registered direct offering, </w:t>
      </w:r>
      <w:r>
        <w:rPr>
          <w:rFonts w:ascii="Times New Roman" w:cs="Times New Roman" w:eastAsia="Times New Roman" w:hAnsi="Times New Roman"/>
          <w:sz w:val="18"/>
          <w:szCs w:val="18"/>
          <w:color w:val="auto"/>
          <w:highlight w:val="white"/>
        </w:rPr>
        <w:t>no equity awards were issued under our 2021 Equity Incentive Plan and 2021 Employee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Purchase Plan after September 30, 2022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white"/>
        </w:rPr>
        <w:t xml:space="preserve"> and that no outstanding warrants or options were exercised or terminated, and no outstanding RSUs vested and settled or terminated, after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9860"/>
          </w:cols>
          <w:pgMar w:left="1000" w:top="1440" w:right="1039" w:bottom="1440" w:gutter="0" w:footer="0" w:header="0"/>
        </w:sectPr>
      </w:pPr>
    </w:p>
    <w:bookmarkStart w:id="9" w:name="page10"/>
    <w:bookmarkEnd w:id="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the risk factors described in the “Risk Factors” sections of our Annual Report on Form 10-K for the fiscal year ended December 31, 2021, and our Quarterly Reports on Form 10-Q for the quarterly periods ended March 31, 2022, June 30, 2022, and September 30, 2022, respectively, which reports are incorporated herein by reference, in addition to the factors set forth below and other information contained in or incorporated by reference in this prospectus supplement and the accompanying prospectus before purchasing our securities. We may face additional risks and uncertainties that are not presently known to us, or that we currently deem immaterial, which may also impair our business or financial condition. See “Where You Can Find More Information; Incorporation by Reference” and “Cautionary Note Regarding Forward-Looking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 and the Concurrent Registered Direct Offering</w:t>
      </w:r>
    </w:p>
    <w:p>
      <w:pPr>
        <w:spacing w:after="0" w:line="171"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the concurrent registered direct offering and may not use them effectively.</w:t>
      </w:r>
    </w:p>
    <w:p>
      <w:pPr>
        <w:spacing w:after="0" w:line="10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the concurrent registered direct offering, including for any of the purposes described in the section entitled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and you will not have the opportunity as part of your investment decision to assess whether the net proceeds are being used appropriately. Because of the number and variability of factors that will determine our use of the net proceeds from this offering and the concurrent registered direct offering, their ultimate use may vary substantially from their currently intended use. Our management might not apply our net proceeds in ways that ultimately increase the value of your investment. We expect to use the net proceeds from this offering and the concurrent registered direct offering for general corporate purposes. The failure by our management to apply these funds effectively could harm our business. Pending their use, we plan to invest the net proceeds from this offering and the concurrent registered direct offering in short-term or long-term, investment-grade, interest-bearing securities. These investments may not yield a favorable return to our stockholders. If we do not invest or apply the net proceeds from this offering and the concurrent registered direct offering in ways that enhance stockholder value, we may fail to achieve expected financial results, which could cause our stock price to decline.</w:t>
      </w:r>
    </w:p>
    <w:p>
      <w:pPr>
        <w:spacing w:after="0" w:line="136"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Class A common stock or rights to purchase our Class A common stock, including pursuant to our equity incentive plan and employee stock purchase plan, could result in additional dilution of the percentage ownership of our stockholders and may cause the price of our Class A common stock to decline.</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expect that significant additional capital may be needed in the future to continue our planned operations, including our commercialization efforts related to our Centrellis platform, expanded research and development activities and costs associated with operating as a public company. To raise capital, we may sell our Class A common stock, shares of preferred stock, other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Class A common stock.</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After this offering and the concurrent registered direct offering, we will have 810,000,334 shares of Class A common stock outstanding based on the number of shares of Class A common stock outstanding as of September 30, 2022. This includes the shares that we sell in this offering, which may be resold in the public market immediately without restriction, unless they were purchased in this offering by our affiliates, as that term is defined in Rule 144 under the Securities Act of 1933, as amended (the “Securities Act”), in which case they would only be able to be sold in compliance with the requirements of Rule 144.</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subject to certain exceptions, we, all of our directors and executive officers and certain of our other stockholders, have agreed not to offer, sell, or agree to sell, directly or indirectly, any shares of Class A common stock without the permission of Jefferies LLC for a period of 60 days from the date of this prospectus supplement. We expect that investors in the concurrent registered direct offering will agree to a similar lock-up agreement with us that will apply for a period of six-months following such offering both to the shares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they purchase in such offering and the other shares that they own. However, all of the shares sold in this offering and the remaining shares of our Class A common stock outstanding prior to this will not be subject to lock-up agreements with the underwriter and, except to the extent such shares are held by our affiliates, will be freely tradable without restriction under the Securities Act.</w:t>
      </w:r>
    </w:p>
    <w:p>
      <w:pPr>
        <w:spacing w:after="0" w:line="11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Class A common stock for the foreseeable future, you may not receive any return on investment unless you sell your Class A common stock for a price greater than that which you paid for it.</w:t>
      </w:r>
    </w:p>
    <w:p>
      <w:pPr>
        <w:spacing w:after="0" w:line="1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and expansion of our business and have no current plans to pay any cash dividends for the foreseeable future. The declaration, amount and payment of any future dividends on shares of Class A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may be limited by covenants in connection with any indebtedness we or our subsidiaries may incur. As a result, you may not receive any return on an investment in our Class A common stock unless you sell our Class A common stock for a price greater than that which you paid for it.</w:t>
      </w:r>
    </w:p>
    <w:p>
      <w:pPr>
        <w:spacing w:after="0" w:line="13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our Class A common stock may be delisted and the price of our Class A common stock and our ability to access the capital markets could be negatively impacted.</w:t>
      </w:r>
    </w:p>
    <w:p>
      <w:pPr>
        <w:spacing w:after="0" w:line="10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On December 28, 2022, we received a written notice from the Listing Qualifications Department of The Nasdaq Stock Market, LLC that we were not in compliance with the Minimum Bid Price Requirement set forth in Nasdaq Listing Rule 5450(a)(1) for the last 30 consecutive trading days for continued listing on the Nasdaq. The Minimum Bid Price Requirement requires listed securities to maintain a minimum bid price of $1.00 per share, and Nasdaq Listing Rule 5810(c)(3)(A) provides that a failure to meet the Minimum Bid Price Requirement exists if the deficiency continues for a period of 30 consecutive trading days. The notification provided that we had 180 calendar days, or until June 26, 2023, to regain compliance with the Minimum Bid Price Requirement. To regain compliance, the closing bid price of our Class A common stock must be at least $1.00 per share for a minimum of 10 consecutive trading days prior to June 26, 2023, and we must otherwise satisfy The Nasdaq’s requirements for listing.</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No assurance can be given that we will meet applicable Nasdaq continued listing standards or that future noncompliance will not occur. Failure to meet applicable Nasdaq continued listing standards could result in a delisting of our Class A common stock from the Nasdaq, which could materially reduce the liquidity of our Class A common stock and result in a corresponding material reduction in the price of our Class A common stock. Your ability to sell or purchase our Class A common stock when you wish to do so would also be impaired. In addition, delisting could harm our ability to raise capital through alternative financing sources on terms acceptable to us, or at all, and may result in the inability to expand our business, potential loss of confidence by investors and employees, and fewer business development and strategic investment opportunities.</w:t>
      </w:r>
    </w:p>
    <w:p>
      <w:pPr>
        <w:spacing w:after="0" w:line="12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combined financial statements included in this prospectus supplement are presented for illustrative purposes only and may not be reflective of our operating results and financial condition following completion of the exits from the somatic tumor testing services and the reproductive and women’s health testing business.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unaudited pro forma combined financial statements included in this prospectus supplement are presented for illustrative purposes only and are not necessarily indicative of what our actual financial condition or results of operations would have been had the exits from the COVID-19 and somatic tumor testing services and the reproductive and women’s health testing business or the Acquisition been completed on the dates indicated. The unaudited pro forma combined financial statements are subject to a number of assumptions. Our actual results and financial condition after the exits may differ materially and adversely from the unaudited pro forma combined financial statements. For further discussion, see “</w:t>
      </w:r>
      <w:r>
        <w:rPr>
          <w:rFonts w:ascii="Times New Roman" w:cs="Times New Roman" w:eastAsia="Times New Roman" w:hAnsi="Times New Roman"/>
          <w:sz w:val="18"/>
          <w:szCs w:val="18"/>
          <w:i w:val="1"/>
          <w:iCs w:val="1"/>
          <w:color w:val="auto"/>
        </w:rPr>
        <w:t>Unaudited Pro Forma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80"/>
          </w:cols>
          <w:pgMar w:left="320" w:top="1440" w:right="399" w:bottom="1440" w:gutter="0" w:footer="0" w:header="0"/>
        </w:sectPr>
      </w:pPr>
    </w:p>
    <w:bookmarkStart w:id="11" w:name="page12"/>
    <w:bookmarkEnd w:id="11"/>
    <w:p>
      <w:pPr>
        <w:spacing w:after="0" w:line="13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of pursuing our new strategic direction, and the historical performance of our business may not be indicative of our future operating results and financial condition.</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November 14, 2022, we announced our plan to pursue a new strategic direction focused on our exome and whole genome testing business coupled with our Centrellis data platform. As a result, we have a limited operating history of pursuing this new strategic direction upon which to evaluate our business and forecast our future operating results and financial condition. Furthermore, when considering the historical performance of our business, investors should bear in mind that this information may not be indicative of the future results that investors should expect from us. In particular, our results could vary significantly from our historical results due to the fact that we are exiting our reproductive and women’s health testing business, which we expect to complete by the end of the first quarter of 2023, we completed the exit of our somatic tumor testing services during the fourth quarter of 2022 and we completed the exit of COVID-19 testing services during the first quarter of 2022. Further, prior to the April 2022 closing of the Acquisition, our historical results do not reflect the results of the Legacy GeneDx business that we acquired.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w:t>
      </w:r>
    </w:p>
    <w:p>
      <w:pPr>
        <w:spacing w:after="0" w:line="17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0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since our inception, including net losses of $245.4 million, $241.3 million and $29.7 million for the years ended December 31, 2021, 2020 and 2019, respectively. The net loss was $240.2 million for the nine months ended September 30, 2022. As of September 30, 2022, we had an accumulated deficit of $815.7 million. We expect to continue to generate significant operating losses for the foreseeable future.</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Based on our current estimates of our cash and cash equivalents as of December 31, 2022, we do not believe these resources will be sufficient to fund our operations for the next twelve months. However, we believe that our cash and cash equivalents together with the anticipated net proceeds from this offering and the concurrent registered direct offering will be sufficient in the aggregate to fund our operations for at least the next twelve months, although there can be no guarantee that we will successfully raise all the funding we require in this offering and the concurrent registered direct offering. We can offer no assurance that the concurrent registered direct offering will close, and if it does not close, the amount of our net proceeds will be limited to the net proceeds from this offering.</w:t>
      </w:r>
    </w:p>
    <w:p>
      <w:pPr>
        <w:spacing w:after="0" w:line="133"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Depending on the amount of funding we receive in this offering and the concurrent registered direct offering as well as other factors, we may seek to sell common or preferred equity or convertible debt securities, enter into a credit facility or another form of third-party funding or seek other debt financing, whether in this offering, the concurrent registered direct offering or otherwise. We may also consider raising additional capital in the future to expand our business, to pursue strategic investments, to take advantage of financing opportunities or for other reasons, including to:</w:t>
      </w:r>
    </w:p>
    <w:p>
      <w:pPr>
        <w:spacing w:after="0" w:line="12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our current and future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efforts for our current and future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products and services into other disease indications and clinical applications;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20"/>
          </w:cols>
          <w:pgMar w:left="320" w:top="1440" w:right="359" w:bottom="1440" w:gutter="0" w:footer="0" w:header="0"/>
        </w:sectPr>
      </w:pPr>
    </w:p>
    <w:bookmarkStart w:id="12" w:name="page13"/>
    <w:bookmarkEnd w:id="12"/>
    <w:p>
      <w:pPr>
        <w:spacing w:after="0" w:line="14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payor coverage and reimbursement arrangements with commercial third-party payors and government payors;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offerings, including our sales and marketing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the sales and marketing activities associated with, establishing adoption of our Centrellis solution;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and services in research and early development;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international expansion;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products and services.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Class A common stock.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 If we are unable to raise additional capital, whether in this offering, the concurrent registered direct offering or otherwise, we may be required to undertake cost-cutting measures including delaying or discontinuing certain planned investments or programs.</w:t>
      </w:r>
    </w:p>
    <w:p>
      <w:pPr>
        <w:spacing w:after="0" w:line="13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course of preparing Legacy Sema4’s financial statements for 2020, 2019 and 2018, we identified material weaknesses in our internal control over financial reporting as of December 31, 2020, which could, if not remediated, result in material misstatements in our financial statements. These material weaknesses had not been fully remediated as of September 30, 2022. In addition, during 2021, management identified a misclassification related to certain costs included within cost of services for the years ended December 31, 2021, 2020 and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38" w:lineRule="exact"/>
        <w:rPr>
          <w:sz w:val="20"/>
          <w:szCs w:val="20"/>
          <w:color w:val="auto"/>
        </w:rPr>
      </w:pPr>
    </w:p>
    <w:p>
      <w:pPr>
        <w:ind w:left="660" w:right="5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07"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12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not developed and effectively communicated to our employees our accounting policies and procedures, which resulted in inconsistent practices. Since these entity level programs have a pervasive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80"/>
          </w:cols>
          <w:pgMar w:left="320" w:top="1440" w:right="399" w:bottom="1440" w:gutter="0" w:footer="0" w:header="0"/>
        </w:sectPr>
      </w:pPr>
    </w:p>
    <w:bookmarkStart w:id="13" w:name="page14"/>
    <w:bookmarkEnd w:id="13"/>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 across the organization, management has determined that these circumstances constitute a material weakness.</w:t>
      </w:r>
    </w:p>
    <w:p>
      <w:pPr>
        <w:spacing w:after="0" w:line="171" w:lineRule="exact"/>
        <w:rPr>
          <w:sz w:val="20"/>
          <w:szCs w:val="20"/>
          <w:color w:val="auto"/>
        </w:rPr>
      </w:pPr>
    </w:p>
    <w:p>
      <w:pPr>
        <w:ind w:left="660" w:right="1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07"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we cannot guarantee that the steps we have taken or may subsequently take have been or will be sufficient to remediate the material weaknesses or ensure that our internal controls are effective. As noted above, as of September 30, 2022, the material weaknesses had not yet been fully remediated. Furthermore, we have not yet made any conclusions as to whether the actions we have taken have remediated the material weaknesses as of December 31, 2022 because our testing, evaluation and conclusion on the effectiveness of our internal control over financial reporting as of December 31, 2022 will not be completed until sometime in March 2023.</w:t>
      </w:r>
    </w:p>
    <w:p>
      <w:pPr>
        <w:spacing w:after="0" w:line="13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Times New Roman" w:cs="Times New Roman" w:eastAsia="Times New Roman" w:hAnsi="Times New Roman"/>
          <w:sz w:val="17"/>
          <w:szCs w:val="17"/>
          <w:i w:val="1"/>
          <w:iCs w:val="1"/>
          <w:color w:val="auto"/>
        </w:rPr>
        <w:t>Risk Factors—Risks Related to Being a Public Company—Our internal controls over financial reporting may not be effective and our independent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registered public accounting firm may not be able to certify as to their effectiveness, which could have a significant and adverse effect on our business and reputation.</w:t>
      </w:r>
      <w:r>
        <w:rPr>
          <w:rFonts w:ascii="Times New Roman" w:cs="Times New Roman" w:eastAsia="Times New Roman" w:hAnsi="Times New Roman"/>
          <w:sz w:val="17"/>
          <w:szCs w:val="17"/>
          <w:color w:val="auto"/>
        </w:rPr>
        <w:t>” in our Quarterly Report on Form 10-Q for the quarterly period ended September 30, 2022, which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Operations</w:t>
      </w:r>
    </w:p>
    <w:p>
      <w:pPr>
        <w:spacing w:after="0" w:line="17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correctly billed, and has received prior authorization. The commercial success of our current and future products, if approved, will depend on the extent to which our customers receive coverage and adequate reimbursement from third-party payors, including managed care organizations and government payers (e.g., Medicare and Medicaid).</w:t>
      </w:r>
    </w:p>
    <w:p>
      <w:pPr>
        <w:spacing w:after="0" w:line="1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or CMS, provides reimbursement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significant portion of the payments for our tests are paid or reimbursed under insurance programs with third-party payors. Billing and reimbursement for diagnostic tests is highly complex and closely scrutinized by payors. In particular, billing and reimbursement for multi-gene panel tests and other complex diagnostic tests continues to pose a particular risk of payor audit and potential overpayment obligations. Accurate billing requires sophisticated internal procedures and systems controls and ongoing oversight to ensure compliance with payor requirements</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 party payors on a regular basis, and we have needed additional time and resources to comply with them. We have also experienced, and may continue to experience, delays in or denials of coverage if we do not adequately comply with these requirements.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third-party payors have also requested, and in the future may request, audits of the amounts paid to us. We have been required to repay certain amounts to payers as a result of such audits, including but not limited to the $42 million settlement disclosed in our Form 8-K of December 30, 2022 regarding certain overpayments to Legacy Sema4 allegedly received from a payor, and may be required to repay other payers for alleged overpayments due to lack of compliance with their reimbursement policies. In addition to potential repayment obligations, failure to comply with payor reimbursement policies could result in government enforcement actions and, potentially, exclusion from certain payor programs, which could have a material adverse effect on our business.</w:t>
      </w:r>
    </w:p>
    <w:p>
      <w:pPr>
        <w:spacing w:after="0" w:line="1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Regulatory and Compliance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uncertainty related to healthcare reform, pricing, coverage and reimbursement, which could reduce our revenue.</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Healthcare reform laws, including the Patient Protection and Affordable Care Act or ACA, and the Protecting Access to Medicare Act of 2014, or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if the plaintiffs in any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unless delayed by an act of Congress,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payers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the HIPAA security, privacy and breach notification regulations may increase our costs.</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HIPAA privacy, security and breach notification regulations, which include requirements implemented under the HITECH Act, establish federal standards with respect to the use and disclosure of protected health information, or PHI, by health plans, healthcare providers and healthcare clearinghouses. The HIPAA regulations generally prohibit the use and disclosure of PHI without patient authorization, unless the use or disclosure is for payment, treatment or healthcare operations purposes. In setting standards to protect the confidentiality, integrity and security of PHI, the regulations establish a regulatory framework that addresses a variety of subjects, including:</w:t>
      </w:r>
    </w:p>
    <w:p>
      <w:pPr>
        <w:spacing w:after="0" w:line="129" w:lineRule="exact"/>
        <w:rPr>
          <w:sz w:val="20"/>
          <w:szCs w:val="20"/>
          <w:color w:val="auto"/>
        </w:rPr>
      </w:pPr>
    </w:p>
    <w:p>
      <w:pPr>
        <w:ind w:left="660" w:right="2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under which uses and disclosures of PHI are permitted or required without a written authorization from the patient, including but not limited to treatment purposes, activities to obtain payments for our services, and our healthcare operations activities;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patient’s rights to access, amend and receive an accounting of certain disclosures of PHI;</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notify individuals if there is a breach of their PHI;</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of notices of privacy practices related to the use and disclosure of PHI;</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technical and physical safeguards required of entities that use or receive PHI;</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criteria related to the deidentification and aggregation of PHI;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and protection of electronic PHI.</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also required to comply with applicable state privacy, security and breach notification laws and regulations, which may be more stringent than federal HIPAA requirements. In addition, for healthcare data transfers from other countries relating to citizens and/or residents of those countries, we are also required to comply with the laws of those countries. Furthermore, on December 1, 2022, the U.S. Department of Health and Human Services, Office for Civil Rights (“OCR”) issued a Bulletin highlighting the obligations of HIPAA covered entities and business associates with respect to the use of online tracking technologies. To the extent that a covered entity or business associate permits a tracking technology vendor to collect PHI of its customers, the parties must enter into a business associate agreement. In addition, the PHI collected may only be used for treatment or health care operation purposes, in accordance with HIPAA. The PHI cannot be used for marketing purposes that are not connected with treatment or health care operations absent a HIPAA compliant authorization from each customer whose information is being shared.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00"/>
          </w:cols>
          <w:pgMar w:left="320" w:top="1440" w:right="379" w:bottom="1440" w:gutter="0" w:footer="0" w:header="0"/>
        </w:sectPr>
      </w:pPr>
    </w:p>
    <w:bookmarkStart w:id="16" w:name="page17"/>
    <w:bookmarkEnd w:id="16"/>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Although HIPAA does not provide for private rights of action, HIPAA gives OCR and the Department of Justice the authority to assess significant fines and other penalties for wrongful use or disclosure of PHI, including potential civil and criminal fines and penalties. OCR may require an entity to enter into a settlement agreement which may include ongoing oversight and auditing of a company’s HIPAA compliance program.</w:t>
      </w:r>
    </w:p>
    <w:p>
      <w:pPr>
        <w:spacing w:after="0" w:line="12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In addition,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Despite such protections, unauthorized persons may also be able to gain access to PHI stored in such third-parties computer networks. Any wrongful use or disclosure of PHI by us or such third-parties, including disclosure due to data theft or unauthorized access to us or such third-parties’ computer networks, could subject us to fines or penalties that could adversely affect our business and results of operations. In addition, we distribute PHI to patients in physical form (e.g., test materials and/or test results), which introduces additional risk that human error will result in unauthorized disclosures of PHI. Although HIPAA does not expressly provide for a private right of action for damages, we could also be liable for damages under state privacy laws to private parties for the wrongful use or disclosure of confidential health information or other private personal information.</w:t>
      </w:r>
    </w:p>
    <w:p>
      <w:pPr>
        <w:spacing w:after="0" w:line="11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implemented practices intended to meet the requirements of the HIPAA privacy, security and breach notification regulations, as required by law, but cannot guarantee that such practices fully satisfy all applicable requirements under HIPAA. In addition, the Company has experienced a number of “security incidents” (as defined under HIPAA) that involved the unauthorized disclosure of PHI. A subset of these incidents were determined to be reportable breaches requiring disclosure to OCR, as well as to the affected patients. Moreover, we cannot confirm that we have identified all previous incidents that could constitute reportable breaches, or that the mitigation steps undertaken in response to known breaches are adequate to satisfy applicable regulatory requirements and prevent any future unauthorized disclosures.</w:t>
      </w:r>
    </w:p>
    <w:p>
      <w:pPr>
        <w:spacing w:after="0" w:line="1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noted above, in addition to HIPAA, we are subject to myriad federal, state, and local requirements pertaining to the collection, retention, and disclosure of genetic material. While we endeavor to remain current with such requirements, we can provide no assurance that we are, or will remain, in compliance with all applicable requirements. Failure to comply with privacy and data security requirements could result in a variety of consequences, including significant fines and penalties as well as damage to our reputation, any of which could have a material adverse effect on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activities may subject the Company to risks under federal and state healthcare fraud and abuse laws.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among others, a federal law commonly known as the federal Anti-Kickback Statute, the federal False Claims Act, the federal physician self-referral law, known as the Stark Law, and corollary state laws, which prohibit payments intended to induce healthcare providers or others either to refer patients or to acquire or arrange for or recommend the acquisition of healthcare products or services. These laws constrain the sales, marketing and other promotional activities of manufacturers of medical devices and providers of laboratory services by limiting the kinds of financial arrangements, including sales programs, free goods and services, consulting arrangements, speaker programs, compensated service arrangements (including specimen collection and processing), and other non-monetary compensation (e.g., meals, gifts and other business courtesies), that may be used with hospitals, healthcare providers, laboratories and other potential purchasers or prescribers of medical devices and laboratory services. The federal and state fraud and abuse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Moreover, any claim for reimbursement that is predicated on a violation of the Anti-Kickback Statute may constitute a “false claim” under the False Claims Act (discussed in further detail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4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2018, Congress passed the Eliminating Kickbacks in Recovery Act, EKRA, as part of the Substance Use-Disorder Prevention that Promotes Opioid Recovery and Treatment for Patients and Communities Act. Similar to the Anti-Kickback Statute,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Anti-Kickback Statute,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Anti-Kickback Statute includes certain exceptions that are widely relied upon in the healthcare industry, including safe harbors applicable to certain employment and personal services contracts, and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two courts have addressed the application of EKRA and those courts reached opposite conclusions. One Court ruled that the commission-based compensation provisions of a laboratory employee’s contract did not violate EKRA, while the other court expressly disagreed. Given the conflicting opinions, we cannot be assured that courts in our jurisdiction will reach the same conclusion or that the decision will not be overturned if there is an appeal. We cannot assure you that our relationships with healthcare providers, hospitals, customers, our own sales representatives, or any other party will not be subject to scrutiny or will survive regulatory challenge under EKRA or other anti-kickback laws.</w:t>
      </w:r>
    </w:p>
    <w:p>
      <w:pPr>
        <w:spacing w:after="0" w:line="14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The False Claims Act prohibits knowingly presenting (or causing the presentation of) a false claim for reimbursement by a federal health care program. Violation of the False Claims Act can result in substantial penalties, including treble damages. Moreover, the False Claims Act permits enforcement by </w:t>
      </w:r>
      <w:r>
        <w:rPr>
          <w:rFonts w:ascii="Times New Roman" w:cs="Times New Roman" w:eastAsia="Times New Roman" w:hAnsi="Times New Roman"/>
          <w:sz w:val="18"/>
          <w:szCs w:val="18"/>
          <w:i w:val="1"/>
          <w:iCs w:val="1"/>
          <w:color w:val="auto"/>
        </w:rPr>
        <w:t>qui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tam </w:t>
      </w:r>
      <w:r>
        <w:rPr>
          <w:rFonts w:ascii="Times New Roman" w:cs="Times New Roman" w:eastAsia="Times New Roman" w:hAnsi="Times New Roman"/>
          <w:sz w:val="18"/>
          <w:szCs w:val="18"/>
          <w:color w:val="auto"/>
        </w:rPr>
        <w:t>relators (i.e., whistleblowers), such as competitors, customers, or current/former employees, who will receive a portion of any settlement. As discussed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violations of the Anti-Kickback statute can serve as the basis for enforcement under the False Claims Act. In addition, inaccurate or otherwise improper claims for reimbursement could constitute a false claim, meaning that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(“CERT”), program, and payments may be recouped by CMS if it is determined that they were improperly made. Currently, a small percentage of our revenues are generated by payments from Medicare.</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In addition, while we have and will continue to enter into certain financial arrangements with referral sources, and we endeavor to ensure that such arrangements are designed to comply with applicable rules, laws and regulations, we can offer no assurance that such arrangements will not result in regulatory or enforcement scrutiny.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0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currently include, among others:</w:t>
      </w:r>
    </w:p>
    <w:p>
      <w:pPr>
        <w:spacing w:after="0" w:line="108" w:lineRule="exact"/>
        <w:rPr>
          <w:sz w:val="20"/>
          <w:szCs w:val="20"/>
          <w:color w:val="auto"/>
        </w:rPr>
      </w:pPr>
    </w:p>
    <w:p>
      <w:pPr>
        <w:ind w:left="660" w:right="8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40" w:lineRule="exact"/>
        <w:rPr>
          <w:sz w:val="20"/>
          <w:szCs w:val="20"/>
          <w:color w:val="auto"/>
        </w:rPr>
      </w:pPr>
    </w:p>
    <w:p>
      <w:pPr>
        <w:ind w:left="328" w:right="240" w:hanging="328"/>
        <w:spacing w:after="0" w:line="266"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121" w:lineRule="exact"/>
        <w:rPr>
          <w:rFonts w:ascii="Times New Roman" w:cs="Times New Roman" w:eastAsia="Times New Roman" w:hAnsi="Times New Roman"/>
          <w:sz w:val="18"/>
          <w:szCs w:val="18"/>
          <w:color w:val="auto"/>
        </w:rPr>
      </w:pPr>
    </w:p>
    <w:p>
      <w:pPr>
        <w:ind w:left="328" w:right="220" w:hanging="328"/>
        <w:spacing w:after="0" w:line="266"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Data Protection Regulation, or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121" w:lineRule="exact"/>
        <w:rPr>
          <w:rFonts w:ascii="Times New Roman" w:cs="Times New Roman" w:eastAsia="Times New Roman" w:hAnsi="Times New Roman"/>
          <w:sz w:val="18"/>
          <w:szCs w:val="18"/>
          <w:color w:val="auto"/>
        </w:rPr>
      </w:pPr>
    </w:p>
    <w:p>
      <w:pPr>
        <w:ind w:left="328" w:right="480" w:hanging="328"/>
        <w:spacing w:after="0" w:line="266"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121" w:lineRule="exact"/>
        <w:rPr>
          <w:rFonts w:ascii="Times New Roman" w:cs="Times New Roman" w:eastAsia="Times New Roman" w:hAnsi="Times New Roman"/>
          <w:sz w:val="18"/>
          <w:szCs w:val="18"/>
          <w:color w:val="auto"/>
        </w:rPr>
      </w:pPr>
    </w:p>
    <w:p>
      <w:pPr>
        <w:ind w:left="328" w:hanging="328"/>
        <w:spacing w:after="0" w:line="254"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governing genetic counseling services, relating to, among other things, the adequacy of health care, the practice of medicine and other health professions (including the provision of remote care and cross-coverage practice), equipment, personnel, operating policies and procedures and the prerequisites for ordering laboratory tests. Some states have enacted regulations specific to providing services to patients via telehealth. Such regulations include, among other things, informed consent requirements that some states require providers to obtain from their patients before providing telehealth services. Health professionals who provide professional services using telehealth modalities must, in most instances, hold a valid license to practice the applicable health profession in the state in which the patient is located. In addition, certain states require a healthcare professional providing telehealth to be physically located in the same state as the patient. Any failure to comply with these laws and regulations could result in civil or criminal penalties against telehealth providers.</w:t>
      </w:r>
    </w:p>
    <w:p>
      <w:pPr>
        <w:spacing w:after="0" w:line="137" w:lineRule="exact"/>
        <w:rPr>
          <w:rFonts w:ascii="Times New Roman" w:cs="Times New Roman" w:eastAsia="Times New Roman" w:hAnsi="Times New Roman"/>
          <w:sz w:val="18"/>
          <w:szCs w:val="18"/>
          <w:color w:val="auto"/>
        </w:rPr>
      </w:pPr>
    </w:p>
    <w:p>
      <w:pPr>
        <w:ind w:left="328" w:right="80" w:hanging="328"/>
        <w:spacing w:after="0" w:line="261"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human subjects research regulations, including but not limited to the federal Policy for Protection of Human Subjects (45 C.F.R. Part 46), the FDCA and its applicable implementing regulations at 21 C.F.R. Parts 50, 54, 56, 58 and 812, the International Conference on Harmonization’s (ICH) Guideline on Nonclinical Safety Studies for the Conduct of Human Clinical Trials for Pharmaceuticals and the ICH Guideline on Safety Pharmacology Studies for Human Pharmaceuticals, and all equivalent legal requirements in other jurisdictions.</w:t>
      </w:r>
    </w:p>
    <w:p>
      <w:pPr>
        <w:spacing w:after="0" w:line="125" w:lineRule="exact"/>
        <w:rPr>
          <w:rFonts w:ascii="Times New Roman" w:cs="Times New Roman" w:eastAsia="Times New Roman" w:hAnsi="Times New Roman"/>
          <w:sz w:val="18"/>
          <w:szCs w:val="18"/>
          <w:color w:val="auto"/>
        </w:rPr>
      </w:pPr>
    </w:p>
    <w:p>
      <w:pPr>
        <w:ind w:left="328" w:right="40" w:hanging="328"/>
        <w:spacing w:after="0" w:line="258"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item or service for which payment may be made, in whole or in part, under a federal healthcare program;</w:t>
      </w:r>
    </w:p>
    <w:p>
      <w:pPr>
        <w:spacing w:after="0" w:line="129" w:lineRule="exact"/>
        <w:rPr>
          <w:rFonts w:ascii="Times New Roman" w:cs="Times New Roman" w:eastAsia="Times New Roman" w:hAnsi="Times New Roman"/>
          <w:sz w:val="18"/>
          <w:szCs w:val="18"/>
          <w:color w:val="auto"/>
        </w:rPr>
      </w:pPr>
    </w:p>
    <w:p>
      <w:pPr>
        <w:ind w:left="328" w:right="120" w:hanging="328"/>
        <w:spacing w:after="0" w:line="282"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EKRA, which prohibits payments for referrals to recovery homes, clinical treatment facilities, and laboratories and reaches beyond federal health care programs, to include private insurance;</w:t>
      </w:r>
    </w:p>
    <w:p>
      <w:pPr>
        <w:spacing w:after="0" w:line="107" w:lineRule="exact"/>
        <w:rPr>
          <w:rFonts w:ascii="Times New Roman" w:cs="Times New Roman" w:eastAsia="Times New Roman" w:hAnsi="Times New Roman"/>
          <w:sz w:val="18"/>
          <w:szCs w:val="18"/>
          <w:color w:val="auto"/>
        </w:rPr>
      </w:pPr>
    </w:p>
    <w:p>
      <w:pPr>
        <w:ind w:left="328" w:right="20" w:hanging="328"/>
        <w:spacing w:after="0" w:line="261"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25" w:lineRule="exact"/>
        <w:rPr>
          <w:rFonts w:ascii="Times New Roman" w:cs="Times New Roman" w:eastAsia="Times New Roman" w:hAnsi="Times New Roman"/>
          <w:sz w:val="18"/>
          <w:szCs w:val="18"/>
          <w:color w:val="auto"/>
        </w:rPr>
      </w:pPr>
    </w:p>
    <w:p>
      <w:pPr>
        <w:ind w:left="328" w:right="600" w:hanging="328"/>
        <w:spacing w:after="0" w:line="282"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liability on any person or entity that, among other things, knowingly presents, or causes to be presented, a false or fraudulent claim for payment to the federal government;</w:t>
      </w:r>
    </w:p>
    <w:p>
      <w:pPr>
        <w:spacing w:after="0" w:line="107" w:lineRule="exact"/>
        <w:rPr>
          <w:rFonts w:ascii="Times New Roman" w:cs="Times New Roman" w:eastAsia="Times New Roman" w:hAnsi="Times New Roman"/>
          <w:sz w:val="18"/>
          <w:szCs w:val="18"/>
          <w:color w:val="auto"/>
        </w:rPr>
      </w:pPr>
    </w:p>
    <w:p>
      <w:pPr>
        <w:ind w:left="328" w:right="400" w:hanging="328"/>
        <w:spacing w:after="0" w:line="282"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0888"/>
          </w:cols>
          <w:pgMar w:left="652" w:top="1440" w:right="359" w:bottom="1440" w:gutter="0" w:footer="0" w:header="0"/>
        </w:sectPr>
      </w:pPr>
    </w:p>
    <w:bookmarkStart w:id="19" w:name="page20"/>
    <w:bookmarkEnd w:id="19"/>
    <w:p>
      <w:pPr>
        <w:spacing w:after="0" w:line="140"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is likely to influence the beneficiary’s selection of a particular provider, practitioner or supplier of services reimbursable by Medicare or a state healthcare program, unless an exception applies;</w:t>
      </w:r>
    </w:p>
    <w:p>
      <w:pPr>
        <w:spacing w:after="0" w:line="108" w:lineRule="exact"/>
        <w:rPr>
          <w:sz w:val="20"/>
          <w:szCs w:val="20"/>
          <w:color w:val="auto"/>
        </w:rPr>
      </w:pPr>
    </w:p>
    <w:p>
      <w:pPr>
        <w:ind w:left="660" w:right="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2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12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07" w:lineRule="exact"/>
        <w:rPr>
          <w:rFonts w:ascii="Times New Roman" w:cs="Times New Roman" w:eastAsia="Times New Roman" w:hAnsi="Times New Roman"/>
          <w:sz w:val="18"/>
          <w:szCs w:val="18"/>
          <w:color w:val="auto"/>
        </w:rPr>
      </w:pPr>
    </w:p>
    <w:p>
      <w:pPr>
        <w:ind w:left="660" w:right="300" w:hanging="328"/>
        <w:spacing w:after="0" w:line="25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physician assistants, nurse practitioners, clinical nurse specialists, certified registered nurse anesthetists and certified nurse midwives and teaching hospitals as well as ownership and investment interests held by physicians and their immediate family members.</w:t>
      </w:r>
    </w:p>
    <w:p>
      <w:pPr>
        <w:spacing w:after="0" w:line="1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limit or prohibit the provision of certain payments and other transfers of value to certain covered healthcare providers;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spacing w:after="0" w:line="107"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that may apply to us in the countries in which we operate or may operate in the future; and</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these laws and regulations. While the Company continues to develop and improve its compliance program, we acknowledge that further development will be necessary to help mitigate enforcement risk. Our compliance may also be subject to governmental review, and, in the event of a violation of certain legal requirements, any deficiencies in our policies, procedures, and controls may subject us to increased sanctions that could materially affect our business.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220"/>
          </w:cols>
          <w:pgMar w:left="320" w:top="1440" w:right="359" w:bottom="1440" w:gutter="0" w:footer="0" w:header="0"/>
        </w:sectPr>
      </w:pPr>
    </w:p>
    <w:bookmarkStart w:id="20" w:name="page21"/>
    <w:bookmarkEnd w:id="20"/>
    <w:p>
      <w:pPr>
        <w:spacing w:after="0" w:line="1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by us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Cybersecurity, Privacy and Information Technology</w:t>
      </w:r>
    </w:p>
    <w:p>
      <w:pPr>
        <w:spacing w:after="0" w:line="171"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privacy issues, loss of data and other incidents could continue to compromise sensitive, protected, or personal information related to our business, could prevent it from accessing critical information, and could expose it to regulatory liability, which could adversely affect our business.</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our collection and storing of PHI also includes more sensitive data such as genetic information, as well as personally identifiable information, genetic information, credit card information, financial information, intellectual property and proprietary business information owned or controlled by us or our customers, payers and other parties. We manage and maintain our applications and data utilizing a combination of on-site systems, managed data center systems and cloud based systems. We also communicate PHI and other sensitive patient data through our various customer tools and platforms, and in physical form. In addition to storing and transmitting sensitive data that is subject to multiple legal protections, these applications and data encompass a wide variety of business critical information including research and development information, commercial information, and business and financial information. We continue to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lost or stolen technology, or other disruptions. Any such breach or interruption could compromise our networks and the information stored therein could be accessed by unauthorized parties, altered, publicly disclosed, lost or stolen.</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For example, as noted above, pursuant to guidance recently issued by OCR, HIPAA covered entities and business associates who permit tracking technology vendors to collect PHI from their patients must enter into a HIPAA compliant business associate agreement with that vendor or obtain advance consent. We have utilized, and may continue to utilize, tracking technologies on one or more of our websites, and may not be able to do so in a manner that is consistent with what HIPAA requires. Should we actually violate, or be perceived to have violated, any privacy promises our business makes to patients or consumers, it could be subject to a complaint from an affected individual or interested privacy regulator, such as OCR, the FTC, a state Attorney General, an EU Member State Data Protection Authority, or a data protection authority in another international jurisdiction. This risk is heightened given the sensitivity of the data we collect.</w:t>
      </w:r>
    </w:p>
    <w:p>
      <w:pPr>
        <w:spacing w:after="0" w:line="13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security compromise that causes an apparent privacy violation could also result in legal claims or proceedings; liability under federal, state, foreign, or multinational laws that regulate the privacy, security, or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40"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or UDAP, statutes may also vary significantly.</w:t>
      </w:r>
    </w:p>
    <w:p>
      <w:pPr>
        <w:spacing w:after="0" w:line="1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13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Further, the United Kingdom’s decision to leave the EU, often referred to as Brexit, has created uncertainty with regard to data protection regulation in the United Kingdom. In particular, it is still unclear whether the transfer of personal information from the EU to the United Kingdom will in the future remain lawful under the GDPR. The United Kingdom-EU post-Brexit trade deal provides that transfers of personal information to the United Kingdom will not be treated as restricted transfers to a non-EU country for a period of up to six months from January 1, 2021. However, unless the EU Commission makes an “adequacy finding” with respect to the United Kingdom before the end of that transition period, from that date the United Kingdom will be a “third country” under the GDPR and transfers of personal information from the EU to the United Kingdom will require an “adequacy mechanism,” such as the SCCs.</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200"/>
          </w:cols>
          <w:pgMar w:left="320" w:top="1440" w:right="379" w:bottom="1440" w:gutter="0" w:footer="0" w:header="0"/>
        </w:sectPr>
      </w:pPr>
    </w:p>
    <w:bookmarkStart w:id="22" w:name="page23"/>
    <w:bookmarkEnd w:id="22"/>
    <w:p>
      <w:pPr>
        <w:spacing w:after="0" w:line="1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recently approved the California Privacy Rights Act of 2020, or CPRA, that went into effect on January 1, 2023. The CPRA, among other things, amends the CCPA to give California residents the ability to limit the use of their sensitive information, provides for penalties for CPRA violations concerning California residents under the age of 16, and establishes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our potential liability and adversely affect our business, results of operations, and financial condition.</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STATEMENTS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are based on the historical consolidated financial statements of the Company and historical combined financial statements of Legacy GeneDx and are adjusted to give effect to the completed Acquisition as well as the closure or abandonment of the COVID and somatic tumor testing services and the reproductive and women’s health business previously announced which have either occurred or are probable of occurring.</w:t>
      </w:r>
    </w:p>
    <w:p>
      <w:pPr>
        <w:spacing w:after="0" w:line="12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December 16, 2021 and August 15, 2022, the Company announced its decision to exit COVID-19 and somatic tumor testing services, respectively. Similarly, on November 11, 2022, the board of directors of the Company unanimously approved the Company’s exit from the reproductive and women’s health testing business activities, which includes carrier screening, noninvasive prenatal, and other ancillary reproductive testing offerings. These are referred to as “Exited Activities” in the statements below. On November 14, 2022, the Company announced its plan to pursue a new strategic direction focused on the Company’s exome and whole genome testing business coupled with the Company’s Centrellis data platform.</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combined statements of operations combine the historical consolidated statements of comprehensive loss of the Company, which includes the results of Legacy Sema4 and the results of Legacy GeneDx subsequent to the April 29, 2022 Acquisition, and the applicable pre-Acquisition periods of combined statements of comprehensive loss of Legacy GeneDx, giving effect to the Acquisition, as if the Acquisition had been consummated on January 1, 2021, in addition to the adjustments for the Exited Activities.</w:t>
      </w:r>
    </w:p>
    <w:p>
      <w:pPr>
        <w:spacing w:after="0" w:line="12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not presented a pro forma balance sheet as of September 30, 2022 since the assets and liabilities of Legacy GeneDx are already included in the consolidated balance sheet as of September 30, 2022. In addition, at the present time, the Exited Activities do not reflect selling or divesting such businesses, the individual assets and liabilities associated with the Exited Activities will remain as assets and liabilities of the Company. We continue to evaluate the ultimate disposition of the assets of Exited Activities, which may include the sale, return to suppliers, redirect the usage to ongoing business activities or abandonment, and will record the financial effects of the Exited Activities as our estimates evolve.</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unaudited pro forma combined financial statements should be read in conjunction with our financial statements and the related notes included in our Annual Report on Form 10-K for the year ended December 31, 2021 and our Quarterly Reports on Form 10-Q for the first, second and third quarters ended in 2022, which are incorporated by reference into this prospectus supplement. Subsequent to the unaudited pro forma combined financial statements presented, as part of its strategic realignment, the Company announced the elimination of approximately 500 positions, representing approximately 32.5% of its workforce. We have also identified indicators of impairment in the fourth quarter of 2022 related to the Exited Activities and are in the process of performing a detailed evaluation. Our evaluation will consider the fair value of the assets of the Exited Activities noted above. In addition, and in response to the significant declines in our share price through December 31, 2022, we will also evaluate the goodwill and long-lived intangible assets of the Company for impairment. Additionally, certain current and non-current assets previously utilized in the operation of reproductive and women’s health and somatic tumor testing services, primarily fixed assets and inventory, may be subject to fair market value adjustments in the future periods. As discussed above, we are evaluating the ultimate disposition of these assets, which may include a sale of any assets not expected to be used in our planned operations. Any impairments or fair market value adjustments to the carrying value of assets, if identified, will be recorded in the fourth quarter of 2022.</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unaudited pro forma combined financial statements update and supplement the unaudited pro forma combined financial information previously filed in the Company’s Current Reports on Form 8-K filed with the SEC on May 2, 2022 and August 26, 2022, which reports are incorporated by reference in this prospectus supplement. To the extent that information in the unaudited pro forma combined financial statements differs from or updates information contained in those Current Reports on Form 8-K, the information in the unaudited pro forma combined financial statements supersedes or supplements the information in those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200"/>
          </w:cols>
          <w:pgMar w:left="320" w:top="1440" w:right="379" w:bottom="1440" w:gutter="0" w:footer="0" w:header="0"/>
        </w:sectPr>
      </w:pPr>
    </w:p>
    <w:bookmarkStart w:id="24" w:name="page25"/>
    <w:bookmarkEnd w:id="24"/>
    <w:p>
      <w:pPr>
        <w:spacing w:after="0" w:line="13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COMBINED STATEMENT OF OPERATIONS FOR THE NINE MONTHS ENDED SEPTEMBER 30, 2022 (in thousands, except share and per share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5"/>
          </w:tcPr>
          <w:p>
            <w:pPr>
              <w:ind w:left="78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22"/>
        </w:trPr>
        <w:tc>
          <w:tcPr>
            <w:tcW w:w="44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77"/>
              <w:spacing w:after="0" w:line="122"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Exited Activities</w:t>
            </w:r>
          </w:p>
        </w:tc>
        <w:tc>
          <w:tcPr>
            <w:tcW w:w="1220" w:type="dxa"/>
            <w:vAlign w:val="bottom"/>
            <w:tcBorders>
              <w:top w:val="single" w:sz="8" w:color="auto"/>
            </w:tcBorders>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Pro Forma Statement</w:t>
            </w:r>
          </w:p>
        </w:tc>
      </w:tr>
      <w:tr>
        <w:trPr>
          <w:trHeight w:val="189"/>
        </w:trPr>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0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Legacy GeneDx </w:t>
            </w:r>
            <w:r>
              <w:rPr>
                <w:rFonts w:ascii="Times New Roman" w:cs="Times New Roman" w:eastAsia="Times New Roman" w:hAnsi="Times New Roman"/>
                <w:sz w:val="16"/>
                <w:szCs w:val="16"/>
                <w:b w:val="1"/>
                <w:bCs w:val="1"/>
                <w:color w:val="auto"/>
                <w:vertAlign w:val="superscript"/>
              </w:rPr>
              <w:t>(A)</w:t>
            </w:r>
          </w:p>
        </w:tc>
        <w:tc>
          <w:tcPr>
            <w:tcW w:w="160" w:type="dxa"/>
            <w:vAlign w:val="bottom"/>
          </w:tcPr>
          <w:p>
            <w:pPr>
              <w:spacing w:after="0"/>
              <w:rPr>
                <w:sz w:val="16"/>
                <w:szCs w:val="16"/>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 xml:space="preserve">Adjustments </w:t>
            </w:r>
            <w:r>
              <w:rPr>
                <w:rFonts w:ascii="Times New Roman" w:cs="Times New Roman" w:eastAsia="Times New Roman" w:hAnsi="Times New Roman"/>
                <w:sz w:val="16"/>
                <w:szCs w:val="16"/>
                <w:b w:val="1"/>
                <w:bCs w:val="1"/>
                <w:color w:val="auto"/>
                <w:vertAlign w:val="superscript"/>
              </w:rPr>
              <w:t>(B)</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1"/>
              </w:rPr>
              <w:t xml:space="preserve">Adjustments </w:t>
            </w:r>
            <w:r>
              <w:rPr>
                <w:rFonts w:ascii="Times New Roman" w:cs="Times New Roman" w:eastAsia="Times New Roman" w:hAnsi="Times New Roman"/>
                <w:sz w:val="16"/>
                <w:szCs w:val="16"/>
                <w:b w:val="1"/>
                <w:bCs w:val="1"/>
                <w:color w:val="auto"/>
                <w:w w:val="91"/>
                <w:vertAlign w:val="superscript"/>
              </w:rPr>
              <w:t>(H)</w:t>
            </w:r>
          </w:p>
        </w:tc>
        <w:tc>
          <w:tcPr>
            <w:tcW w:w="160" w:type="dxa"/>
            <w:vAlign w:val="bottom"/>
          </w:tcPr>
          <w:p>
            <w:pPr>
              <w:spacing w:after="0"/>
              <w:rPr>
                <w:sz w:val="16"/>
                <w:szCs w:val="16"/>
                <w:color w:val="auto"/>
              </w:rPr>
            </w:pPr>
          </w:p>
        </w:tc>
        <w:tc>
          <w:tcPr>
            <w:tcW w:w="10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of Operations</w:t>
            </w:r>
          </w:p>
        </w:tc>
      </w:tr>
      <w:tr>
        <w:trPr>
          <w:trHeight w:val="156"/>
        </w:trPr>
        <w:tc>
          <w:tcPr>
            <w:tcW w:w="4400" w:type="dxa"/>
            <w:vAlign w:val="bottom"/>
            <w:tcBorders>
              <w:top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Revenue:</w:t>
            </w: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r>
      <w:tr>
        <w:trPr>
          <w:trHeight w:val="170"/>
        </w:trPr>
        <w:tc>
          <w:tcPr>
            <w:tcW w:w="4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Diagnostic test revenue</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167,989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48,804</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gridSpan w:val="2"/>
          </w:tcPr>
          <w:p>
            <w:pPr>
              <w:jc w:val="right"/>
              <w:ind w:right="206"/>
              <w:spacing w:after="0"/>
              <w:rPr>
                <w:sz w:val="20"/>
                <w:szCs w:val="20"/>
                <w:color w:val="auto"/>
              </w:rPr>
            </w:pPr>
            <w:r>
              <w:rPr>
                <w:rFonts w:ascii="Times New Roman" w:cs="Times New Roman" w:eastAsia="Times New Roman" w:hAnsi="Times New Roman"/>
                <w:sz w:val="13"/>
                <w:szCs w:val="13"/>
                <w:color w:val="auto"/>
              </w:rPr>
              <w:t xml:space="preserve">(544) </w:t>
            </w:r>
            <w:r>
              <w:rPr>
                <w:rFonts w:ascii="Times New Roman" w:cs="Times New Roman" w:eastAsia="Times New Roman" w:hAnsi="Times New Roman"/>
                <w:sz w:val="10"/>
                <w:szCs w:val="10"/>
                <w:b w:val="1"/>
                <w:bCs w:val="1"/>
                <w:color w:val="auto"/>
              </w:rPr>
              <w:t>C</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(95,638)</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120,611</w:t>
            </w:r>
          </w:p>
        </w:tc>
      </w:tr>
      <w:tr>
        <w:trPr>
          <w:trHeight w:val="181"/>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revenue</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5,355</w:t>
            </w:r>
          </w:p>
        </w:tc>
      </w:tr>
      <w:tr>
        <w:trPr>
          <w:trHeight w:val="163"/>
        </w:trPr>
        <w:tc>
          <w:tcPr>
            <w:tcW w:w="44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3"/>
                <w:szCs w:val="13"/>
                <w:color w:val="auto"/>
              </w:rPr>
              <w:t>Total revenue</w:t>
            </w: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173,344</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48,804</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3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(95,638)</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125,966</w:t>
            </w:r>
          </w:p>
        </w:tc>
      </w:tr>
      <w:tr>
        <w:trPr>
          <w:trHeight w:val="175"/>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services</w:t>
            </w: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183,768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34,615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36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D</w:t>
            </w: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(135,656)</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83,223</w:t>
            </w:r>
          </w:p>
        </w:tc>
      </w:tr>
      <w:tr>
        <w:trPr>
          <w:trHeight w:val="163"/>
        </w:trPr>
        <w:tc>
          <w:tcPr>
            <w:tcW w:w="4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Total gross profit (loss)</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(10,424)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14,189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(1,040)</w:t>
            </w: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40,018</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42,743</w:t>
            </w:r>
          </w:p>
        </w:tc>
      </w:tr>
      <w:tr>
        <w:trPr>
          <w:trHeight w:val="16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3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D</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(11,143)</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56,645</w:t>
            </w:r>
          </w:p>
        </w:tc>
      </w:tr>
      <w:tr>
        <w:trPr>
          <w:trHeight w:val="181"/>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Selling and marketing</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1,857</w:t>
            </w:r>
          </w:p>
        </w:tc>
        <w:tc>
          <w:tcPr>
            <w:tcW w:w="3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6"/>
              </w:rPr>
              <w:t>D, E</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(66,751)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45,923</w:t>
            </w:r>
          </w:p>
        </w:tc>
      </w:tr>
      <w:tr>
        <w:trPr>
          <w:trHeight w:val="170"/>
        </w:trPr>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162,681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4,938</w:t>
            </w:r>
          </w:p>
        </w:tc>
        <w:tc>
          <w:tcPr>
            <w:tcW w:w="3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6"/>
              </w:rPr>
              <w:t>D, E</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(24,290)</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165,369</w:t>
            </w:r>
          </w:p>
        </w:tc>
      </w:tr>
      <w:tr>
        <w:trPr>
          <w:trHeight w:val="181"/>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Related party expenses</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3,907</w:t>
            </w:r>
          </w:p>
        </w:tc>
      </w:tr>
      <w:tr>
        <w:trPr>
          <w:trHeight w:val="170"/>
        </w:trPr>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2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206"/>
              <w:spacing w:after="0"/>
              <w:rPr>
                <w:sz w:val="20"/>
                <w:szCs w:val="20"/>
                <w:color w:val="auto"/>
              </w:rPr>
            </w:pPr>
            <w:r>
              <w:rPr>
                <w:rFonts w:ascii="Times New Roman" w:cs="Times New Roman" w:eastAsia="Times New Roman" w:hAnsi="Times New Roman"/>
                <w:sz w:val="13"/>
                <w:szCs w:val="13"/>
                <w:color w:val="auto"/>
              </w:rPr>
              <w:t xml:space="preserve">(5,604) </w:t>
            </w:r>
            <w:r>
              <w:rPr>
                <w:rFonts w:ascii="Times New Roman" w:cs="Times New Roman" w:eastAsia="Times New Roman" w:hAnsi="Times New Roman"/>
                <w:sz w:val="10"/>
                <w:szCs w:val="10"/>
                <w:b w:val="1"/>
                <w:bCs w:val="1"/>
                <w:color w:val="auto"/>
              </w:rPr>
              <w:t>E</w:t>
            </w:r>
          </w:p>
        </w:tc>
        <w:tc>
          <w:tcPr>
            <w:tcW w:w="12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Asset impairment charges</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3"/>
                <w:szCs w:val="13"/>
                <w:color w:val="auto"/>
              </w:rPr>
              <w:t xml:space="preserve">(5,121) </w:t>
            </w:r>
            <w:r>
              <w:rPr>
                <w:rFonts w:ascii="Times New Roman" w:cs="Times New Roman" w:eastAsia="Times New Roman" w:hAnsi="Times New Roman"/>
                <w:sz w:val="10"/>
                <w:szCs w:val="10"/>
                <w:b w:val="1"/>
                <w:bCs w:val="1"/>
                <w:color w:val="auto"/>
              </w:rPr>
              <w:t>F</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4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Loss from operations</w:t>
            </w: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(342,770)</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(31,764)</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2,426</w:t>
            </w:r>
          </w:p>
        </w:tc>
        <w:tc>
          <w:tcPr>
            <w:tcW w:w="3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143,007</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(229,101)</w:t>
            </w:r>
          </w:p>
        </w:tc>
      </w:tr>
      <w:tr>
        <w:trPr>
          <w:trHeight w:val="16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 in fair market value of warrant and earn-out contingent liabilities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54,350</w:t>
            </w:r>
          </w:p>
        </w:tc>
      </w:tr>
      <w:tr>
        <w:trPr>
          <w:trHeight w:val="181"/>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Interest income</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w:t>
            </w:r>
          </w:p>
        </w:tc>
      </w:tr>
      <w:tr>
        <w:trPr>
          <w:trHeight w:val="170"/>
        </w:trPr>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Interest expense</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(2,404)</w:t>
            </w:r>
          </w:p>
        </w:tc>
      </w:tr>
      <w:tr>
        <w:trPr>
          <w:trHeight w:val="181"/>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 income (expense), net</w:t>
            </w: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(3,653)</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(3,595)</w:t>
            </w:r>
          </w:p>
        </w:tc>
      </w:tr>
      <w:tr>
        <w:trPr>
          <w:trHeight w:val="163"/>
        </w:trPr>
        <w:tc>
          <w:tcPr>
            <w:tcW w:w="44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Total other income (expense), net</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53,409</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(3,653)</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49,756</w:t>
            </w:r>
          </w:p>
        </w:tc>
      </w:tr>
      <w:tr>
        <w:trPr>
          <w:trHeight w:val="175"/>
        </w:trPr>
        <w:tc>
          <w:tcPr>
            <w:tcW w:w="4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loss before income taxes</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(289,361)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2,429</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139,354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(179,345)</w:t>
            </w:r>
          </w:p>
        </w:tc>
      </w:tr>
      <w:tr>
        <w:trPr>
          <w:trHeight w:val="170"/>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Provision or benefit for income taxes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206"/>
              <w:spacing w:after="0"/>
              <w:rPr>
                <w:sz w:val="20"/>
                <w:szCs w:val="20"/>
                <w:color w:val="auto"/>
              </w:rPr>
            </w:pPr>
            <w:r>
              <w:rPr>
                <w:rFonts w:ascii="Times New Roman" w:cs="Times New Roman" w:eastAsia="Times New Roman" w:hAnsi="Times New Roman"/>
                <w:sz w:val="13"/>
                <w:szCs w:val="13"/>
                <w:color w:val="auto"/>
              </w:rPr>
              <w:t xml:space="preserve">(60,948) </w:t>
            </w:r>
            <w:r>
              <w:rPr>
                <w:rFonts w:ascii="Times New Roman" w:cs="Times New Roman" w:eastAsia="Times New Roman" w:hAnsi="Times New Roman"/>
                <w:sz w:val="10"/>
                <w:szCs w:val="10"/>
                <w:b w:val="1"/>
                <w:bCs w:val="1"/>
                <w:color w:val="auto"/>
              </w:rPr>
              <w:t>G</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0"/>
        </w:trPr>
        <w:tc>
          <w:tcPr>
            <w:tcW w:w="44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loss</w:t>
            </w: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(240,219)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(58,519)</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(179,345)</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149"/>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shares outstanding, basic and diluted</w:t>
            </w:r>
          </w:p>
        </w:tc>
        <w:tc>
          <w:tcPr>
            <w:tcW w:w="2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321,461,266</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56,190,476</w:t>
            </w:r>
          </w:p>
        </w:tc>
        <w:tc>
          <w:tcPr>
            <w:tcW w:w="3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377,651,742</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5"/>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and diluted net loss per share</w:t>
            </w: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(0.47)</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7"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four months operating results of Legacy GeneDx during the pre-Acquisition period.</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acquisition proforma adjustments to give effect to the completed Acquisition as if it had been consummated on January 1, 2021.</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relates to intercompany revenue elimination for Legacy GeneDx revenue earned for services performed for BioReference Laboratories, Inc prior to the closing of the Acquisition.</w:t>
      </w:r>
    </w:p>
    <w:p>
      <w:pPr>
        <w:spacing w:after="0" w:line="14" w:lineRule="exact"/>
        <w:rPr>
          <w:rFonts w:ascii="Times New Roman" w:cs="Times New Roman" w:eastAsia="Times New Roman" w:hAnsi="Times New Roman"/>
          <w:sz w:val="14"/>
          <w:szCs w:val="14"/>
          <w:color w:val="auto"/>
        </w:rPr>
      </w:pPr>
    </w:p>
    <w:p>
      <w:pPr>
        <w:ind w:left="340" w:right="20" w:hanging="332"/>
        <w:spacing w:after="0" w:line="257" w:lineRule="auto"/>
        <w:tabs>
          <w:tab w:leader="none" w:pos="33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relate to stock-based compensation expense for inducement awards granted to GeneDx employees. On May 2, 2022, the compensation committee of the Company’s board of directors granted newly-hired Legacy GeneDx employees inducement stock options to purchase an aggregate of 4,932,132 shares of the Company’s Class A common stock and 4,285,208 RSUs as inducements material to each employee entering into employment with the Company. The stock options have an exercise price of $2.20 per share, which was equal to the closing price of the Company’s Class A common stock on the grant date. The stock options and RSUs granted to the newly-hired employees other than the Company’s Chief Executive Officer, Chief Growth Officer, and Chief Financial Officer (formerly, the Senior Vice President, Operations) will vest with respect to 25% of the underlying shares on April 29, 2023, and will vest with respect to the remaining underlying shares in equal quarterly installments thereafter through April 29, 2026, in each case subject to the new employee’s continued service with the Company. The stock options and RSUs granted to the Company’s Chief Executive Officer, Chief Growth Officer, and Chief Financial Officer will vest with respect to 25% of the underlying shares on April 29, 2023 and 25% of the underlying shares on April 29, 2024, and will vest with respect to the remaining underlying shares in equal quarterly installments thereafter through April 29, 2026, in each case subject to his or her continued service with the Company. Each stock option has a 10-year term. The stock options and RSUs are subject to the terms and conditions identical to those of the Company’s 2021 Equity Incentive Plan and the form of stock option agreement or RSU agreement under such plan, as applicable, covering the grant. The adjustment includes elimination of $3.9 million in legacy stock-based compensation expense and recording of $7.0 million based on the inducement awards as discussed above.</w:t>
      </w:r>
    </w:p>
    <w:p>
      <w:pPr>
        <w:spacing w:after="0" w:line="7"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Pre-Acquisition period amortization expense related to the legacy intangible assets was eliminated and replaced with revised amortization expense based on the fair value of intangible assets recorded in connection with the Acquisition. A total of $196 million of intangible assets were recorded based on the Company’s preliminary purchase accounting assessments. This balance consists of tradenames and trademarks, developed technology and customer relationships of $50 million, $48 million and $98 million, respectively. Further details of the intangible assets are disclosed in the Company’s Quarterly Reports on Form 10-Q for the second and third quarters ended in 2022, which are incorporated by reference into this prospectus supplement. Related amortization expense for customer relationships of $1.6 million is recorded as an adjustment in selling and marketing and amortization expense for tradenames and trademarks and developed technology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35"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4"/>
          <w:szCs w:val="14"/>
          <w:color w:val="auto"/>
        </w:rPr>
        <w:t>$3.1 million in total is recorded as an adjustment in general and administrative. The adjustment was offset by elimination of the legacy intangible asset amortization of $5.6 million.</w:t>
      </w:r>
    </w:p>
    <w:p>
      <w:pPr>
        <w:spacing w:after="0" w:line="27" w:lineRule="exact"/>
        <w:rPr>
          <w:sz w:val="20"/>
          <w:szCs w:val="20"/>
          <w:color w:val="auto"/>
        </w:rPr>
      </w:pPr>
    </w:p>
    <w:p>
      <w:pPr>
        <w:ind w:left="332" w:hanging="332"/>
        <w:spacing w:after="0" w:line="256" w:lineRule="auto"/>
        <w:tabs>
          <w:tab w:leader="none" w:pos="319"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Legacy GeneDx recorded a goodwill impairment charge of $5.1 million based on the difference between the carrying value of the business and its estimated fair value based on the fair value of consideration expected to be paid. The Company deemed the adjustment appropriate as the Company does not carry over the legacy goodwill balance recorded. Further details of the goodwill balance are disclosed in the Company’s Quarterly Reports on Form 10-Q for the second and third quarters ended in 2022, which are incorporated by reference into this prospectus supplement.</w:t>
      </w:r>
    </w:p>
    <w:p>
      <w:pPr>
        <w:spacing w:after="0" w:line="1" w:lineRule="exact"/>
        <w:rPr>
          <w:rFonts w:ascii="Times New Roman" w:cs="Times New Roman" w:eastAsia="Times New Roman" w:hAnsi="Times New Roman"/>
          <w:sz w:val="14"/>
          <w:szCs w:val="14"/>
          <w:color w:val="auto"/>
        </w:rPr>
      </w:pPr>
    </w:p>
    <w:p>
      <w:pPr>
        <w:ind w:left="332" w:right="180" w:hanging="332"/>
        <w:spacing w:after="0" w:line="261" w:lineRule="auto"/>
        <w:tabs>
          <w:tab w:leader="none" w:pos="329"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relates to elimination of the income tax benefit of $49.1 million for the Company because the acquisition is assumed to have occurred on January 1, 2021 and the tax benefit would be realized in the year of acquisition assumed. Legacy GeneDx tax benefit of $11.8 million was also eliminated as the benefit did not transfer over from OPKO.</w:t>
      </w:r>
    </w:p>
    <w:p>
      <w:pPr>
        <w:ind w:left="332" w:right="400" w:hanging="332"/>
        <w:spacing w:after="0" w:line="263" w:lineRule="auto"/>
        <w:tabs>
          <w:tab w:leader="none" w:pos="329"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in this column relate to revenue and expenses that are specifically attributable to operations of reproductive and women’s health testing, COVID-19 and somatic testing businesses that have been exited. Any corporate overhead is excluded from the adjustments as it is not specifically attributable to the exited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32"/>
          </w:cols>
          <w:pgMar w:left="328" w:top="1440" w:right="439" w:bottom="1440" w:gutter="0" w:footer="0" w:header="0"/>
        </w:sectPr>
      </w:pPr>
    </w:p>
    <w:bookmarkStart w:id="26" w:name="page27"/>
    <w:bookmarkEnd w:id="2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22"/>
        </w:trPr>
        <w:tc>
          <w:tcPr>
            <w:tcW w:w="4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right"/>
              <w:ind w:right="257"/>
              <w:spacing w:after="0" w:line="122"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Exited Activities</w:t>
            </w:r>
          </w:p>
        </w:tc>
        <w:tc>
          <w:tcPr>
            <w:tcW w:w="120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b w:val="1"/>
                <w:bCs w:val="1"/>
                <w:color w:val="auto"/>
                <w:w w:val="97"/>
              </w:rPr>
              <w:t>Pro Forma Statement</w:t>
            </w:r>
          </w:p>
        </w:tc>
      </w:tr>
      <w:tr>
        <w:trPr>
          <w:trHeight w:val="189"/>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6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Legacy GeneDx</w:t>
            </w:r>
          </w:p>
        </w:tc>
        <w:tc>
          <w:tcPr>
            <w:tcW w:w="140" w:type="dxa"/>
            <w:vAlign w:val="bottom"/>
          </w:tcPr>
          <w:p>
            <w:pPr>
              <w:spacing w:after="0"/>
              <w:rPr>
                <w:sz w:val="16"/>
                <w:szCs w:val="16"/>
                <w:color w:val="auto"/>
              </w:rPr>
            </w:pPr>
          </w:p>
        </w:tc>
        <w:tc>
          <w:tcPr>
            <w:tcW w:w="110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6"/>
              </w:rPr>
              <w:t xml:space="preserve">Adjustments </w:t>
            </w:r>
            <w:r>
              <w:rPr>
                <w:rFonts w:ascii="Times New Roman" w:cs="Times New Roman" w:eastAsia="Times New Roman" w:hAnsi="Times New Roman"/>
                <w:sz w:val="16"/>
                <w:szCs w:val="16"/>
                <w:b w:val="1"/>
                <w:bCs w:val="1"/>
                <w:color w:val="auto"/>
                <w:w w:val="96"/>
                <w:vertAlign w:val="superscript"/>
              </w:rPr>
              <w:t>(A)</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Adjustments </w:t>
            </w:r>
            <w:r>
              <w:rPr>
                <w:rFonts w:ascii="Times New Roman" w:cs="Times New Roman" w:eastAsia="Times New Roman" w:hAnsi="Times New Roman"/>
                <w:sz w:val="16"/>
                <w:szCs w:val="16"/>
                <w:b w:val="1"/>
                <w:bCs w:val="1"/>
                <w:color w:val="auto"/>
                <w:vertAlign w:val="superscript"/>
              </w:rPr>
              <w:t>(F)</w:t>
            </w:r>
          </w:p>
        </w:tc>
        <w:tc>
          <w:tcPr>
            <w:tcW w:w="140" w:type="dxa"/>
            <w:vAlign w:val="bottom"/>
          </w:tcPr>
          <w:p>
            <w:pPr>
              <w:spacing w:after="0"/>
              <w:rPr>
                <w:sz w:val="16"/>
                <w:szCs w:val="16"/>
                <w:color w:val="auto"/>
              </w:rPr>
            </w:pPr>
          </w:p>
        </w:tc>
        <w:tc>
          <w:tcPr>
            <w:tcW w:w="10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of Operations</w:t>
            </w:r>
          </w:p>
        </w:tc>
      </w:tr>
      <w:tr>
        <w:trPr>
          <w:trHeight w:val="156"/>
        </w:trPr>
        <w:tc>
          <w:tcPr>
            <w:tcW w:w="432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Revenue:</w:t>
            </w:r>
          </w:p>
        </w:tc>
        <w:tc>
          <w:tcPr>
            <w:tcW w:w="2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r>
      <w:tr>
        <w:trPr>
          <w:trHeight w:val="170"/>
        </w:trPr>
        <w:tc>
          <w:tcPr>
            <w:tcW w:w="43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Diagnostic test revenue</w:t>
            </w: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205,100</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116,595</w:t>
            </w:r>
          </w:p>
        </w:tc>
        <w:tc>
          <w:tcPr>
            <w:tcW w:w="100" w:type="dxa"/>
            <w:vAlign w:val="bottom"/>
          </w:tcPr>
          <w:p>
            <w:pPr>
              <w:spacing w:after="0"/>
              <w:rPr>
                <w:sz w:val="14"/>
                <w:szCs w:val="14"/>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4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 xml:space="preserve">(2,070) </w:t>
            </w:r>
            <w:r>
              <w:rPr>
                <w:rFonts w:ascii="Times New Roman" w:cs="Times New Roman" w:eastAsia="Times New Roman" w:hAnsi="Times New Roman"/>
                <w:sz w:val="10"/>
                <w:szCs w:val="10"/>
                <w:b w:val="1"/>
                <w:bCs w:val="1"/>
                <w:color w:val="auto"/>
              </w:rPr>
              <w:t>B</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(204,277)</w:t>
            </w:r>
          </w:p>
        </w:tc>
        <w:tc>
          <w:tcPr>
            <w:tcW w:w="1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115,348</w:t>
            </w:r>
          </w:p>
        </w:tc>
      </w:tr>
      <w:tr>
        <w:trPr>
          <w:trHeight w:val="181"/>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revenue</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7,095</w:t>
            </w:r>
          </w:p>
        </w:tc>
      </w:tr>
      <w:tr>
        <w:trPr>
          <w:trHeight w:val="163"/>
        </w:trPr>
        <w:tc>
          <w:tcPr>
            <w:tcW w:w="4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color w:val="auto"/>
              </w:rPr>
              <w:t>Total revenue</w:t>
            </w:r>
          </w:p>
        </w:tc>
        <w:tc>
          <w:tcPr>
            <w:tcW w:w="2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212,195</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116,595</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3"/>
                <w:szCs w:val="13"/>
                <w:color w:val="auto"/>
              </w:rPr>
              <w:t>(2,070)</w:t>
            </w:r>
          </w:p>
        </w:tc>
        <w:tc>
          <w:tcPr>
            <w:tcW w:w="3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(204,277)</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122,443</w:t>
            </w:r>
          </w:p>
        </w:tc>
      </w:tr>
      <w:tr>
        <w:trPr>
          <w:trHeight w:val="175"/>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services</w:t>
            </w: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228,797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84,361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1,204</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w:t>
            </w: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(219,685)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94,677</w:t>
            </w:r>
          </w:p>
        </w:tc>
      </w:tr>
      <w:tr>
        <w:trPr>
          <w:trHeight w:val="163"/>
        </w:trPr>
        <w:tc>
          <w:tcPr>
            <w:tcW w:w="43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3"/>
                <w:szCs w:val="13"/>
                <w:color w:val="auto"/>
              </w:rPr>
              <w:t>Total gross profit (loss)</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(16,602)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32,234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3"/>
                <w:szCs w:val="13"/>
                <w:color w:val="auto"/>
              </w:rPr>
              <w:t>(3,274)</w:t>
            </w: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15,408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27,766</w:t>
            </w:r>
          </w:p>
        </w:tc>
      </w:tr>
      <w:tr>
        <w:trPr>
          <w:trHeight w:val="161"/>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43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w:t>
            </w:r>
          </w:p>
        </w:tc>
        <w:tc>
          <w:tcPr>
            <w:tcW w:w="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(13,354)</w:t>
            </w:r>
          </w:p>
        </w:tc>
        <w:tc>
          <w:tcPr>
            <w:tcW w:w="1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105,408</w:t>
            </w:r>
          </w:p>
        </w:tc>
      </w:tr>
      <w:tr>
        <w:trPr>
          <w:trHeight w:val="181"/>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Selling and marketing</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112,738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5,443</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 D</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37,593</w:t>
            </w:r>
          </w:p>
        </w:tc>
      </w:tr>
      <w:tr>
        <w:trPr>
          <w:trHeight w:val="170"/>
        </w:trPr>
        <w:tc>
          <w:tcPr>
            <w:tcW w:w="43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205,988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13,732</w:t>
            </w:r>
          </w:p>
        </w:tc>
        <w:tc>
          <w:tcPr>
            <w:tcW w:w="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 D</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(7,384)</w:t>
            </w:r>
          </w:p>
        </w:tc>
        <w:tc>
          <w:tcPr>
            <w:tcW w:w="1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252,630</w:t>
            </w:r>
          </w:p>
        </w:tc>
      </w:tr>
      <w:tr>
        <w:trPr>
          <w:trHeight w:val="181"/>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Related party expenses</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5,243</w:t>
            </w:r>
          </w:p>
        </w:tc>
      </w:tr>
      <w:tr>
        <w:trPr>
          <w:trHeight w:val="170"/>
        </w:trPr>
        <w:tc>
          <w:tcPr>
            <w:tcW w:w="43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2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 xml:space="preserve">(16,813) </w:t>
            </w:r>
            <w:r>
              <w:rPr>
                <w:rFonts w:ascii="Times New Roman" w:cs="Times New Roman" w:eastAsia="Times New Roman" w:hAnsi="Times New Roman"/>
                <w:sz w:val="10"/>
                <w:szCs w:val="10"/>
                <w:b w:val="1"/>
                <w:bCs w:val="1"/>
                <w:color w:val="auto"/>
              </w:rPr>
              <w:t>D</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432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Loss from operations</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(446,149)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(49,395)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(6,859)</w:t>
            </w: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129,295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(373,108)</w:t>
            </w:r>
          </w:p>
        </w:tc>
      </w:tr>
      <w:tr>
        <w:trPr>
          <w:trHeight w:val="150"/>
        </w:trPr>
        <w:tc>
          <w:tcPr>
            <w:tcW w:w="43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Other income (expense):</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1"/>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Change in fair market value of warrant and earn-out contingent liabilities</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198,401</w:t>
            </w:r>
          </w:p>
        </w:tc>
      </w:tr>
      <w:tr>
        <w:trPr>
          <w:trHeight w:val="170"/>
        </w:trPr>
        <w:tc>
          <w:tcPr>
            <w:tcW w:w="43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Interest income</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81"/>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(2,835)</w:t>
            </w:r>
          </w:p>
        </w:tc>
      </w:tr>
      <w:tr>
        <w:trPr>
          <w:trHeight w:val="170"/>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5,114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3,277</w:t>
            </w:r>
          </w:p>
        </w:tc>
      </w:tr>
      <w:tr>
        <w:trPr>
          <w:trHeight w:val="175"/>
        </w:trPr>
        <w:tc>
          <w:tcPr>
            <w:tcW w:w="4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other income (expense), net</w:t>
            </w: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200,759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3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198,922</w:t>
            </w:r>
          </w:p>
        </w:tc>
      </w:tr>
      <w:tr>
        <w:trPr>
          <w:trHeight w:val="163"/>
        </w:trPr>
        <w:tc>
          <w:tcPr>
            <w:tcW w:w="43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Net loss before income taxes</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(245,390)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(6,819)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(174,186)</w:t>
            </w:r>
          </w:p>
        </w:tc>
      </w:tr>
      <w:tr>
        <w:trPr>
          <w:trHeight w:val="17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or benefit for income taxes</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36,595</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E</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49,142</w:t>
            </w:r>
          </w:p>
        </w:tc>
      </w:tr>
      <w:tr>
        <w:trPr>
          <w:trHeight w:val="175"/>
        </w:trPr>
        <w:tc>
          <w:tcPr>
            <w:tcW w:w="43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Net loss</w:t>
            </w: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(245,390)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(36,892)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29,776</w:t>
            </w:r>
          </w:p>
        </w:tc>
        <w:tc>
          <w:tcPr>
            <w:tcW w:w="3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127,462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(125,044)</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4"/>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shares outstanding, basic and diluted</w:t>
            </w: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108,077,439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130,000,000</w:t>
            </w: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238,077,439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150"/>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Basic and diluted net loss per share</w:t>
            </w: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(0.53)</w:t>
            </w: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acquisition proforma adjustments to give effect to the completed Acquisition as if it had been consummated on January 1, 2021.</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relates to intercompany revenue elimination for Legacy GeneDx revenue earned for services performed for BioReference Laboratories, Inc prior to the closing of the Acquisition.</w:t>
      </w:r>
    </w:p>
    <w:p>
      <w:pPr>
        <w:spacing w:after="0" w:line="14" w:lineRule="exact"/>
        <w:rPr>
          <w:rFonts w:ascii="Times New Roman" w:cs="Times New Roman" w:eastAsia="Times New Roman" w:hAnsi="Times New Roman"/>
          <w:sz w:val="14"/>
          <w:szCs w:val="14"/>
          <w:color w:val="auto"/>
        </w:rPr>
      </w:pPr>
    </w:p>
    <w:p>
      <w:pPr>
        <w:ind w:left="340" w:right="20" w:hanging="332"/>
        <w:spacing w:after="0" w:line="257" w:lineRule="auto"/>
        <w:tabs>
          <w:tab w:leader="none" w:pos="32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relate to stock-based compensation expense for inducement awards granted to GeneDx employees. On May 2, 2022, the compensation committee of the Company’s board of directors granted newly-hired Legacy GeneDx employees inducement stock options to purchase an aggregate of 4,932,132 shares of the Company’s Class A common stock and 4,285,208 RSUs as inducements material to each employee entering into employment with the Company. The stock options have an exercise price of $2.20 per share, which was equal to the closing price of the Company’s Class A common stock on the grant date. The stock options and RSUs granted to the newly-hired employees other than the Company’s Chief Executive Officer, Chief Growth Officer, and Chief Financial Officer (formerly, the Senior Vice President, Operations) will vest with respect to 25% of the underlying shares on April 29, 2023, and will vest with respect to the remaining underlying shares in equal quarterly installments thereafter through April 29, 2026, in each case subject to the new employee’s continued service with the Company. The stock options and RSUs granted to the Company’s Chief Executive Officer, Chief Growth Officer, and Chief Financial Officer will vest with respect to 25% of the underlying shares on April 29, 2023 and 25% of the underlying shares on April 29, 2024, and will vest with respect to the remaining underlying shares in equal quarterly installments thereafter through April 29, 2026, in each case subject to his or her continued service with the Company. Each stock option has a 10-year term. The stock options and RSUs are subject to the terms and conditions identical to those of the Company's 2021 Equity Incentive Plan and the form of stock option agreement or RSU agreement under such plan, as applicable, covering the grant. The adjustment includes elimination of $1.8 million in legacy stock-based compensation expense and recording of $9.4 million based on the inducement awards as discussed above.</w:t>
      </w:r>
    </w:p>
    <w:p>
      <w:pPr>
        <w:spacing w:after="0" w:line="7" w:lineRule="exact"/>
        <w:rPr>
          <w:rFonts w:ascii="Times New Roman" w:cs="Times New Roman" w:eastAsia="Times New Roman" w:hAnsi="Times New Roman"/>
          <w:sz w:val="14"/>
          <w:szCs w:val="14"/>
          <w:color w:val="auto"/>
        </w:rPr>
      </w:pPr>
    </w:p>
    <w:p>
      <w:pPr>
        <w:ind w:left="340" w:hanging="332"/>
        <w:spacing w:after="0" w:line="261" w:lineRule="auto"/>
        <w:tabs>
          <w:tab w:leader="none" w:pos="33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Pre-Acquisition period amortization expense related to the legacy intangible assets was eliminated and replaced with revised amortization expense based on the fair value of intangible assets recorded in connection with the Acquisition. A total of $196 million of intangible assets were recorded based on the Company’s preliminary purchase accounting assessments. This balance consists of tradenames and trademarks, developed technology and customer relationships of $50 million, $48 million and $98 million, respectively. Further details of the intangible assets are disclosed in the Company’s Quarterly Reports on Form 10-Q for the second and third quarters ended in 2022, which are incorporated by reference into this prospectus supplement. Related amortization expense for customer relationships of $4.9 million is recorded as an adjustment in selling and marketing and amortization expense for tradenames and trademarks and developed technology of $7.7 million in total is recorded as an adjustment in general and administrative. The adjustment was offset by elimination of the legacy intangible asset amortization of $16.8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35" w:lineRule="exact"/>
        <w:rPr>
          <w:sz w:val="20"/>
          <w:szCs w:val="20"/>
          <w:color w:val="auto"/>
        </w:rPr>
      </w:pPr>
    </w:p>
    <w:p>
      <w:pPr>
        <w:ind w:left="332" w:hanging="332"/>
        <w:spacing w:after="0" w:line="271" w:lineRule="auto"/>
        <w:tabs>
          <w:tab w:leader="none" w:pos="32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relates to addition of the income tax benefit of $49.1 million for the Company because the acquisition is assumed to have occurred on January 1, 2021. Legacy GeneDx tax benefit of $12.5 million was also eliminated as we note OPKO to absorb this benefit.</w:t>
      </w:r>
    </w:p>
    <w:p>
      <w:pPr>
        <w:ind w:left="332" w:right="180" w:hanging="332"/>
        <w:spacing w:after="0" w:line="263" w:lineRule="auto"/>
        <w:tabs>
          <w:tab w:leader="none" w:pos="319"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in this column relate to revenue and expenses that are specifically attributable to operations of reproductive and women’s health testing, COVID-19 and somatic testing businesses that have been exited. Any corporate overhead is excluded from the adjustments as it is not specifically attributable to the exited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51"/>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0892"/>
          </w:cols>
          <w:pgMar w:left="328" w:top="1440" w:right="679" w:bottom="1440" w:gutter="0" w:footer="0" w:header="0"/>
        </w:sectPr>
      </w:pPr>
    </w:p>
    <w:bookmarkStart w:id="28" w:name="page29"/>
    <w:bookmarkEnd w:id="2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matters discussed in this prospectus supplement, the accompanying prospectus and the documents incorporated by reference herein and therein may constitute forward-looking statements for purposes of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in the section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color w:val="auto"/>
        </w:rPr>
        <w:t>,” and elsewhere in this prospectus supplement, the accompanying prospectus and the documents incorporated by reference herein and therein,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3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application of the net proceeds from this offering and the concurrent registered direct offering;</w:t>
      </w:r>
    </w:p>
    <w:p>
      <w:pPr>
        <w:spacing w:after="0" w:line="171" w:lineRule="exact"/>
        <w:rPr>
          <w:rFonts w:ascii="Times New Roman" w:cs="Times New Roman" w:eastAsia="Times New Roman" w:hAnsi="Times New Roman"/>
          <w:sz w:val="18"/>
          <w:szCs w:val="18"/>
          <w:color w:val="auto"/>
        </w:rPr>
      </w:pPr>
    </w:p>
    <w:p>
      <w:pPr>
        <w:ind w:left="660" w:right="9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to finance our operating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losses;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incurring capital expenditures;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including supply chain interruptions and manufacturing constraints, arising from or related to the ongoing COVID-19 pandemic;</w:t>
      </w:r>
    </w:p>
    <w:p>
      <w:pPr>
        <w:spacing w:after="0" w:line="10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plans to pursue a new strategic direction, exit our reproductive and women’s health testing business and our ability to scale to profitability, as well as our plans to exit our somatic tumor testing services and the associated cost savings and impact on our gross margins;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or becoming profitable on a sustained basis;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service, collaboration and other partnership agreements;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scale market and sell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authorizations by the U.S. Food and Drug Administration or other regulatory authorities;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governmental regulation and other legal obligations, including privacy, data protection, information security, consumer protection, and anti-corruption and anti-bribery;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existing and emerging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reimbursement and coverage decisions, negotiations and settlements;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laboratories and service providers for our test volume in connection with our diagnostic solutions and data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Nasdaq listing rules;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future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jc w:val="both"/>
        <w:ind w:left="660" w:right="42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estimates and judgments, including our expectations regarding our ability to continue as a going concern, the adequacy of our reserves for third party payor claims, our estimates of the fair value of the milestone payments related to the Acquisition and our conclusions regarding the appropriateness of the carrying value of intangible assets and goodwill;</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business strategy;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w:t>
      </w:r>
      <w:r>
        <w:rPr>
          <w:rFonts w:ascii="Times New Roman" w:cs="Times New Roman" w:eastAsia="Times New Roman" w:hAnsi="Times New Roman"/>
          <w:sz w:val="18"/>
          <w:szCs w:val="18"/>
          <w:u w:val="single" w:color="auto"/>
          <w:color w:val="0000FF"/>
        </w:rPr>
        <w:t>Risk Factors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supplement, the accompanying prospectus and the documents incorporated by reference herein and therein reflect our views and assumptions only as of the date of this prospectus supplement, the accompanying prospectus or such document, as applicable. Except as required by law, we assume no responsibility for updating any forward-looking statements.</w:t>
      </w:r>
    </w:p>
    <w:p>
      <w:pPr>
        <w:spacing w:after="0" w:line="12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estimate that our net proceeds from this offering and the concurrent registered direct offering will be approximately $142.9 million after deducting the underwriting discounts and commissions and estimated offering fees and expenses payable by us. If the underwriter’s option to purchase additional shares of Class A common stock is exercised in full, we estimate that we will receive net proceeds of approximately $159.6 million.</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and the concurrent registered direct offering primarily for general corporate purposes, including additions to working capital, repayment or redemption of existing indebtedness, and strategic investment opportunities. We expect the net proceeds from this offering and the concurrent registered direct offering, together with our existing cash, and cash equivalents, to be sufficient to fund our business operations through at least the next 12 months.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factors described under “Risk Factors” in this prospectus supplement, the accompanying prospectus and the documents incorporated by reference herein, as well as the amount of cash used in our operations. As a result, our management will have broad discretion over the uses of the net proceeds from this offering and the concurrent registered direct offering and investors will be relying on the judgment of our management regarding the application of the proceeds. Pending these uses, we intend to invest the net proceeds in short-term, interest-bearing obligations, investment-grade instruments, certificates of deposit or guaranteed obligations of the U.S. government.</w:t>
      </w:r>
    </w:p>
    <w:p>
      <w:pPr>
        <w:spacing w:after="0" w:line="13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expected use of the net proceeds to us from this offering and the concurrent registered direct offering represents our intentions based upon our current plans and business conditions. As of the date of this prospectus supplement, we cannot predict with any certainty all of the particular uses for the net proceeds or the amounts that we will actually spend on the uses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220"/>
          </w:cols>
          <w:pgMar w:left="320" w:top="1440" w:right="359" w:bottom="1440" w:gutter="0" w:footer="0" w:header="0"/>
        </w:sectPr>
      </w:pPr>
    </w:p>
    <w:bookmarkStart w:id="31" w:name="page32"/>
    <w:bookmarkEnd w:id="31"/>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THE SECURITIES WE ARE OFFERING</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offering 328,571,429 shares of our Class A common stock. The material terms and provisions of our Class A common stock and each other class of our securities which qualifies or limits our Class A common stock are described under the caption “</w:t>
      </w:r>
      <w:r>
        <w:rPr>
          <w:rFonts w:ascii="Times New Roman" w:cs="Times New Roman" w:eastAsia="Times New Roman" w:hAnsi="Times New Roman"/>
          <w:sz w:val="18"/>
          <w:szCs w:val="18"/>
          <w:i w:val="1"/>
          <w:iCs w:val="1"/>
          <w:color w:val="auto"/>
        </w:rPr>
        <w:t>Description of Our Capital Stock</w:t>
      </w:r>
      <w:r>
        <w:rPr>
          <w:rFonts w:ascii="Times New Roman" w:cs="Times New Roman" w:eastAsia="Times New Roman" w:hAnsi="Times New Roman"/>
          <w:sz w:val="18"/>
          <w:szCs w:val="18"/>
          <w:color w:val="auto"/>
        </w:rPr>
        <w:t>” starting on page 13 in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80"/>
          </w:cols>
          <w:pgMar w:left="320" w:top="1440" w:right="399" w:bottom="1440" w:gutter="0" w:footer="0" w:header="0"/>
        </w:sectPr>
      </w:pPr>
    </w:p>
    <w:bookmarkStart w:id="32" w:name="page33"/>
    <w:bookmarkEnd w:id="3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subject to applicable laws, and will depend on our financial condition, results of operations, capital requirements, restrictions in the agreements governing any indebtedness we may enter into, general business conditions and other factors that our board of directors considers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September 30, 2022:</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71"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giving effect to the sale and issuance by us of 328,571,429 shares of Class A common stock in this offering and 100,000,000 shares of Class A common stock in the concurrent registered direct offering, at the public offering price of $0.35 per share, after deducting the underwriting discount and commissions, and estimated offering fees and expenses payable by us.</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can offer no assurance that the concurrent registered direct offering will close, and if it does not close, the amount of our net proceeds will be limited to the net proceeds from this offering.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September 30,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As Adjusted for this</w:t>
            </w:r>
          </w:p>
        </w:tc>
        <w:tc>
          <w:tcPr>
            <w:tcW w:w="0" w:type="dxa"/>
            <w:vAlign w:val="bottom"/>
          </w:tcPr>
          <w:p>
            <w:pPr>
              <w:spacing w:after="0"/>
              <w:rPr>
                <w:sz w:val="1"/>
                <w:szCs w:val="1"/>
                <w:color w:val="auto"/>
              </w:rPr>
            </w:pPr>
          </w:p>
        </w:tc>
      </w:tr>
      <w:tr>
        <w:trPr>
          <w:trHeight w:val="146"/>
        </w:trPr>
        <w:tc>
          <w:tcPr>
            <w:tcW w:w="8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Offering and the</w:t>
            </w:r>
          </w:p>
        </w:tc>
        <w:tc>
          <w:tcPr>
            <w:tcW w:w="0" w:type="dxa"/>
            <w:vAlign w:val="bottom"/>
          </w:tcPr>
          <w:p>
            <w:pPr>
              <w:spacing w:after="0"/>
              <w:rPr>
                <w:sz w:val="1"/>
                <w:szCs w:val="1"/>
                <w:color w:val="auto"/>
              </w:rPr>
            </w:pPr>
          </w:p>
        </w:tc>
      </w:tr>
      <w:tr>
        <w:trPr>
          <w:trHeight w:val="137"/>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dollars and in thousands, except share and per share amounts)</w:t>
            </w:r>
          </w:p>
        </w:tc>
        <w:tc>
          <w:tcPr>
            <w:tcW w:w="340" w:type="dxa"/>
            <w:vAlign w:val="bottom"/>
          </w:tcPr>
          <w:p>
            <w:pPr>
              <w:spacing w:after="0"/>
              <w:rPr>
                <w:sz w:val="11"/>
                <w:szCs w:val="11"/>
                <w:color w:val="auto"/>
              </w:rPr>
            </w:pP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5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Concurrent Registered</w:t>
            </w:r>
          </w:p>
        </w:tc>
        <w:tc>
          <w:tcPr>
            <w:tcW w:w="0" w:type="dxa"/>
            <w:vAlign w:val="bottom"/>
          </w:tcPr>
          <w:p>
            <w:pPr>
              <w:spacing w:after="0"/>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Direct Offering</w:t>
            </w:r>
          </w:p>
        </w:tc>
        <w:tc>
          <w:tcPr>
            <w:tcW w:w="0" w:type="dxa"/>
            <w:vAlign w:val="bottom"/>
          </w:tcPr>
          <w:p>
            <w:pPr>
              <w:spacing w:after="0"/>
              <w:rPr>
                <w:sz w:val="1"/>
                <w:szCs w:val="1"/>
                <w:color w:val="auto"/>
              </w:rPr>
            </w:pPr>
          </w:p>
        </w:tc>
      </w:tr>
      <w:tr>
        <w:trPr>
          <w:trHeight w:val="23"/>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334,285</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1,000,000,000 shares authorized; 381,428,905 shares issued,</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actual; 810,000,334 shares issued, as adjusted</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1,376,916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1,519,798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(815,660)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704,219</w:t>
            </w:r>
          </w:p>
        </w:tc>
        <w:tc>
          <w:tcPr>
            <w:tcW w:w="0" w:type="dxa"/>
            <w:vAlign w:val="bottom"/>
          </w:tcPr>
          <w:p>
            <w:pPr>
              <w:spacing w:after="0"/>
              <w:rPr>
                <w:sz w:val="1"/>
                <w:szCs w:val="1"/>
                <w:color w:val="auto"/>
              </w:rPr>
            </w:pPr>
          </w:p>
        </w:tc>
      </w:tr>
      <w:tr>
        <w:trPr>
          <w:trHeight w:val="228"/>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1,049,155</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381,428,905 shares of Class A common stock outstanding as of September 30, 2022 and excludes the following securities:</w:t>
      </w:r>
    </w:p>
    <w:p>
      <w:pPr>
        <w:spacing w:after="0" w:line="108" w:lineRule="exact"/>
        <w:rPr>
          <w:sz w:val="20"/>
          <w:szCs w:val="20"/>
          <w:color w:val="auto"/>
        </w:rPr>
      </w:pPr>
    </w:p>
    <w:p>
      <w:pPr>
        <w:ind w:left="660" w:right="2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21,994,972 shares of Class A common stock issuable upon exercise of warrants outstanding as of September 30, 2022 with an exercise price of $11.50 per share;</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32,354,294 shares of Class A common stock issuable upon exercise of options outstanding as of September 30, 2022 with a weighted average exercise price of $1.47 per share;</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23,871,012 shares of common stock issuable upon vesting and settlement of RSUs (excluding the Earn-Out RSUs) outstanding as of September 30, 2022;</w:t>
      </w:r>
    </w:p>
    <w:p>
      <w:pPr>
        <w:spacing w:after="0" w:line="10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19,021,576 shares of Class A common stock that may be issuable (1) to certain former equity holders of Legacy Sema4 upon the achievement of certain vesting conditions and (2) upon the vesting and settlement of the Earn-Out RSUs that were granted to certain former equity award holders of Legacy Sema4 and certain employees of the Company;</w:t>
      </w:r>
    </w:p>
    <w:p>
      <w:pPr>
        <w:spacing w:after="0" w:line="12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30,864,198 shares of our Class A common stock that may be issuable to OPKO in connection with the achievement of certain revenue-based milestones for each of the fiscal years ending December 31, 2022 and December 31, 2023; and</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22,111,381 shares of Class A common stock reserved and available for future issuance as of September 30, 2022, under our equity incentive plan and employee stock purchase plan, consisting of (1) 14,881,582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40"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shares of Class A common stock reserved and available for issuance under our 2021 Equity Incentive Plan as of September 30, 2022, and (2) 7,229,799 shares of Class A common stock reserved for issuance under our 2021 Employee Stock Purchase Plan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0140"/>
          </w:cols>
          <w:pgMar w:left="980" w:top="1440" w:right="779" w:bottom="1440" w:gutter="0" w:footer="0" w:header="0"/>
        </w:sectPr>
      </w:pPr>
    </w:p>
    <w:bookmarkStart w:id="35" w:name="page36"/>
    <w:bookmarkEnd w:id="3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Dilution or accretion is the amount by which the public offering price per share paid by investors in this offering differs from the net tangible book value per share of our Class A common stock immediately after this offering and the concurrent registered direct offering. Our net tangible book value of our Class A common stock as of September 30, 2022 was approximately $144.7 million, or approximately $0.3795 per share of Class A common stock based upon 381,428,905 shares outstanding as of September 30, 2022. Net tangible book value per share is equal to our total tangible assets, less our total liabilities, divided by the total number of shares outstanding as of September 30, 2022.</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our Class A common stock in this offering and the concurrent registered direct offering at the public offering price of $0.35 per share and after deducting commissions and estimated offering fees and expenses payable by us, our as adjusted net tangible book value as of September 30, 2022 would have been approximately $287,662,331, or $0.3551 per share of Class A common stock. This represents an immediate decrease in net tangible book value of $0.0243 per share of Class A common stock to our existing stockholders and an immediate accretion in net tangible book value of $0.0051 per share of Class A common stock to new investors purchasing Class A common stock in this offering at the public offering price.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illustrates this calculation on a per share basis.</w:t>
            </w: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89"/>
        </w:trPr>
        <w:tc>
          <w:tcPr>
            <w:tcW w:w="7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5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0.3500</w:t>
            </w: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2022</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0.3795</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75"/>
        </w:trPr>
        <w:tc>
          <w:tcPr>
            <w:tcW w:w="79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Decrease in net tangible book value per share attributable to the offering and the concurrent registered</w:t>
            </w: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 offering</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(0.0243)</w:t>
            </w:r>
          </w:p>
        </w:tc>
        <w:tc>
          <w:tcPr>
            <w:tcW w:w="5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r>
      <w:tr>
        <w:trPr>
          <w:trHeight w:val="155"/>
        </w:trPr>
        <w:tc>
          <w:tcPr>
            <w:tcW w:w="79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As adjusted net tangible book value per share after giving effect to the offering and the concurrent registered</w:t>
            </w: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offering</w:t>
            </w:r>
          </w:p>
        </w:tc>
        <w:tc>
          <w:tcPr>
            <w:tcW w:w="580" w:type="dxa"/>
            <w:vAlign w:val="bottom"/>
          </w:tcPr>
          <w:p>
            <w:pPr>
              <w:spacing w:after="0"/>
              <w:rPr>
                <w:sz w:val="21"/>
                <w:szCs w:val="21"/>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0.3551</w:t>
            </w:r>
          </w:p>
        </w:tc>
      </w:tr>
      <w:tr>
        <w:trPr>
          <w:trHeight w:val="24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per share to new investors participating in the offering and the concurrent registered direct offering</w:t>
            </w:r>
          </w:p>
        </w:tc>
        <w:tc>
          <w:tcPr>
            <w:tcW w:w="5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0.0051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the underwriter exercises in full its option to purchase an additional 49,285,714 shares of Class A common stock at the public offering price of $0.35 per share, our as adjusted net tangible book value per share as of September 30, 2022 would have been $0.3542 per share, representing an immediate decrease in net tangible book value of $0.0253 per share of Class A common stock to our existing stockholders and an immediate accretion in net tangible book value of $0.0042 per share of Class A common stock to new investors purchasing shares Class A common stock in this offering.</w:t>
      </w:r>
    </w:p>
    <w:p>
      <w:pPr>
        <w:spacing w:after="0" w:line="1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number of shares of our Class A common stock shown above to be outstanding after this offering and the concurrent registered direct offering is based on 381,428,905 shares of our Class A common stock outstanding as of September 30, 2022, and excludes:</w:t>
      </w:r>
    </w:p>
    <w:p>
      <w:pPr>
        <w:spacing w:after="0" w:line="108" w:lineRule="exact"/>
        <w:rPr>
          <w:sz w:val="20"/>
          <w:szCs w:val="20"/>
          <w:color w:val="auto"/>
        </w:rPr>
      </w:pPr>
    </w:p>
    <w:p>
      <w:pPr>
        <w:ind w:left="660" w:right="2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21,994,972 shares of Class A common stock issuable upon exercise of warrants outstanding as of September 30, 2022 with an exercise price of $11.50 per share;</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32,354,294 shares of Class A common stock issuable upon exercise of options outstanding as of September 30, 2022 with a weighted average exercise price of $l.47 per share;</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23,871,012 shares of common stock issuable upon vesting and settlement of RSUs (excluding the Earn-Out RSUs) outstanding as of September 30;</w:t>
      </w:r>
    </w:p>
    <w:p>
      <w:pPr>
        <w:spacing w:after="0" w:line="10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19,021,576 shares of Class A common stock that may be issuable (1) to certain former equity holders of Legacy Sema4 upon the achievement of certain vesting conditions and (2) upon the vesting and settlement of the Earn-Out RSUs that were granted to certain former equity award holders of Legacy Sema4 and certain employees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40" w:lineRule="exact"/>
        <w:rPr>
          <w:sz w:val="20"/>
          <w:szCs w:val="20"/>
          <w:color w:val="auto"/>
        </w:rPr>
      </w:pPr>
    </w:p>
    <w:p>
      <w:pPr>
        <w:ind w:left="328" w:hanging="328"/>
        <w:spacing w:after="0" w:line="282" w:lineRule="auto"/>
        <w:tabs>
          <w:tab w:leader="none" w:pos="32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30,864,198 shares of our Class A common stock that may be issuable to OPKO in connection with the achievement of certain revenue-based milestones for each of the fiscal years ending December 31, 2022 and December 31, 2023; and</w:t>
      </w:r>
    </w:p>
    <w:p>
      <w:pPr>
        <w:spacing w:after="0" w:line="107" w:lineRule="exact"/>
        <w:rPr>
          <w:rFonts w:ascii="Times New Roman" w:cs="Times New Roman" w:eastAsia="Times New Roman" w:hAnsi="Times New Roman"/>
          <w:sz w:val="18"/>
          <w:szCs w:val="18"/>
          <w:color w:val="auto"/>
        </w:rPr>
      </w:pPr>
    </w:p>
    <w:p>
      <w:pPr>
        <w:ind w:left="328" w:right="100" w:hanging="328"/>
        <w:spacing w:after="0" w:line="261" w:lineRule="auto"/>
        <w:tabs>
          <w:tab w:leader="none" w:pos="32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22,111,381 shares of Class A common stock reserved and available for future issuance as of September 30, 2022, under our equity incentive plan and employee stock purchase plan, consisting of (1) 14,881,582 shares of Class A common stock reserved and available for issuance under our 2021 Equity Incentive Plan as of September 30, 2022, and (2) 7,229,799 shares of Class A common stock reserved for issuance under our 2021 Employee Stock Purchase Plan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0868"/>
          </w:cols>
          <w:pgMar w:left="652" w:top="1440" w:right="379" w:bottom="1440" w:gutter="0" w:footer="0" w:header="0"/>
        </w:sectPr>
      </w:pPr>
    </w:p>
    <w:bookmarkStart w:id="37" w:name="page38"/>
    <w:bookmarkEnd w:id="37"/>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We are pursuing a new strategic direction focused on our exome and genome sequencing business coupled with our Centrellis® data platform. We are in the process of exiting the reproductive and women’s health testing business, which we expect to complete by the end of the first quarter of 2023, and we also completed the exit of the somatic tumor testing business during the fourth quarter of 2022. For more information, see “Prospectus Supplement Summary—Recent Developments—Legacy Sema4 Business Exits.” Unless the context otherwise requires, the description of our business and operations below assumes the completion of the exits from the somatic tumor testing and the reproductive and women’s health testing businesses.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with conviction that what is best for patients must be embedded in every aspect of our work. At GeneDx, we believe:</w:t>
      </w:r>
    </w:p>
    <w:p>
      <w:pPr>
        <w:spacing w:after="0" w:line="171" w:lineRule="exact"/>
        <w:rPr>
          <w:sz w:val="20"/>
          <w:szCs w:val="20"/>
          <w:color w:val="auto"/>
        </w:rPr>
      </w:pPr>
    </w:p>
    <w:p>
      <w:pPr>
        <w:ind w:left="660" w:right="300" w:hanging="324"/>
        <w:spacing w:after="0" w:line="282" w:lineRule="auto"/>
        <w:rPr>
          <w:sz w:val="20"/>
          <w:szCs w:val="20"/>
          <w:color w:val="auto"/>
        </w:rPr>
      </w:pPr>
      <w:r>
        <w:rPr>
          <w:rFonts w:ascii="Times New Roman" w:cs="Times New Roman" w:eastAsia="Times New Roman" w:hAnsi="Times New Roman"/>
          <w:sz w:val="18"/>
          <w:szCs w:val="18"/>
          <w:color w:val="auto"/>
        </w:rPr>
        <w:t>– genomic information has broad utility and every person should have access to their genome—delivered expertly, ethically and responsibly—to guide health decisions throughout life;</w:t>
      </w:r>
    </w:p>
    <w:p>
      <w:pPr>
        <w:spacing w:after="0" w:line="107" w:lineRule="exact"/>
        <w:rPr>
          <w:sz w:val="20"/>
          <w:szCs w:val="20"/>
          <w:color w:val="auto"/>
        </w:rPr>
      </w:pPr>
    </w:p>
    <w:p>
      <w:pPr>
        <w:ind w:left="660" w:right="520" w:hanging="324"/>
        <w:spacing w:after="0" w:line="282" w:lineRule="auto"/>
        <w:rPr>
          <w:sz w:val="20"/>
          <w:szCs w:val="20"/>
          <w:color w:val="auto"/>
        </w:rPr>
      </w:pPr>
      <w:r>
        <w:rPr>
          <w:rFonts w:ascii="Times New Roman" w:cs="Times New Roman" w:eastAsia="Times New Roman" w:hAnsi="Times New Roman"/>
          <w:sz w:val="18"/>
          <w:szCs w:val="18"/>
          <w:color w:val="auto"/>
        </w:rPr>
        <w:t>– exome and Whole Genome Sequencing (“WGS”) will facilitate a transition from hypothesis-based to genome-guided healthcare which will improve outcomes for patients and healthcare systems that benefit society as a whole;</w:t>
      </w:r>
    </w:p>
    <w:p>
      <w:pPr>
        <w:spacing w:after="0" w:line="107" w:lineRule="exact"/>
        <w:rPr>
          <w:sz w:val="20"/>
          <w:szCs w:val="20"/>
          <w:color w:val="auto"/>
        </w:rPr>
      </w:pPr>
    </w:p>
    <w:p>
      <w:pPr>
        <w:ind w:left="660" w:right="560" w:hanging="324"/>
        <w:spacing w:after="0" w:line="282" w:lineRule="auto"/>
        <w:rPr>
          <w:sz w:val="20"/>
          <w:szCs w:val="20"/>
          <w:color w:val="auto"/>
        </w:rPr>
      </w:pPr>
      <w:r>
        <w:rPr>
          <w:rFonts w:ascii="Times New Roman" w:cs="Times New Roman" w:eastAsia="Times New Roman" w:hAnsi="Times New Roman"/>
          <w:sz w:val="18"/>
          <w:szCs w:val="18"/>
          <w:color w:val="auto"/>
        </w:rPr>
        <w:t>– the ability to curate and combine genomic information with clinical and electronic medical record (“EMR”) data will transform therapeutic development, bringing better therapies to patients, faster; and;</w:t>
      </w:r>
    </w:p>
    <w:p>
      <w:pPr>
        <w:spacing w:after="0" w:line="107" w:lineRule="exact"/>
        <w:rPr>
          <w:sz w:val="20"/>
          <w:szCs w:val="20"/>
          <w:color w:val="auto"/>
        </w:rPr>
      </w:pPr>
    </w:p>
    <w:p>
      <w:pPr>
        <w:ind w:left="660" w:right="580" w:hanging="324"/>
        <w:spacing w:after="0" w:line="282" w:lineRule="auto"/>
        <w:rPr>
          <w:sz w:val="20"/>
          <w:szCs w:val="20"/>
          <w:color w:val="auto"/>
        </w:rPr>
      </w:pPr>
      <w:r>
        <w:rPr>
          <w:rFonts w:ascii="Times New Roman" w:cs="Times New Roman" w:eastAsia="Times New Roman" w:hAnsi="Times New Roman"/>
          <w:sz w:val="18"/>
          <w:szCs w:val="18"/>
          <w:color w:val="auto"/>
        </w:rPr>
        <w:t>– patients should control and have the ability to direct the use of their genomic information to both benefit themselves and advance scientific understanding that helps others.</w:t>
      </w:r>
    </w:p>
    <w:p>
      <w:pPr>
        <w:spacing w:after="0" w:line="108"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In support of these beliefs, we value equitability, simplicity and transparency. Through this value system, we aim to deliver personalized and actionable health insights to inform diagnosis, direct treatment and improve drug discovery, bringing better health from genomics to patients around the world.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GeneDx is focused on delivering personalized and actionable health insights to inform diagnosis, direct treatment and improve drug discovery. We sit at the intersection of diagnostics and data science, pairing decades of genomic expertise with an ability to interpret clinical data at scale. We believe we are well-positioned to accelerate the use of genomics and leverage large-scale clinical data to enable precision medicine as the standard of care. Our initial focus is in pediatric and rare diseases, two areas in which we believe we have competitive advantage and can deliver on our vision today.</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GeneDx was founded in 2000 by scientists from the National Institutes of Health whose mission was making genetic testing accessible for patients with rare diseases. The company quickly became a leader in genomics, creating the foundation for how to provide genomic information at scale and pioneering exome and genome sequencing for rare and ultra-rare genetic pediatric disorders. More than 20 years later, we have amassed one of the world’s largest rare disease data sets and remain a leader in genomics. In May 2022, GeneDx integrated with Sema4 Holdings, adding legacy Sema4’s Centrellis®, a highly innovative health information platform to our portfolio of solutions. Centrellis® integrates digital tools and artificial intelligence, allowing our scientists to ingest and synthesize clinical and genomic data to deliver better, more comprehensive health insights.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220"/>
          </w:cols>
          <w:pgMar w:left="320" w:top="1440" w:right="359" w:bottom="1440" w:gutter="0" w:footer="0" w:header="0"/>
        </w:sectPr>
      </w:pPr>
    </w:p>
    <w:bookmarkStart w:id="38" w:name="page39"/>
    <w:bookmarkEnd w:id="38"/>
    <w:p>
      <w:pPr>
        <w:spacing w:after="0" w:line="13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Today, we are powered by our industry-leading genomic interpretation platform and Centrellis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We believe exome and genome testing will become the standard for diagnosis of genetic disease, with the potential to transform healthcare and improve patients’ quality of life for generations by sequencing once and analyzing for a lifetime.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22371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924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Targeted genetic tests and panel testing make up the vast majority of diagnostics tests ordered today. While panel testing can be immensely valuable, it has an increasing limitation as we move towards genetic-based healthcare. Panels only allow you to test for insights that physicians predefine based on symptoms, which can lead to inconclusive results and an inefficient process. It is hypothesis-based medicine based on symptoms that may overlap across diseases. We firmly believe that an affordable, scalable and actionable genome is the future of medicine. The barrier to having actionable information from a genomic sequence is significant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and not just due to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which are coming down. The less-discussed barrier to having actionable information lies in the ability to process a genome’s worth of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quickly and scalably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and to deliver both a result that a clinician can easily act upon to help a patient, and a robust dataset that enables clinicians to drive precise diagnosis and researchers to develop and advance therapeutics.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Most companies in today’s genetics industry are taking a test-by-test approach to cross the chasm from genetics early adopters to genome guided healthcare in the mainstream market. We believe that driving clinician and patient awareness and influencing policy decisions may facilitate uptake within the industry. In addition, making genetics part of mainstream medicine requires advancing the technology to provide personalized and actionable health insights. It also will require having a robust, well-characterized dataset that can maximize answers and minimize unknowns and that can drive a new era of discovery.</w:t>
      </w:r>
    </w:p>
    <w:p>
      <w:pPr>
        <w:spacing w:after="0" w:line="1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Exome and whole genome sequencing provide the broadest view into the genomic variant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we are looking comprehensively into over 20,000 genes, while panels look at anywhere from two to a few hundred genes. While most companies in the industry have grown through a focus on panels, we have focused on exome and whole genome developing structured gene-disease knowledge curated by our team of experts to power automated interpretation and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One Test</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genome is composed of 3 billion “letters”, or base pairs, of DNA. The exome is a portion of the genome that encodes proteins, which are involved in many different types of cellular functions. Changes in the genome and exome can change the way proteins are formed or are utilized by the cell, potentially causing disease.</w:t>
      </w:r>
    </w:p>
    <w:p>
      <w:pPr>
        <w:spacing w:after="0" w:line="12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When patients present with complex issues, a genetic diagnosis may be available, but a traditional genetic panel test may be too narrow to identify the cause. Some genetic disorders present with very specific symptoms, so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220"/>
          </w:cols>
          <w:pgMar w:left="320" w:top="1440" w:right="359" w:bottom="1440" w:gutter="0" w:footer="0" w:header="0"/>
        </w:sectPr>
      </w:pPr>
    </w:p>
    <w:bookmarkStart w:id="39" w:name="page40"/>
    <w:bookmarkEnd w:id="39"/>
    <w:p>
      <w:pPr>
        <w:spacing w:after="0" w:line="14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that read the “letters” of a single gene or a small panel of genes, may make sense for physicians to use in diagnosis. But for many other genetic diseases, patients can present with overlapping symptoms and so finding the correct diagnosis is not always straightforward and may require multiple tests, costly evaluations, invasive procedures, and long hospital stays. Exome and genome sequencing can find different genetic alterations, or variants, that more targeted tests miss and are especially useful when the timing is critical to directing or altering medical management.</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With over 20 years of operation, GeneDx has a proven track record of expertise in genetic testing. We launched the industry’s first commercially available next generation sequencing panels in 2008, pioneered exome sequencing in 2012 and have sequenced over 400,000 exomes to date. We have performed over a million genetic tests and worked tirelessly to develop the following:</w:t>
      </w:r>
    </w:p>
    <w:p>
      <w:pPr>
        <w:spacing w:after="0" w:line="12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curated database of disease-associated genomic variants.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bioinformatics and variant interpretation pipelines.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exome and whole genome sequencing testing options.</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status quo of genetic testing requires repeated and fragmented testing, which in many cases, is conducted too late for physicians to use in treatment of patients. Targeted genetic tests and panels have been largely commoditized leaving physicians, healthcare partners and patients searching for deeper answers and enhanced utility. The scalable exome and whole genome interpretation that we can deliver at speed do not require a long, complex, expensive, expert-guided search and may make most other genetic tests obsolete. In addition, using whole genome testing is incredibly simple: it’s designed to be Just One Test.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Advanced Technology with a Human Touch</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team includes approximately 250 genetic counselors, physicians, scientists, and clinical and molecular genomics specialists. We believe we are one of the industry’s leading genetic testing experts. We share the same goal as healthcare providers, patients, and families: to provide personalized and actionable health insights.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years of exome and genome sequencing experience have provided us with a substantial dataset, including over 2.7 million structured phenotypes with nearly 60% of all exomes to date processed as parent-child trios. We have invested resources over time to annotate the phenotypes and sequence the parents of patients, because their genetic sequences can often provide additional diagnostic information, potentially improving the precision of genetic analysis. In addition, the data from more families allows us to continually improve interpretation of genetic code and variants that may cause disease. We believe we have more expertly annotated disease-causing variants than the largest public archive.</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Internally developed with over one million sequenced specimens, our database is designed to lead to increasingly reliable diagnostic test results. The structured gene-disease knowledge curated by our team of experts is powering automated interpretation and reporting built to handle genomic data at scale. Combined with our proprietary, state-of-the-art variant identification software, our ability to deliver highly accurate test results makes finding definitive diagnoses, even in complex cases, possible. Implemented with expert oversight, our advanced interpretation methods incorporate automation, bioinformatics, and cloud-based machine learning, enabling efficient discovery of genetic differences at previously undetectable levels.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the number of new patients we test grows, so does our database as new data increases the potential for greater insights. Comparing new cases against the data from previous cases helps to confirm whether a genetic variant is significant. Once new findings are identified, we aim to proactively reach out to healthcare providers and offer to reanalyze their patients’ previous results. Over time, our objective is to fully automate this reanalysis process in a convenient, easy to understand, efficient method.</w:t>
      </w:r>
    </w:p>
    <w:p>
      <w:pPr>
        <w:spacing w:after="0" w:line="12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In this new world of “one test,” people may be able to carry their genomic data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their DNA blueprints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with them throughout their life. GeneDx intends to assist in providing new answers from within, decoding more insights over time. As we capture more genomic and phenotypic data, we hope to fuel a positive feedback cycle of discovery that continuously delivers more value for patients, providers and healthcare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Delivering Health Insights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Centrellis®, our health information platform, is supported and fueled by genomic information from our diagnostic business and combined with an ever growing population of clinical health records and data. We engage with patients, physicians, health systems and other partners based on principles of transparency, choice, and consent. Driven by our direct engagement with patients and strategic relationships with multiple health systems, the database we have built contains extensive Electronic Medical Record (EMR) data, totaling approximately 3.1 million patient health records and has been designed to enable Centrellis® to draw from its extensive data assets in a way that enables physicians to proactively diagnose and manage disease. Our datasets include over 20 years of records abstracted from approximately 56 million clinical documents, 47 million phenotypes and 8 million disease diagnoses. We expect our current and targeted strategic relationships will provide us with access to additional active patient cohorts and datasets to continue to build our information base and enable our iterative, data-driven business model, including our genomic test solutions franchise.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primary growth engine in the short term will be expanding our current market-leading exome sequencing capabilities in the Neonatal Intensive Care Units (“NICU”) and Pediatric Developmental Disorder setting, as well as providing interpretation and information services for customers that sequence locally but look to GeneDx for analysis and interpretation, and providing our Centrellis® platform services to biopharmaceutical partners.</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we are particularly well-suited for helping rare disease and pediatric developmental disorder patients, their care teams and biopharma companies today. This is a large market with immense unmet medical need. There are nearly 7,000 individual diseases affecting nearly 10% of the total population in the United States, of which 50% are children. As a result, there are over 700 medicines in development for these diseases, with a regulatory pathway facilitated by the Orphan Drug Act of 1983. By providing the precise genetic diagnosis of patients with rare disease, our expertise and technology may provide researchers and biopharma companies with the information needed to develop and commercialize a new treatment for the disease.</w:t>
      </w:r>
    </w:p>
    <w:p>
      <w:pPr>
        <w:spacing w:after="0" w:line="1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longer-term growth strategy is the expansion into whole genome testing for Adult Disorders and Newborn Screening, supported with the launch of a new customer experience platform for non-geneticists, patients and caregivers, and evidence generation to establish the clinical and economic benefits of screening.</w:t>
      </w:r>
    </w:p>
    <w:p>
      <w:pPr>
        <w:spacing w:after="0" w:line="1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By unlocking the value of the products, our knowledge base, network of relationships, and expertise, our team is well positioned to lead what we believe is a nearly $30 billion global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80010</wp:posOffset>
            </wp:positionV>
            <wp:extent cx="5143500" cy="23571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200"/>
          </w:cols>
          <w:pgMar w:left="320" w:top="1440" w:right="379" w:bottom="1440" w:gutter="0" w:footer="0" w:header="0"/>
        </w:sectPr>
      </w:pPr>
    </w:p>
    <w:bookmarkStart w:id="41" w:name="page42"/>
    <w:bookmarkEnd w:id="4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that the span and depth of our experience and dataset allows us to return more positive findings and thus clinical utility both immediately and over time through reanalysis. Importantly, we believe that we return fewer uncertain findings compared to public data sets, which makes our analysis easier to interpret outside of the medical genetics community.</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the same time, we have improved quality and speed to delivery of exome and genome tests and have significantly lowered exome sequencing costs since 2013. Much of this decline was driven by reduced sequencing costs shared across the industry; however, we have reduced costs in the interpretation layer through accumulating data and experience, and we expect further decline in costs going forward.</w:t>
      </w:r>
    </w:p>
    <w:p>
      <w:pPr>
        <w:spacing w:after="0" w:line="12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Leveraging these capabilities, we aim to be the global market leader in the development and delivery of reliable, actionable, scalable exome and genome sequencing and interpretation and information services. Our strategy focuses on the following objectives:</w:t>
      </w:r>
    </w:p>
    <w:p>
      <w:pPr>
        <w:spacing w:after="0" w:line="108" w:lineRule="exact"/>
        <w:rPr>
          <w:sz w:val="20"/>
          <w:szCs w:val="20"/>
          <w:color w:val="auto"/>
        </w:rPr>
      </w:pPr>
    </w:p>
    <w:p>
      <w:pPr>
        <w:ind w:left="660" w:right="30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utilization of exome and genome sequencing as the first- or second-tier test over most other genetically targeted tests by leveraging decades of earned trust amongst expert geneticists;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utilization of industry-leading exome and genome sequencing beyond the genetic experts into the non-expert setting, potentially creating a new standard of care which enables faster diagnoses, reduces suffering, and helps healthcare systems save money. In the near term, our principal target markets will be settings with the most vulnerable patients who can benefit the most including, but not limited to, NICU and patients with Pediatric Developmental Disorders.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achieve these objectives, we plan to:</w:t>
      </w:r>
    </w:p>
    <w:p>
      <w:pPr>
        <w:spacing w:after="0" w:line="171" w:lineRule="exact"/>
        <w:rPr>
          <w:sz w:val="20"/>
          <w:szCs w:val="20"/>
          <w:color w:val="auto"/>
        </w:rPr>
      </w:pPr>
    </w:p>
    <w:p>
      <w:pPr>
        <w:ind w:left="660" w:right="4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build out of our commercial footprint to nearly 60 field-based sales representatives in 2023, and construct an industry-leading brand, product, marketing, communications and market access platform by leveraging decades of earned trust across the genetics community.</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leaders across health systems, manufacturers, commercial and governmental payers and advocacy groups. We aim to collaborate on programs to establish definitive clinical and economic case for broad use of genomic-guided medicine. Such programs will focus on:</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rapid whole genome sequencing in the NICU and Pediatric Developmental Disorder settings;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diagnosis of disease and prevention of chronic conditions in adults;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rapid whole genome sequencing for broad newborn screening.</w:t>
      </w:r>
    </w:p>
    <w:p>
      <w:pPr>
        <w:spacing w:after="0" w:line="171" w:lineRule="exact"/>
        <w:rPr>
          <w:rFonts w:ascii="Times New Roman" w:cs="Times New Roman" w:eastAsia="Times New Roman" w:hAnsi="Times New Roman"/>
          <w:sz w:val="18"/>
          <w:szCs w:val="18"/>
          <w:color w:val="auto"/>
        </w:rPr>
      </w:pPr>
    </w:p>
    <w:p>
      <w:pPr>
        <w:ind w:left="660" w:right="80" w:hanging="328"/>
        <w:spacing w:after="0" w:line="289" w:lineRule="auto"/>
        <w:tabs>
          <w:tab w:leader="none" w:pos="65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Open new markets and geographies and unlock the value of our dataset with independently scalable cloud-based interpretation and information service offerings. This will enable healthcare partners to incorporate genetics into clinical care by accessing our analysis and interpretation capabilities remotely while sequencing locally to reduce complexity, logistics cost and wait times, and align to local restrictions where applicable;</w:t>
      </w:r>
    </w:p>
    <w:p>
      <w:pPr>
        <w:spacing w:after="0" w:line="103" w:lineRule="exact"/>
        <w:rPr>
          <w:rFonts w:ascii="Times New Roman" w:cs="Times New Roman" w:eastAsia="Times New Roman" w:hAnsi="Times New Roman"/>
          <w:sz w:val="17"/>
          <w:szCs w:val="17"/>
          <w:color w:val="auto"/>
        </w:rPr>
      </w:pPr>
    </w:p>
    <w:p>
      <w:pPr>
        <w:ind w:left="660" w:right="20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 new provider and patient experience with the eventual goal of providing lifelong access and portability of genomic information. At initial sequence, rapid results provide clinicians simple, actionable, easy to understand results for non-geneticists and tailored resources for patients and caregivers. On an ongoing basis, reanalysis unlocks a renewable source of insight, replacing any future germline screening. We will sequence once, and analyze for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0"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Centrellis® to become a solutions provider of choice for biopharma. Such solutions will focus on three value-added services:</w:t>
      </w:r>
    </w:p>
    <w:p>
      <w:pPr>
        <w:spacing w:after="0" w:line="17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Finding rare disease patients for clinical trial recruitment and/or delivery of targeted therapeutics, eventually moving into other disease areas such as cardiology and oncology.</w:t>
      </w:r>
    </w:p>
    <w:p>
      <w:pPr>
        <w:spacing w:after="0" w:line="107"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 Supporting research and development for targeted therapies with analytic reports leveraging clinicogenomics data across multiple therapeutic areas with an initial emphasis in rare disease and oncology.</w:t>
      </w:r>
    </w:p>
    <w:p>
      <w:pPr>
        <w:spacing w:after="0" w:line="107"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In the long term, providing a therapeutic area agnostic platform to access to data, patients and insights for real world evidence and data to support end-to-end drug discovery pipeline.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include information technology, product development, customer experience, medical affairs, collaborations and research. These activities are principally focused on our efforts to develop and improve the software we use to analyze data, process genomic test orders, deliver reports, and improve customer experience.</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also participating in several collaborative studies aimed to provide evidence of the clinical and economic benefit for exome and whole genome sequencing. Two such studies currently underway include the SeqFirst study—in collaboration with Seattle Children’s Hospital and University of Washington—which is designed to demonstrate the broad utility of rapid whole genome sequencing for critically ill newborns and, the Genomic Uniform-Screening Against Rare Diseases In All Newborns (“GUARDIAN”) study—in collaboration with New York-Presbyterian, Columbia University, New York State Department of Health and Illumina—which is designed to assess whole genome sequencing to screen newborns for more conditions than those currently included in standard newborn screening in the United States. The goals of these studies are to drive earlier diagnosis and treatment to improve the health of the newborns who participate in such studies, generate evidence to support the expansion of newborn screening through genomic sequencing, and characterize the prevalence and natural history of rare genetic conditions.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competitors include companies that offer molecular genetic testing and consulting services, including specialty and reference laboratories that offer traditional single- and multi-gene tests and biopharmaceutical companies. In addition, there are a large number of new entrants into the market for genetic information ranging from informatics and analysis pipeline developers to focused, integrated providers of genetic tools and services for health and wellness, including Illumina, Inc., which is also one of our suppliers.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 Principal competitors include companies such Baylor, Centogene, Exact Sciences, Invitae, Neogenomics, Personalis, Caris and Tempus as well as other commercial and academic labs.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Seasonality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receive payment for our products and services from third-party payers, patients, business-to-business clients, and from other healthcare partners. Substantially all of our revenue for the nine-month period ending September 30, 2022 has been primarily derived from diagnostic test reports and we expect this trend to continue in the near-term. In the past 12 months, 94% of pediatric specialists in the United States who order exome testing have ordered from GeneDx. We expect over time to achieve a mix of revenue from diagnostic tests, data and information solutions, newborn screening products and information and interpretation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Less than 5% of our revenues today are derived from referral sources outside of the United States. We expect over time to increase rest of world revenue as knowledge and understanding of the benefits of exome and whole genome sequencing continue to expand.</w:t>
      </w:r>
    </w:p>
    <w:p>
      <w:pPr>
        <w:spacing w:after="0" w:line="1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have historically experienced higher revenue in our fourth quarter compared to other quarters in our fiscal year due in part to seasonal demand of our tests from patients who have met their annual insurance deductible. However, changes in our product and payer mix might cause these historical seasonal patterns to be different than future patterns of revenue or financial performance.</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information regarding our customer concentration in relation to certain of the Company’s third-party payors, see Note 2, “Summary of Significant Accounting Policies” in the Notes to our Unaudited Condensed Consolidated Financial Statements included in Part I, Item 1 of our Quarterly Report on Form 10-Q for the quarter ended September 30, 2022, which is incorporated by reference in this prospectus supplement and the accompanying prospectus. We expect incrementally less concentration among third-party payors following the exits from reproductive health and somatic tumor testing. There are no single customers representing greater than 10% of our revenues or accounts receivable.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on a limited number of suppliers, including Illumina, Inc., Integrated DNA Technologies Incorporated, Agilent Technologies, Roche Holdings Ltd., QIAGEN, Inc. and Twist Biosciences, for certain laboratory reagents, as well as sequencers and other equipment and materials, which we use in our laboratory operations. Our operations could be interrupted if we encounter delays or difficulties in securing reagents, sequencers or other equipment or materials, and if we cannot obtain an acceptable substitute. Any such interruption could significantly affect our business, financial condition, results of operations and reputation. We believe that there are only a few other manufacturers that are currently capable of supplying and servicing the equipment necessary for our operations, including sequencers and various associated reagents and enzymes. The use of equipment or materials provided by these replacement suppliers would require us to alter our operations. Transitioning to a new supplier would be time consuming and expensive, may result in interruptions in operations, could affect the performance specifications of our laboratory operations or could require that we revalidate our tests. We cannot be certain that we will be able to secure alternative equipment, reagents and other materials, or bring such equipment, reagents and materials on line and revalidate them without experiencing interruptions in our workflow. If we encounter delays or difficulties in securing, reconfiguring or revalidating equipment and materials, our business and reputation could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rely on a combination of intellectual property rights, including trade secrets, copyrights, trademarks, customary contractual protections to protect our core technology and intellectual property.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fields of genomic and health information analysis present limited opportunities for patent protection, based on current legal precedents. Our patent protection strategy has focused on seeking protection for certain of our non-gene specific technology and our specific biomarkers. In this regard, as of January 23, 2023, we have six pending non-provisional utility patent applications and one provisional patent application. The utility patent applications include a U.S. patent application related to a genome annotation software platform for annotating genomic intervals that are clinically relevant for analysis, a U.S. patent application related to a genetic carrier screening process, and U.S. and European patent applications related to therapeutic treatment for subjects having certain polymorphic markers associated with specific human leukocyte antigen alleles. If patents are issued from the currently pending applications, the earliest patents will begin expiring in 2040, subject to potential extensions of the patent term that will be calculated based on the length of the patent examination process. The claim scope of any potentially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stemming from the present applications may be narrowed from initial filings due to any amendments that may arise throughout their prosecution.</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do not presently have any patents or patent applications directed to the sequences of specific genes or variants of such genes, nor do we currently rely on any in-licensed gene patent rights of any third party. We may in time seek additional patent protection to protect technology that is not gene-specific and that provides us with a potential competitive advantage as we focus on making comprehensive genetic information less expensive and more broadly available to our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rely on trade secrets, including unpatented know-how, technology and other proprietary information, to maintain and develop our competitive position. We have a trade secrecy program to prevent disclosure of our trade secrets to others, except under stringent conditions of confidentiality when disclosure is critical to our business. We attempt to protect trade secrets and know-how by establishing confidentiality agreements and invention assignment agreements with our employees, consultants, scientific advisors, contractors, and collaborators. These agreements also provide that all inventions resulting from work performed for us or relating to our business and conceived or completed during the period of employment or assignment, as applicable, will be our exclusive property. In addition, we take other appropriate precautions, such as physical and technological security measures, to guard against misappropriation of our proprietary information by third parties.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valuable trade secrets relate to proprietary bioinformatic tools such as:</w:t>
      </w:r>
    </w:p>
    <w:p>
      <w:pPr>
        <w:spacing w:after="0" w:line="171" w:lineRule="exact"/>
        <w:rPr>
          <w:sz w:val="20"/>
          <w:szCs w:val="20"/>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data processing methods and analytical pipelines for NGS, aCGH, MLPA, Sanger, and other genomic data, optimized and validated to the highest performance standards;</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novel detection method to uncover notoriously difficult to detect sequence variants called mobile element insertions and partial-exon deletions;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variant analysis platforms built from the ground up for exome and genome-scale data interpretation.</w:t>
      </w:r>
    </w:p>
    <w:p>
      <w:pPr>
        <w:spacing w:after="0" w:line="17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Although we take steps to protect our proprietary information and trade secrets, including through contractual means with our employees and consultants, these steps may be circumvented or third parties may independently develop substantially equivalent proprietary information and techniques or otherwise gain access to our trade secrets or disclose our technology. Accordingly, we may not be able to meaningfully protect our trade secrets.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own or are applying for various trademarks, service marks, trade names, and product service names in the U.S and other commercially important markets. We intend to invest significant resources in the growth and protection of our reputation and trademarks.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mission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and will continue to attract and retain a team that recognizes top talent, values diverse experiences and demographics, shares an appreciation for servant-based leadership and, enables the ability for all individuals to make a difference for patients and our organization. We are building a team obsessed with the belief that GeneDx will change the world - advancing our mission to bring broad access and utility of genomics to every day medicine to help patients across the globe. We had approximately 1,100 employees as of January 20, 2023, of which approximately 66% are women and 33% men.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200"/>
          </w:cols>
          <w:pgMar w:left="320" w:top="1440" w:right="379" w:bottom="1440" w:gutter="0" w:footer="0" w:header="0"/>
        </w:sectPr>
      </w:pPr>
    </w:p>
    <w:bookmarkStart w:id="45" w:name="page46"/>
    <w:bookmarkEnd w:id="4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 engagement and culture</w:t>
      </w:r>
    </w:p>
    <w:p>
      <w:pPr>
        <w:spacing w:after="0" w:line="175"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We have established a Justice, Equity, Diversity and Inclusion, or JEDI roadmap, designed to engage, develop and retain talent from diverse backgrounds by providing education and support. We are committed to an environment of inclusiveness internally and a pursuit to close gaps in health disparities.</w:t>
      </w:r>
    </w:p>
    <w:p>
      <w:pPr>
        <w:spacing w:after="0" w:line="86" w:lineRule="exact"/>
        <w:rPr>
          <w:sz w:val="20"/>
          <w:szCs w:val="20"/>
          <w:color w:val="auto"/>
        </w:rPr>
      </w:pPr>
    </w:p>
    <w:p>
      <w:pPr>
        <w:ind w:right="580"/>
        <w:spacing w:after="0" w:line="312" w:lineRule="auto"/>
        <w:rPr>
          <w:sz w:val="20"/>
          <w:szCs w:val="20"/>
          <w:color w:val="auto"/>
        </w:rPr>
      </w:pPr>
      <w:r>
        <w:rPr>
          <w:rFonts w:ascii="Times New Roman" w:cs="Times New Roman" w:eastAsia="Times New Roman" w:hAnsi="Times New Roman"/>
          <w:sz w:val="17"/>
          <w:szCs w:val="17"/>
          <w:color w:val="auto"/>
        </w:rPr>
        <w:t>We are committed to maintaining and improving the health and safety of our employees at our Connecticut headquarters and our recently renovated laboratory and office space in Maryland, as well providing support for our teammates working remotely across and outside of the United States.</w:t>
      </w:r>
    </w:p>
    <w:p>
      <w:pPr>
        <w:spacing w:after="0" w:line="86"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We empower our employees to own their career path and seek out training programs to take them to the next level. We are currently in the process of developing a structure of growth opportunities and ways to understand and communicate pathways and are investing in our training and development programs and infrastructure for our employees.</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organized and measure progress around shared company-wide objectives and key results to enable prioritization, crisper decision-making and data-driven evaluation of our progress. Team level objectives and key results tied to our company goals allow us each to see how our individual contributions add to the overall success of the Company and ensure that we are collectively all pulling in one direction and measuring our progress beyond simply revenue or volume.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Properties for our core operations include our corporate office and headquarters located at 333 Ludlow Street, Stamford, Connecticut 06902, our primary operating laboratory located at 207 Perry Parkway, Gaithersburg, Maryland 20877, and a satellite meeting space located at 200 Park Avenue South, New York, NY 10002; each are leased spaces. Our laboratory in Stamford, CT will fully cease operations in March 2023 and our laboratory in Branford, CT has already ceased operations as part of the Company’s recently announced exits from reproductive health and somatic tumor testing. These facilities are actively being marketed for sublet; however, the outstanding lease obligations remain obligations of the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business and the services we provide are subject to and impacted by extensive and frequently changing laws and regulations in the United States (at both the federal and state levels) and internationally. Failure to comply with the applicable laws and regulations can subject us to repayment of amounts previously paid to us, significant civil and criminal penalties, loss of licensure, certification, or accreditation, or exclusion from state and federal health care programs. The significant areas of regulation are summarized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Laboratory Improvement Amendments of 1988 and State Regulation</w:t>
      </w:r>
    </w:p>
    <w:p>
      <w:pPr>
        <w:spacing w:after="0" w:line="175"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Our clinical laboratories must hold certain federal, state and local licenses, certifications and permits to conduct our business. Laboratories in the United States that perform testing on human specimens for the purpose of providing information for the diagnosis, prevention, or treatment of disease or impairment, or the assessment of health are subject to the Clinical Laboratory Improvement Amendments of 1988, as amended, and its implementing regulations (“CLIA”). CLIA requires such laboratories to be certified by the federal government and mandates compliance with various operational, personnel, facilities administration, inspections, quality control, quality assessment and proficiency testing requirements intended to ensure that testing services are accurate, reliable and timely. CLIA certification also is a prerequisite to be eligible to bill state and federal health care programs, as well as many commercial third-party payers, for laboratory testing services. Our laboratory located in Gaithersburg, Maryland is CLIA certified to perform high complexity tests. Our laboratory located in Stamford, Connecticut is also CLIA certified to perform high complexity tests. Laboratories performing high complexity testing are required to meet more stringent requirements than laboratories performing less complex tests. The regulatory and compliance standards applicable to the testing we perform may change over time, and any such changes could have a material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220"/>
          </w:cols>
          <w:pgMar w:left="320" w:top="1440" w:right="359" w:bottom="1440" w:gutter="0" w:footer="0" w:header="0"/>
        </w:sectPr>
      </w:pPr>
    </w:p>
    <w:bookmarkStart w:id="46" w:name="page47"/>
    <w:bookmarkEnd w:id="46"/>
    <w:p>
      <w:pPr>
        <w:spacing w:after="0" w:line="14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a condition of CLIA certification, our laboratory is subject to survey and inspection every two years to assess compliance with program standards, in addition to being subject to additional random inspections. The biennial survey is conducted by the Centers for Medicare &amp; Medicaid Services (“CMS”), a CMS agent (typically a state agency), or, a CMS-approved accreditation organization. Our Gaithersburg and Stamford laboratories have been accredited by the College of American Pathologists (“CAP”), which means that our laboratories have been certified as following CAP guidelines in operating the laboratory and in performing tests that ensure the quality of our results. Because our laboratories are accredited by CAP, which is a CMS-approved accreditation organization, CMS does not perform these biennial surveys and inspections and relies on our CAP surveys and inspections. We may also be subject to additional unannounced inspections.</w:t>
      </w:r>
    </w:p>
    <w:p>
      <w:pPr>
        <w:spacing w:after="0" w:line="13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CLIA provides that a state may adopt laboratory regulations that are not inconsistent with those under federal law, and a number of states have implemented their own (sometimes more stringent) laboratory regulatory requirements. CLIA does not preempt state laws that have established laboratory quality standards that are at least as stringent as the federal law requirements under CLIA. State laws may require that nonresident laboratories, or out-of-state laboratories, maintain a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 We maintain state laboratory licenses for our Gaithersburg and Stamford facilities in Maryland, New York, California, Pennsylvania and Rhode Island; our Stamford laboratory also maintains a Connecticut clinical laboratory permit. In addition to having laboratory licenses in New York, our laboratories are also required to obtain approval on a test-specific basis for the tests they run as laboratory developed tests (“LDTs”) by the New York Department of Health before specific testing is performed on samples from New York. If any states currently have or adopt similar licensure requirements in the future, we may be required to modify, delay or stop our operations in those states.</w:t>
      </w:r>
    </w:p>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a laboratory is out of compliance with state laws or regulations governing licensed laboratories or with CLIA, penalties may include suspension, limitation or revocation of the license or CLIA certificate, assessment of civil monetary penalties or fines, civil injunctive suit or criminal penalties. Failure to comply with CLIA could also result in a directed plan of correction and state on-site monitoring. Loss of a laboratory’s CLIA certificate or state license may also result in the inability to receive payments from state and federal health care programs as well as private third-party payers. We believe that we are in material compliance with CLIA and all applicable licensing laws and regulations.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CLIA and state laws and regulations, operating together, sometimes limit the ability of laboratories to offer consumer-initiated testing (also known as “direct access testing”). CLIA certified laboratories are permitted to perform testing only upon the order of an “authorized person,” defined as an individual authorized under state law to order tests or receive test results, or both. Many states do not permit persons other than licensed healthcare providers to order tests. We currently do not offer direct access testing and our CLIA tests may only be ordered by authorized healthcare providers.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Diagnostic Products and FDA Oversight of Laboratory Developed Tests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provide our tests as LDTs. Under FDA’s regulatory framework, in vitro diagnostic devices (IVDs) are a type of medical device, including tests that can be used in the diagnosis or detection of diseases, such as cancer, or other conditions. FDA considers LDTs to be a subset of IVDs that are intended for clinical use and are designed, manufactured, and used within a single laboratory that is certified under CLIA. Such LDT testing is primarily under the purview of CMS and state agencies that provide oversight over clinical laboratory operations. Although the FDA has taken the position that it has statutory authority to assure that medical devices, including certain LDTs, are safe and effective for their intended use, FDA has historically exercised enforcement discretion with respect to most LDTs and has not required laboratories that furnish LDTs to comply with the agency’s requirements for medical devices (e.g., establishment registration, device listing, premarket clearance or approval, quality systems regulations, and post-market controls). In recent years, FDA has stated it intends to end its policy of general enforcement discretion and regulate certain LDTs as medical devices. For example, in 2014, the FDA issued two draft guidance documents that set forth a proposed risk-based regulatory framework that would apply varying levels of FDA oversight to LDTs. These documents have not been finalized to date. Subsequently, in August 2020, the U.S. Department of Health and Human Services – the parent agency for FDA – announced that FDA will not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220"/>
          </w:cols>
          <w:pgMar w:left="320" w:top="1440" w:right="359" w:bottom="1440" w:gutter="0" w:footer="0" w:header="0"/>
        </w:sectPr>
      </w:pPr>
    </w:p>
    <w:bookmarkStart w:id="47" w:name="page48"/>
    <w:bookmarkEnd w:id="47"/>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premarket review of LDTs absent notice-and-comment rulemaking, as opposed to through guidance documents and other informal issuances. In November 2021, the Biden Administration rescinded this policy. At this time, it is unclear when, or if, the FDA will finalize its plans to end enforcement discretion, and even then, the new regulatory requirements are expected to be phased-in over time. Nevertheless, the FDA may decide to regulate certain LDTs on a case-by-case basis at any time. Legislative proposals addressing the FDA’s oversight of LDTs have also been introduced in previous Congresses, and we expect that new legislative proposals will be introduced from time to time. For example, versions of the Verifying Accurate Leading-edge IVCT Development (“VALID”) Act have been introduced in Congress several times in recent years, but the VALID Act has not been enacted. The VALID Act, as most recently proposed, would create a new category of medical products separate from medical devices called “in vitro clinical tests,” or IVCTs. As most recently proposed, the VALID Act would modify the Federal Food, Drug, and Cosmetic Act (“FDCA”) and establish a risk-based approach to imposing requirements related to premarket review, quality systems, and labeling requirements on all IVCTs, including LDTs, but a grandfathering provision would create exemptions from certain requirements for certain LDTs offered for clinical use within 45 days of enactment of the bill. The likelihood that Congress will pass such legislation in the future and the extent to which such legislation may affect the FDA’s plans to regulate certain LDTs as medical devices is difficult to predict at this time. If the FDA ultimately regulates certain LDTs as medical devices, whether via final guidance, final regulation, or as instructed by Congress, our tests may be subject to certain additional regulatory requirements. Complying with the FDA’s requirements for medical devices can be expensive, time-consuming, and subject us to significant or unanticipated delays. Insofar as we may be required to obtain premarket clearance or approval to perform or continue performing an LDT, we cannot be sure that we will be able to obtain such authorization. Even if we obtain regulatory clearance or approval where required, such authorization may not be for the intended uses that we believe are commercially attractive or are critical to the commercial success of our tests. As a result, the application of the FDA’s oversight to our tests could materially and adversely affect our business, financial condition, and results of operations.</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will continue to monitor changes to all LDT regulatory policy so as to ensure compliance with the current regulatory scheme. The FDA in the course of enforcing the FDCA may subject a company to various sanctions for violating FDA regulations or provisions of the FDCA, including requiring recalls, issuing Warning Letters, seeking to impose civil money penalties, seizing devices that the agency believes are non-compliant, seeking to enjoin distribution of a specific device, seeking to revoke a clearance or approval, seeking disgorgement of profits and/or seeking to criminally prosecute a company and its officers and other responsible parties.</w:t>
      </w:r>
    </w:p>
    <w:p>
      <w:pPr>
        <w:spacing w:after="0" w:line="1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Additionally, certain of our diagnostic products in development may be subject to regulation by the FDA and similar international health authorities. For these products, we would have an obligation to adhere to the FDA’s current Good Manufacturing Practices (“cGMP”) and diagnostic product regulations, including providing for an establishment and product listing with the FDA. Additionally, we would be subject to periodic FDA inspections, quality control procedures, and other detailed validation procedures. If the FDA finds deficiencies in the validation of our manufacturing and quality control practices, it may impose restrictions on marketing specific products until corrected. Regulation by governmental authorities in the U.S. and other countries may be a significant factor in how we develop, test, produce and market our diagnostic test products.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Companion Diagnostics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certain of our tests, we may pursue development as in vitro companion diagnostics for use in selecting the patients that may respond to our partners’ pharmaceutical products. Companion diagnostics (including those offered as LDTs) are regulated by the FDA as medical devices. The FDA issued a final guidance document in August 2014 addressing agency policy in relation to in vitro companion diagnostic tests. The guidance explains that for some drugs and therapeutic biologics, the use of a companion diagnostic test is essential for the safe and effective use of the product, such as when the use of a product is limited to a specific patient subpopulation that can be identified by using the test. According to the guidance, the FDA generally requires the therapeutic product and the companion diagnostic to be developed and approved or cleared contemporaneously. In July 2016, the FDA issued a draft guidance intended to assist sponsors of the drug or biological and in vitro companion diagnostic device on issues related to co-development of the products, and in April 2020, the FDA issued final guidance describing considerations for the development and labeling of in vitro companion diagnostic devices to support the indicated uses of multiple drug or biological oncology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220"/>
          </w:cols>
          <w:pgMar w:left="320" w:top="1440" w:right="359" w:bottom="1440" w:gutter="0" w:footer="0" w:header="0"/>
        </w:sectPr>
      </w:pPr>
    </w:p>
    <w:bookmarkStart w:id="48" w:name="page49"/>
    <w:bookmarkEnd w:id="4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Numerous states prohibit business organizations from practicing medicine or employing or engaging physicians to practice medicine, which prohibitions are generally referred to as the prohibition against the corporate practice of medicine. These laws are intended to prevent interference in the medical decision-making process by anyone who is not a licensed physician. For example, California’s Medical Board has indicated that determining what diagnostic tests are appropriate for a particular condition and taking responsibility for the ultimate overall care of the patient, including providing treatment options available to the patient, would constitute the unlicensed practice of medicine if performed by an unlicensed person. Violation of these corporate practice of medicine prohibitions may result in civil or criminal fines, as well as sanctions imposed against us and/or the professional through licensure proceedings.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subject to laws and regulations related to the protection of the environment, the health and safety of employees and the handling, transportation and disposal of regulated medical waste, hazardous waste and biohazardous waste, including chemical, biological agents and compounds, blood and bone marrow samples and other human tissue, and radioactive materials. For example, the U.S. Occupational Safety and Health Administration (“OSHA”) has established extensive requirements relating specifically to workplace safety for healthcare employers in the U.S. For purposes of transportation, some biological materials and laboratory supplies are classified as hazardous materials and are subject to regulation by one or more of the following: the U.S. Department of Transportation, the U.S. Public Health Service, the United States Postal Service, the Office of Foreign Assets Control, and the International Air Transport Association. We generally use third-party vendors to dispose of regulated medical waste, hazardous waste and radioactive materials and contractually require them to comply with applicable laws and regulations. These vendors are licensed or otherwise qualified to handle and dispose of such wastes.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Healthcare Fraud &amp; Abuse Laws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Physician Self-Referral Prohibitions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the federal physician self-referral prohibitions, commonly known as the Stark Law. These restrictions generally prohibit a physician who has (or whose immediate family member has) a financial relationship, such as an ownership or investment interest in or compensation arrangement with us, from making referrals for “designated health services”, including clinical laboratory services, if payment for the services may be made under Medicare. If such a financial relationship exists, referrals are prohibited unless a statutory or regulatory exception applies. The Stark Law also prohibits us from billing for any such prohibited referral. These prohibitions apply regardless of any intent by the parties to induce or reward referrals or the reasons for the financial relationship and the referral. Several Stark Law exceptions are relevant to many common financial relationships involving clinical laboratories and referring physicians and may be relied upon if all of the elements of the applicable exception are satisfied. Penalties for violating the Stark Law include the return of funds received for all prohibited referrals, fines, civil monetary penalties and possible exclusion from federal health care programs. In addition, violations of the Stark Law may also serve as the basis for liability under the federal False Claims Act (“FCA”), which can result in additional civil and criminal penalties. Several states have enacted comparable self-referral laws which may be broader in scope and apply regardless of payer.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Anti-Kickback Laws</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federal Anti-Kickback Statute (“AKS”), makes it a felony for a person or entity, including a clinical laboratory, to, among other things, knowingly and willfully offer, pay, solicit or receive any remuneration, directly or indirectly, overtly or covertly, in cash or in kind, in order to induce or reward either the referral of an individual for, or the purchase, order or recommendation of, any good or service, for which payment may be made under federal health care programs.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S-47</w:t>
      </w:r>
    </w:p>
    <w:p>
      <w:pPr>
        <w:sectPr>
          <w:pgSz w:w="11900" w:h="16838" w:orient="portrait"/>
          <w:cols w:equalWidth="0" w:num="1">
            <w:col w:w="11220"/>
          </w:cols>
          <w:pgMar w:left="320" w:top="1440" w:right="359" w:bottom="1440" w:gutter="0" w:footer="0" w:header="0"/>
        </w:sectPr>
      </w:pPr>
    </w:p>
    <w:bookmarkStart w:id="49" w:name="page50"/>
    <w:bookmarkEnd w:id="49"/>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AKS that apply to all payers or to state program payers. Penalties for violations of such laws include imprisonment and significant monetary fines and, in the case of the AKS, exclusion from federal health care programs.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conditions of an applicable exception or safe harbor, it is deemed not to violate the AKS. An arrangement must fully meet each condition of an applicable exception or safe harbor in order to qualify for protection. Failure to meet the conditions of a safe harbor, however, does not render an arrangement illegal. Rather, the government may evaluate such arrangements on a case-by-case basis, taking into account all facts and circumstances.</w:t>
      </w:r>
    </w:p>
    <w:p>
      <w:pPr>
        <w:spacing w:after="0" w:line="13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the federal Eliminating Kickbacks in Recovery Act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and certain other entities or in exchange for an individual using the services of such entities. The EKRA applies to all payers including commercial payers and government payers, and EKRA violations result in significant fines and/or up to 10 years in jail, separate and apart from existing AKS liability. Several EKRA exceptions are relevant to many common financial relationships involving clinical laboratories and may be relied upon if all of the elements of the applicable exception are satisfied. Failure to meet the requirements of an exception, however, does not render an arrangement illegal. Rather, the government may evaluate such arrangements on a case-by-case basis, taking into account all facts and circumstances.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Federal and State Fraud &amp; Abuse Healthcare Laws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requirements discussed above, several other health care fraud and abuse laws could have an effect on our business.</w:t>
      </w:r>
    </w:p>
    <w:p>
      <w:pPr>
        <w:spacing w:after="0" w:line="17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retaining an overpayment by the federal government. Under the FCA, a person acts knowingly if he or she has actual knowledge of the information or acts in deliberate ignorance or in reckless disregard of the truth or falsity of the information. Specific intent to defraud is not required. FCA violations can result in penalties of up to three times the actual damages sustained by the government, plus civil penalties for each false claim.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Several states have enacted comparable false claims laws which may be broader in scope and apply regardless of payer.</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Several states have enacted comparable laws which may be broader in scope and apply regardless of payer.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law. Moreover, in certain cases, providers who routinely waive copayments and deductibles for Medicare and Medicaid beneficiaries, can also be held liable under the civil monetary penalty provisions and certain other laws, such as the AKS and FCA. One of the statutory exceptions to the civil monetary penalty prohibition is non-routine, unadvertised waivers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4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copayments or deductible amounts based on individualized determinations of financial need or exhaustion of reasonable collection efforts. The Office of Inspector General of the U.S. Department of Health and Human Services (“HHS”), emphasizes, however, that this exception should only be used occasionally to address special financial needs of a particular patient. States may have similar prohibitions.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Federal and State Healthcare Laws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fraud and abuse laws discussed above, our business potentially is subject to the following additional healthcare regulatory laws: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Laws Governing Genetic Counseling Services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genetic counseling partner may provide services via electronic means that could subject it to various federal, state and local certification and licensing laws, regulations and approvals, relating to, among other things, the adequacy of health care, the practice of medicine and other health professions (including the provision of remote care and cross-coverage practice), equipment, personnel, operating policies and procedures and the prerequisites for ordering laboratory tests. Some states have enacted regulations specific to providing services to patients via telehealth. Such regulations include, among other things, informed consent requirements that some states require providers to obtain from their patients before providing telehealth services. Health professionals who provide professional services using telehealth modalities must, in most instances, hold a valid license to practice the applicable health profession in the state in which the patient is located. In addition, certain states require a physician providing telehealth to be physically located in the same state as the patient. Any failure to comply with these laws and regulations could result in civil or criminal penalties against telehealth providers.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and Human Subjects Research Regulations</w:t>
      </w:r>
    </w:p>
    <w:p>
      <w:pPr>
        <w:spacing w:after="0" w:line="17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may collaborate or support ongoing clinical or other human subjects research that could subject us to a number of laws and regulations pertaining to such research, including but not limited to the Federal Policy for Protection of Human Subjects (as set forth in the implementing regulations of any signatory federal department or agency), the FDCA and its applicable implementing regulations at 21 C.F.R. Parts 11, 50, 54, 56, 58 and 812 and all equivalent legal requirements in other jurisdictions.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Security Laws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Insurance Portability and Accountability Act</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Health Insurance Portability and Accountability Act of 1996 (“HIPAA”), as amended by the Health Information Technology for Economic and Clinical Health Act (“HITECH”), HHS has issued regulations to protect the privacy and provide for the security of protected health information (“PHI”) used or disclosed by covered entities, including most health care providers and their respective business associates, as well as the business associates’ subcontractors. HIPAA also regulates standardization of data content, codes, and formats used in certain health care transactions and standardization of identifiers for health plans and providers. Four principal regulations with which we are required to comply have been issued in final form under HIPAA and HITECH: privacy regulations, security regulations, breach notification regulations, and standards for electronic transactions, which establish standards for common healthcare transactions.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privacy regulations cover the use and disclosure of PHI by covered entities as well as business associates, which are persons or entities that perform certain functions for or on behalf of a covered entity that involve the creation, receipt, maintenance, or transmission of PHI. Business associates are defined to include a subcontractor to whom a business associate delegates a function, activity, or service, other than in the capacity of the business associate’s workforce. As a general rule, a covered entity or business associate may not use or disclose PHI except as permitted or required under the privacy regulations. The privacy regulations also set forth certain rights that an individual has with respect to his or her PHI maintained by a covered entity or business associate, including the right to access or amend certain records containing his or her PHI, request restrictions on the use or disclosure of his or her PHI, or request an accounting of disclosures of his or her PHI.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Covered entities and business associates also must comply with the security regulations, which establish requirements for safeguarding the confidentiality, integrity, and availability of PHI that is electronically transmitted or electronically stored. In addition, HITECH, among other things, established certain PHI breach notification requirements with which covered entities and business associates must comply. In particular, a covered entity must notify any individual whose unsecured PHI is breached according to the specifications set forth in the breach notification rule. A covered entity must also notify the Secretary of HHS and, under certain circumstances, the media of a breach of unsecured PHI.</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HIPAA privacy, security, and breach notification regulations establish a uniform federal “floor” and do not preempt state laws that are more stringent or provide individuals with greater rights with respect to the privacy or security of, and access to, their records containing PHI or insofar as such state laws apply to personal information that is broader in scope than PHI. In addition, individuals (or their personal representatives, as applicable) generally have the right to access test reports directly from laboratories and to direct that copies of those reports be transmitted to persons or entities designated by the individual.</w:t>
      </w:r>
    </w:p>
    <w:p>
      <w:pPr>
        <w:spacing w:after="0" w:line="1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 In addition, violations of HIPAA could result in significant penalties imposed by the HHS’s Office for Civil Rights. HIPAA also mandates that the Secretary of HHS conduct periodic compliance audits of HIPAA covered entities, such as us, and their business associates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 there are a number of state laws regarding the privacy and security of health information and personal data that are applicable to our clinical laboratories. We believe that we have taken the steps required of us to comply with health information privacy and security statutes and regulations in all jurisdictions, both state and federal, and we intend to continue to comprehensively protect all personal information and to comply with all applicable laws regarding the protection of such information. However, these laws constantly change, and we may not be able to maintain compliance in all jurisdictions where we do business. Failure to maintain compliance, or changes in state or federal laws regarding privacy or security, could result in civil and/or criminal penalties as well as significant reputational damage and could also have a material adverse effect on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Consumer Privacy Act</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California Consumer Privacy Act, as amended by the California Privacy Rights Act (“CPRA,” and together with the California Consumer Privacy Act, the “CCPA”), confers to California consumers, among other things, the right to receive notice of the categories of personal information that will be collected by a business, how the business will use and share the personal information, and the categories of third parties who will receive the personal information. The CCPA also confers rights to access, delete, correct, or request a portable data set, the right to limit processing of “sensitive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allows California consumers to opt out of the “sharing” of information, which restricts a company’s use of personal information for cross-context behavioral advertising. The CCPA also requires a business to implement reasonable security procedures to safeguard personal information against unauthorized access, use, or disclosure and imposes purpose limitation, data minimization, data retention, and other security compliance obligations on regulated businesses. The CCPA requires businesses to include specific provisions in contracts with third parties that process data on a business’s behalf regarding the third party’s processing and management of such data.</w:t>
      </w:r>
    </w:p>
    <w:p>
      <w:pPr>
        <w:spacing w:after="0" w:line="13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CCPA does not apply to personal information that is PHI under HIPAA and that is collected by a business associate or covered entity under HIPAA. The CCPA also exempts patient information that is processed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S-50</w:t>
      </w:r>
    </w:p>
    <w:p>
      <w:pPr>
        <w:sectPr>
          <w:pgSz w:w="11900" w:h="16838" w:orient="portrait"/>
          <w:cols w:equalWidth="0" w:num="1">
            <w:col w:w="11220"/>
          </w:cols>
          <w:pgMar w:left="320" w:top="1440" w:right="359" w:bottom="1440" w:gutter="0" w:footer="0" w:header="0"/>
        </w:sectPr>
      </w:pPr>
    </w:p>
    <w:bookmarkStart w:id="52" w:name="page53"/>
    <w:bookmarkEnd w:id="52"/>
    <w:p>
      <w:pPr>
        <w:spacing w:after="0" w:line="1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covered entity and maintained in the same manner as PHI. Accordingly, the CCPA will not apply to much of the genetic testing and patient information we collect and process. However, we are required to comply with the CCPA insofar as we collect other categories of California consumers’ personal information, such as information about California-based employees, contractors, business contacts and website visitors.</w:t>
      </w:r>
    </w:p>
    <w:p>
      <w:pPr>
        <w:spacing w:after="0" w:line="12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CCPA is enforceable through administrative fines of up to $2,500 for each violation or $7,500 for intentional violations or where we have actual knowledge that the personal information relates to an individual under 16 years of age.</w:t>
      </w:r>
    </w:p>
    <w:p>
      <w:pPr>
        <w:spacing w:after="0" w:line="108"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Further, five new state privacy laws have gone or will go into effect in 2023, including the CPRA, the Virginia Consumer Data Protection Act, the Utah Consumer Privacy Act, the Colorado Privacy Act, and the Connecticut Data Privacy Act, and a number of other states are considering similar laws. The new state privacy laws and any potential federal law will and would impose additional data protection obligations on covered businesses, including additional consumer rights, limitations on data uses, new audit requirements for higher risk data, and opt outs for certain uses of sensitive data. The new and proposed privacy laws may result in further uncertainty and may require us to incur additional expenditures to comply. These regulations and legislative developments have potentially far-reaching consequences and may require us to modify our data management and data use practices and incur substantial compliance expense. Our failure to comply with applicable laws and regulations or other obligations to which we may be subject relating to personal data, or to protect personal data from unauthorized access, use, or other processing, could result in enforcement actions and regulatory investigations against us, claims for damages by customers and other affected individuals, fines, damage to our reputation, and loss of goodwill, any of which could have a material adverse effect on our operations, financial performance, and business.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Genetic Privacy and Testing Laws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subject to myriad laws designed to establish safeguards regarding the conduct of genomic testing and analysis and to protect against the misuse of genetic information and human biological specimens (“samples”) from which genetic information can be derived. These laws vary in their scope and in the nature of their requirements and restrictions. For example, certain genetic privacy laws prohibit the retention of samples after performing a genomic analysis and prohibit the use or disclosure of genetic information or samples for certain purposes, such as research, without appropriate informed consent from the individual or unless the genetic information or samples are appropriately de-identified. Other laws may impose additional requirements, including requirements regarding institutional review board review and approval for certain research uses of genetic information or samples or requirements to implement certain security controls in connection with the transfer of genetic information. We must comply with such genetic privacy and testing laws in our collection, use, disclosure, and retention of genetic information and samples.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Data Protection Laws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are a growing number of jurisdictions around the globe that have privacy and data protection laws that may apply to us as we enter or expand our business in jurisdictions outside of the United States. These laws are typically triggered by a company’s establishment or physical location in the jurisdiction, data processing activities that take place in the jurisdiction, and/or the processing of personal information about individuals located in that jurisdiction that are targeted, for example, by an offer of goods or services. Certain data protection laws, such as those in the European Union (“EU”) and United Kingdom, are comprehensive in nature and include significant requirements around the processing of personal information, while other jurisdictions may have laws less restrictive or prescriptive than those in the U.S. Enforcement of these laws varies from jurisdiction to jurisdiction, with a variety of consequences, including civil or criminal penalties, litigation, private rights of action, or damage to our reputation.</w:t>
      </w:r>
    </w:p>
    <w:p>
      <w:pPr>
        <w:spacing w:after="0" w:line="13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example, the EU’s General Data Protection Regulation (“GDPR”) including as implemented and amended through the UK Data Protection Act 2018 and implementing laws and regulations (“UK GDPR”) applies to any data collection, use and sharing in the context of an establishment the EU or UK as well as extraterritorially to any entity outside the EU and UK when they process personal information related to an offer of goods or services to, or monitoring the behavior of, individuals who are located in the EU or UK. The GDPR and UK GDPR impose strict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S-51</w:t>
      </w:r>
    </w:p>
    <w:p>
      <w:pPr>
        <w:sectPr>
          <w:pgSz w:w="11900" w:h="16838" w:orient="portrait"/>
          <w:cols w:equalWidth="0" w:num="1">
            <w:col w:w="11220"/>
          </w:cols>
          <w:pgMar w:left="320" w:top="1440" w:right="359" w:bottom="1440" w:gutter="0" w:footer="0" w:header="0"/>
        </w:sectPr>
      </w:pPr>
    </w:p>
    <w:bookmarkStart w:id="53" w:name="page54"/>
    <w:bookmarkEnd w:id="53"/>
    <w:p>
      <w:pPr>
        <w:spacing w:after="0" w:line="14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requirements on controllers and processors of personal data, including enhanced protections for “special categories” of personal data, which include sensitive information such as health and genetic information of data subjects. The GDPR and UK GDPR also grant individuals various rights in relation to their personal data, including the rights of access, rectification, objection to certain processing, and deletion. The GDPR and UK GDPR provide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or a failure to comply with the UK GDPR, may result in significant administrative fines issued by EU or UK regulators.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Blocking Prohibition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May 1, 2020, the Office of the National Coordinator for Health Information Technology promulgated final regulations under the authority of the 21st Century Cures Act to impose new conditions to obtain and maintain certification of certified health information technology and prohibit certain covered actors, including developers of certified health information technology, health information networks/health information exchanges, and health care providers, from engaging in activities that are likely to interfere with the access, exchange, or use of electronic health information (information blocking). The final regulations further defined exceptions for activities that are permissible, even though they may have the effect of interfering with the access, exchange, or use of electronic health information. The information blocking regulations became effective on April 5, 2021. Under the 21st Century Cures Act, health care providers that violate the information blocking prohibition will be subject to appropriate disincentives, which the HHS has yet to establish through required rulemaking. Developers of certified information technology and health information networks/health information exchanges, however, may be subject to civil monetary penalties of up to $1 million per violation. The HHS Office of Inspector General has the authority to impose such penalties and on April 24, 2020 published a proposed rule to codify new authority in regulation, which the agency proposed would be effective 60 days after it issues a final rule but in no event before November 2, 2020. The HHS Office of Inspector General has not yet issued a final rule.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Consumer Protection Laws</w:t>
      </w:r>
    </w:p>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Federal Trade Commission (“FTC”), is an independent U.S. law enforcement agency charged with protecting consumers and enhancing competition across broad sectors of the economy. The FTC’s primary legal authority with respect to data privacy and security comes from Section 5 of the FTC Act, which prohibits unfair or deceptive acts or practices in the marketplace. The FTC has increasingly used this broad authority to police data privacy and security, using its powers to investigate and bring lawsuits. Where appropriate, the FTC can seek a variety of remedies, such as but not limited to requiring the implementation of comprehensive privacy and security programs, biennial assessments by independent experts, monetary redress to consumers, and provision of robust notice and choice mechanisms to consumers. In addition to its enforcement mechanisms, the FTC uses a variety of tools to protect consumers’ privacy and personal information, including pursuing enforcement actions to stop violations of law, conducting studies and issuing reports, hosting public workshops, developing educational materials, and testifying before the U.S. Congress on issues that affect consumer privacy. Recently, the FTC has issued guidance emphasizing that their authority to prevent unfair or deceptive acts or practices extends to advertising and marketing claims for health care and health-related products.</w:t>
      </w:r>
    </w:p>
    <w:p>
      <w:pPr>
        <w:spacing w:after="0" w:line="1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majority of data privacy cases brought by the FTC fall under the “deceptive” acts prong of Section 5. These cases often involve a failure on the part of a company to adhere to its own privacy and data protection principles set forth in its policies or other statements made to consumers. To avoid Section 5 violations, the FTC encourages companies to build privacy protections and safeguards into relevant portions of their business, and to consider privacy and data protection as the company grows and evolves. In addition, privacy notices should clearly and accurately disclose the type(s) of personal information the company collects, how the company uses and shares that information, and the security measures used by the company to protect that information.</w:t>
      </w:r>
    </w:p>
    <w:p>
      <w:pPr>
        <w:spacing w:after="0" w:line="1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recent years, the FTC’s enforcement under Section 5 related to data security has included alleged violations of the “unfairness” prong. Many of these cases have alleged that companies were unfair to consumers because they failed to take reasonable and necessary measures to protect consumer data. The FTC has not provided bright line rules defining what constitutes “reasonable and necessary measures” for implementing a cybersecurity program,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S-52</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it has provided guidance, tips and advice for companies. The FTC has also published past complaints and consent orders, which it urges companies use as guidance to help avoid an FTC enforcement action, even if a data breach or loss occurs.</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to the FTC Act, most U.S. states have unfair and deceptive acts and practices statutes, known as UDAP statutes, that substantially mirror the FTC Act and have been applied in the privacy and data security context. These vary in substance and strength from state to state. Many have broad prohibitions against unfair and deceptive acts and practices. These statutes generally allow for private rights of action and are enforced by the states’ Attorneys General.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and Billing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April 2014, Congress passed the Protecting Access to Medicare Act of 2014 (“PAMA”), which included substantial changes to the way in which clinical laboratory services are paid under Medicare. Under PAMA (as amended) and its implementing regulations, laboratories that realize at least $12,500 in Medicare Clinical Laboratory Fee Schedule (“CLFS”) revenues during the six month reporting period and that receive the majority of their Medicare revenue from payments made under the CLFS or the Physician Fee Schedule must report, beginning in 2017, and then in 2024 and every three years thereafter (or annually for “advanced diagnostic laboratory tests”), private payer payment rates and volumes for their tests. None of our tests meet the current definition of advanced diagnostic laboratory tests, and therefore we believe we are required to report private payer rates for our tests on an every three years basis starting next in 2024. CMS uses the rates and volumes reported by laboratories to develop Medicare payment rates for the tests equal to the volume-weighted median of the private payer payment rates for the tests. Laboratories that fail to report the required payment information may be subject to substantial civil money penalties.</w:t>
      </w:r>
    </w:p>
    <w:p>
      <w:pPr>
        <w:spacing w:after="0" w:line="13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set forth under the regulations implementing PAMA, for tests furnished on or after January 1, 2018, Medicare payments for clinical diagnostic laboratory tests are paid based upon these reported private payer rates. For clinical diagnostic laboratory tests that are assigned a new or substantially revised code, initial payment rates for clinical diagnostic laboratory tests that are not advanced diagnostic laboratory tests will be assigned by the cross-walk or gap-fill methodology, as under prior law. Initial payment rates for new advanced diagnostic laboratory tests will be based on the actual list charge for the laboratory test.</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payment rates calculated under PAMA went into effect starting January 1, 2018. Where applicable, reductions to payment rates resulting from the new methodology were limited to 10% per test per year in each of the years 2018 through 2020. Rates were held at 2020 levels during 2021 and 2022 and will continue to be held at such levels in 2023. Then, where applicable based upon median private payer rates reported in 2017 or 2024, reduced by up to 15% per test per year in each of 2024 through 2026 (with a second round of private payer rate reporting in 2024 to establish rates for 2025 through 2027).</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PAMA codified Medicare coverage rules for laboratory tests by requiring any local coverage determination to be made following the local coverage determination process. PAMA also authorizes CMS to consolidate coverage policies for clinical laboratory tests among one to four laboratory-specific Medicare Administrative Contractors (“MACs”). These same contractors may also be designated to process claims if CMS determines that such a model is appropriate. It is unclear whether CMS will proceed with contractor consolidation under this authorization.</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PAMA also authorized the adoption of new, temporary billing codes and/or unique test identifiers for FDA-cleared or approved tests as well as advanced diagnostic laboratory tests. The American Medical Association has created a section of billing codes, Proprietary Laboratory Analyses (“PLA”), to facilitate implementation of this section of PAMA. These codes may apply to one or more of our tests if we apply for PLA coding.</w:t>
      </w:r>
    </w:p>
    <w:p>
      <w:pPr>
        <w:spacing w:after="0" w:line="12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Reimbursement and billing for diagnostic services is highly complex, and errors in billing potentially can result denied claims and/or in substantial obligations to repay overpayments to payors. Laboratories must bill various payers, such as private third-party payers, including managed care organizations (“MCO”), and state and federal health care programs, such as Medicare and Medicaid, and each may have different billing requirements. Additionally, the audit requirements we must meet to ensure compliance with applicable laws and regulations,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S-53</w:t>
      </w:r>
    </w:p>
    <w:p>
      <w:pPr>
        <w:sectPr>
          <w:pgSz w:w="11900" w:h="16838" w:orient="portrait"/>
          <w:cols w:equalWidth="0" w:num="1">
            <w:col w:w="11180"/>
          </w:cols>
          <w:pgMar w:left="320" w:top="1440" w:right="399" w:bottom="1440" w:gutter="0" w:footer="0" w:header="0"/>
        </w:sectPr>
      </w:pPr>
    </w:p>
    <w:bookmarkStart w:id="55" w:name="page56"/>
    <w:bookmarkEnd w:id="5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as our internal compliance policies and procedures, add further complexity to the billing process. Other factors that complicate billing include:</w:t>
      </w:r>
    </w:p>
    <w:p>
      <w:pPr>
        <w:spacing w:after="0" w:line="171"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coverage and information requirements among various payers;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financial assistance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missing, incomplete or inaccurate billing information provided by ordering physicians;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billings to payers with whom we do not have contracts;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payers as to which party is responsible for payment;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payers as to the appropriate level of reimbursement.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on the reimbursement arrangement and applicable law, the party that reimburses us for our services may be:</w:t>
      </w:r>
    </w:p>
    <w:p>
      <w:pPr>
        <w:spacing w:after="0" w:line="171"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who provides coverage to the patient, such as an insurance company or MCO;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 or federal healthcare program;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described below, we, and our subsidiaries, are currently not a party to, and our property is not currently the subject of, any material pending legal proceedings; however, we may become involved in various claims and legal actions arising in the ordinary course of business.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September 7, 2022, a shareholder class action lawsuit was filed in the United States District Court for the District of Connecticut against the Company and certain of our current and former officers. The complaint purports to bring suit on behalf of stockholders who purchased our publicly traded securities between March 14, 2022 and August 15, 2022. The complaint purports to allege that defendants made false and misleading statements about our business, operations and prospects in violation of Sections 10(b) and 20(a) of the Exchange Act, and seeks unspecified compensatory damages, fees and costs. We believe the allegations and claims made in the complaint are without merit.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S-54</w:t>
      </w:r>
    </w:p>
    <w:p>
      <w:pPr>
        <w:sectPr>
          <w:pgSz w:w="11900" w:h="16838" w:orient="portrait"/>
          <w:cols w:equalWidth="0" w:num="1">
            <w:col w:w="11180"/>
          </w:cols>
          <w:pgMar w:left="320" w:top="1440" w:right="399" w:bottom="1440" w:gutter="0" w:footer="0" w:header="0"/>
        </w:sectPr>
      </w:pPr>
    </w:p>
    <w:bookmarkStart w:id="56" w:name="page57"/>
    <w:bookmarkEnd w:id="56"/>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following discussion is a summary of the material U.S. federal income tax consequences to U.S. holders and non-U.S. holders (each as defined below) of the purchase, ownership, conversion and disposition, as applicable, of the shares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We have not sought and will not seek any rulings from the IRS regarding the matters discussed below. There can be no assurance the IRS or a court will not take a contrary position to that discussed below regarding the tax consequences of the purchase, ownership, conversion and disposition, as applicable, of the shares of our Class A common stock .</w:t>
      </w:r>
    </w:p>
    <w:p>
      <w:pPr>
        <w:spacing w:after="0" w:line="11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This discussion is limited to holders that hold our Class A common stock as a “capital asset” within the meaning of Section 1221 of the Code (generally, property held for investment). This discussion does not address all U.S. federal income tax consequences relevant to a holder’s particular circumstances, including, without limitation, the impact of the Medicare contribution tax on net investment income and the alternative minimum tax. In addition, it does not address consequences relevant to holders subject to special rules, including, without limitation:</w:t>
      </w:r>
    </w:p>
    <w:p>
      <w:pPr>
        <w:spacing w:after="0" w:line="12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stock as part of a hedge, straddle or other risk reduction strategy or as part of a conversion transaction or other integrated investment;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 regulated investment companies or real estate investment trusts;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or other persons that elect to use a mark-to-market method of accounting for their holdings in our stock;</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(as defined in Section 957 of the Code),” “passive foreign investment companies (as defined in Section 1297 of the Code),” and corporations that accumulate earnings to avoid U.S. federal income tax;</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in such entities);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stock under the constructive sale provisions of the Code;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stock pursuant to the exercise of any employee stock option or otherwise as compensation;</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stock being taken into account in an applicable financial statement (as defined in Section 451(b) of the Code);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or tax-qualified retirement plans;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S-55</w:t>
      </w:r>
    </w:p>
    <w:p>
      <w:pPr>
        <w:sectPr>
          <w:pgSz w:w="11900" w:h="16838" w:orient="portrait"/>
          <w:cols w:equalWidth="0" w:num="1">
            <w:col w:w="11160"/>
          </w:cols>
          <w:pgMar w:left="320" w:top="1440" w:right="419" w:bottom="1440" w:gutter="0" w:footer="0" w:header="0"/>
        </w:sectPr>
      </w:pPr>
    </w:p>
    <w:bookmarkStart w:id="57" w:name="page58"/>
    <w:bookmarkEnd w:id="57"/>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12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a U.S. Holder and Non-U.S. Holder</w:t>
      </w:r>
    </w:p>
    <w:p>
      <w:pPr>
        <w:spacing w:after="0" w:line="17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any beneficial owner of our shares of Class A common stock (other than an entity treated as a partnership for U.S. federal income tax purposes) that, for U.S. federal income tax purposes, is or is treated as any of the following:</w:t>
      </w:r>
    </w:p>
    <w:p>
      <w:pPr>
        <w:spacing w:after="0" w:line="108"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which has one or more “United States persons” (within the meaning of Section 7701(a)(30) of the Code) that have the authority to control all substantive decisions of the trust, or (2) has a valid election in effect to be treated as a United States person for U.S. federal income tax purposes.</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shares of our Class A common stock that is neither a “U.S. holder” nor an entity treated as a partnership for U.S. federal income tax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Applicable to U.S.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75" w:lineRule="exact"/>
        <w:rPr>
          <w:sz w:val="20"/>
          <w:szCs w:val="20"/>
          <w:color w:val="auto"/>
        </w:rPr>
      </w:pPr>
    </w:p>
    <w:p>
      <w:pPr>
        <w:jc w:val="both"/>
        <w:ind w:right="280"/>
        <w:spacing w:after="0" w:line="272" w:lineRule="auto"/>
        <w:rPr>
          <w:sz w:val="20"/>
          <w:szCs w:val="20"/>
          <w:color w:val="auto"/>
        </w:rPr>
      </w:pPr>
      <w:r>
        <w:rPr>
          <w:rFonts w:ascii="Times New Roman" w:cs="Times New Roman" w:eastAsia="Times New Roman" w:hAnsi="Times New Roman"/>
          <w:sz w:val="17"/>
          <w:szCs w:val="17"/>
          <w:color w:val="auto"/>
        </w:rPr>
        <w:t>As described in the section titled “Dividend Policy,” we do not anticipate declaring or paying dividends to holders of our Class A common stock in the foreseeable future. However, if we do make distributions of cash or property on our stock, such distributions will constitute dividends for U.S. federal income tax purposes to the extent paid from our current or accumulated earnings and profits, as determined under U.S. federal income tax principles.</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Dividends paid to non-corporate U.S. holders generally will qualify for taxation at reduced rates if such U.S. holders meet certain holding period and other applicable requirements. Amounts not treated as dividends for U.S. federal income tax purposes will constitute a return of capital and first be applied against and reduce a U.S. holder’s adjusted tax basis in its stock, but not below zero. Any excess will be treated as capital gain and will be treated as described below under “—</w:t>
      </w:r>
      <w:r>
        <w:rPr>
          <w:rFonts w:ascii="Times New Roman" w:cs="Times New Roman" w:eastAsia="Times New Roman" w:hAnsi="Times New Roman"/>
          <w:sz w:val="18"/>
          <w:szCs w:val="18"/>
          <w:i w:val="1"/>
          <w:iCs w:val="1"/>
          <w:color w:val="auto"/>
        </w:rPr>
        <w:t>Sale or Other Taxable Disposition</w:t>
      </w:r>
      <w:r>
        <w:rPr>
          <w:rFonts w:ascii="Times New Roman" w:cs="Times New Roman" w:eastAsia="Times New Roman" w:hAnsi="Times New Roman"/>
          <w:sz w:val="18"/>
          <w:szCs w:val="18"/>
          <w:color w:val="auto"/>
        </w:rPr>
        <w:t>.” U.S. holders should consult their tax advisors regarding the application of reduced tax rates in their particular circumstances.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U.S. holder will recognize capital gain or loss on a sale or other taxable disposition of our stock equal to the difference between the amount of cash and the fair market value of any property received upon the sale or other taxable disposition and the U.S. holder’s adjusted tax basis in the shares sold or disposed of. Such capital gain or loss will be long-term capital gain or loss if the U.S. holder’s holding period for the shares sold or exchanged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S-56</w:t>
      </w:r>
    </w:p>
    <w:p>
      <w:pPr>
        <w:sectPr>
          <w:pgSz w:w="11900" w:h="16838" w:orient="portrait"/>
          <w:cols w:equalWidth="0" w:num="1">
            <w:col w:w="11140"/>
          </w:cols>
          <w:pgMar w:left="320" w:top="1440" w:right="439" w:bottom="1440" w:gutter="0" w:footer="0" w:header="0"/>
        </w:sectPr>
      </w:pPr>
    </w:p>
    <w:bookmarkStart w:id="58" w:name="page59"/>
    <w:bookmarkEnd w:id="58"/>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more than one year. Long-term capital gains recognized by certain non-corporate U.S. holders, including individuals, will be taxable at reduced rates. The deductibility of capital losses is subject to limitations.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Distributions with respect to our stock to a U.S. holder and proceeds from the sale or other taxable disposition of our stock by the U.S. holder generally are subject to information reporting to the IRS, unless the U.S. holder is an exempt recipient. Backup withholding may apply to such payments if a U.S. holder is not otherwise exempt and:</w:t>
      </w:r>
    </w:p>
    <w:p>
      <w:pPr>
        <w:spacing w:after="0" w:line="12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fails to furnish its taxpayer identification number (“TIN”), which for an individual, is ordinarily his or her social security number;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furnishes an incorrect TIN;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is notified by the IRS that such holder has failed to properly report payments of dividends or interest; or</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fails to certify, under penalties of perjury, that such holder has furnished a correct TIN and that the IRS has not notified such holder that such holder is subject to backup withholding.</w:t>
      </w:r>
    </w:p>
    <w:p>
      <w:pPr>
        <w:spacing w:after="0" w:line="108"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Applicable to Non-U.S.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75"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Any distributions of cash or property on our stock will constitute dividends for U.S. federal income tax purposes to the extent paid from our current and accumulated earnings and profits, as determined under U.S. federal income tax principles. Amounts not treated as dividends for U.S. federal income tax purposes will first constitute a return of capital and be applied against and reduce a non-U.S. Holder’s adjusted tax basis in its stock, but not below zero. Any excess will be treated as capital gain and will be treated as described below under “—Sale or Other Taxable Disposition.”</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Subject to the discussions below on effectively connected income, backup withholding and FATCA (as defined below), dividends paid to a non-U.S. holder on our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S-57</w:t>
      </w:r>
    </w:p>
    <w:p>
      <w:pPr>
        <w:sectPr>
          <w:pgSz w:w="11900" w:h="16838" w:orient="portrait"/>
          <w:cols w:equalWidth="0" w:num="1">
            <w:col w:w="11220"/>
          </w:cols>
          <w:pgMar w:left="320" w:top="1440" w:right="359" w:bottom="1440" w:gutter="0" w:footer="0" w:header="0"/>
        </w:sectPr>
      </w:pPr>
    </w:p>
    <w:bookmarkStart w:id="59" w:name="page60"/>
    <w:bookmarkEnd w:id="5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FATCA, a non-U.S. holder will not be subject to U.S. federal income tax on any gain realized upon the sale or other taxable disposition of our stock unless:</w:t>
      </w:r>
    </w:p>
    <w:p>
      <w:pPr>
        <w:spacing w:after="0" w:line="108" w:lineRule="exact"/>
        <w:rPr>
          <w:sz w:val="20"/>
          <w:szCs w:val="20"/>
          <w:color w:val="auto"/>
        </w:rPr>
      </w:pPr>
    </w:p>
    <w:p>
      <w:pPr>
        <w:ind w:left="660" w:right="340" w:hanging="328"/>
        <w:spacing w:after="0" w:line="312" w:lineRule="auto"/>
        <w:tabs>
          <w:tab w:leader="none" w:pos="65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85" w:lineRule="exact"/>
        <w:rPr>
          <w:rFonts w:ascii="Times New Roman" w:cs="Times New Roman" w:eastAsia="Times New Roman" w:hAnsi="Times New Roman"/>
          <w:sz w:val="17"/>
          <w:szCs w:val="17"/>
          <w:color w:val="auto"/>
        </w:rPr>
      </w:pPr>
    </w:p>
    <w:p>
      <w:pPr>
        <w:ind w:left="660" w:right="2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constitutes a U.S. real property interest (“USRPI”) by reason of our status as a U.S. real property holding corporation (“USRPHC”) for U.S. federal income tax purposes.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35" w:lineRule="exact"/>
        <w:rPr>
          <w:sz w:val="20"/>
          <w:szCs w:val="20"/>
          <w:color w:val="auto"/>
        </w:rPr>
      </w:pPr>
    </w:p>
    <w:p>
      <w:pPr>
        <w:ind w:right="1240"/>
        <w:spacing w:after="0" w:line="438" w:lineRule="auto"/>
        <w:rPr>
          <w:sz w:val="20"/>
          <w:szCs w:val="20"/>
          <w:color w:val="auto"/>
        </w:rPr>
      </w:pPr>
      <w:r>
        <w:rPr>
          <w:rFonts w:ascii="Times New Roman" w:cs="Times New Roman" w:eastAsia="Times New Roman" w:hAnsi="Times New Roman"/>
          <w:sz w:val="18"/>
          <w:szCs w:val="18"/>
          <w:color w:val="auto"/>
        </w:rPr>
        <w:t xml:space="preserve">Non-U.S. holders should consult their tax advisors regarding potentially applicable income tax treaties that may provide for different rules. </w:t>
      </w:r>
      <w:r>
        <w:rPr>
          <w:rFonts w:ascii="Times New Roman" w:cs="Times New Roman" w:eastAsia="Times New Roman" w:hAnsi="Times New Roman"/>
          <w:sz w:val="18"/>
          <w:szCs w:val="18"/>
          <w:b w:val="1"/>
          <w:bCs w:val="1"/>
          <w:i w:val="1"/>
          <w:iCs w:val="1"/>
          <w:color w:val="auto"/>
        </w:rPr>
        <w:t>Information Reporting and Backup Withholding</w:t>
      </w:r>
    </w:p>
    <w:p>
      <w:pPr>
        <w:spacing w:after="0" w:line="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Payments of dividends on our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stock paid to the non-U.S. holder, regardless of whether such distributions constitute dividends or whether any tax was actually withheld. In addition, proceeds of the sale or other taxable disposition of our stock within the United States or conducted through certain U.S. 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stock conducted through a non-U.S. office of a non-U.S. broker generally will not be subject to backup withholding or information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S-58</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3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dividends on our stock. The U.S. Department of Treasury has issued proposed Treasury Regulations providing that the withholding provisions under FATCA do not apply with respect to the gross proceeds from a sale or other disposition of our common stock. In its preamble to such proposed regulations, the U.S. Department of the Treasury stated that taxpayers generally may rely on these proposed Treasury Regulations until final Treasury Regulations are issued.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S-59</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dated January 26, 2022, between us and Jefferies LLC, as underwriter, we have agreed to sell to the underwriter, and the underwriter has agreed to purchase from us, the entire number of shares of Class A common stock offered by this prospectus supplement.</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 are subject to certain conditions precedent such as the receipt by the underwriter of officers’ certificates and legal opinions and approval of certain legal matters by their counsel. The underwriting agreement provides that the underwriter will purchase all of the shares of Class A common stock if any of them are purchased. We have agreed to indemnify the underwriter and certain of its controlling persons against certain liabilities, including liabilities under the Securities Act, and to contribute to payments that the underwriter may be required to make in respect of those liabilities.</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underwriter has advised us that, following the completion of this offering, its currently intends to make a market in the Class A common stock as permitted by applicable laws and regulations. However, the underwriter is not obligated to do so, and the underwriter may discontinue any market-making activities at any time without notice, in their sole discretion. Accordingly, no assurance can be given as to the liquidity of the trading market for the Class A common stock, your ability to sell any of the Class A common stock held by you at a particular time or that the prices that you receive when you sell will be favorable.</w:t>
      </w:r>
    </w:p>
    <w:p>
      <w:pPr>
        <w:spacing w:after="0" w:line="1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underwriter is offering the shares of Class A common stock subject to its acceptance of the shares of Class A common stock from us and subject to prior sale. The underwriter reserves the right to withdraw, cancel or modify offers to the public and to reject orders in whole or in part.</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closing of the issuance and sale of 77,663,376 shares of our Class A common stock in the concurrent registered direct offering are expected to occur subsequent to the closing of this offering. The issuance and sale of the remaining 22,336,624 shares of our Class A common stock in the concurrent registered direct offering are subject to stockholder approval to satisfy Nasdaq requirements with respect to the issuance of such shares. This offering is not contingent on the closing of the concurrent registered direct offering.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and Expenses</w:t>
      </w:r>
    </w:p>
    <w:p>
      <w:pPr>
        <w:spacing w:after="0" w:line="175"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The underwriter has advised us that it proposes to offer the shares of Class A common stock to the public at the public offering price set forth on the cover page of this prospectus supplement and to certain dealers, which may include the underwriter, at a price less a concession not in excess of $.006825.</w:t>
      </w: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per share of Class A common stock. After the offering, the public offering price, concession and reallowance to dealers may be reduced by the underwriter.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reduction will change the amount of proceeds to be received by us as set forth on the cover page of this prospectus supplement.</w:t>
      </w:r>
    </w:p>
    <w:p>
      <w:pPr>
        <w:spacing w:after="0" w:line="15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the underwriting discounts and commissions that we are to pay the underwriter and the proceeds to us, before expenses, in connection with this offering.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40" w:type="dxa"/>
            <w:vAlign w:val="bottom"/>
          </w:tcPr>
          <w:p>
            <w:pPr>
              <w:spacing w:after="0"/>
              <w:rPr>
                <w:sz w:val="16"/>
                <w:szCs w:val="16"/>
                <w:color w:val="auto"/>
              </w:rPr>
            </w:pPr>
          </w:p>
        </w:tc>
        <w:tc>
          <w:tcPr>
            <w:tcW w:w="12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offering price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115,000,000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discounts and commissions paid by us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0.011375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3,737,500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to us, before fees and expenses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0.338625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111,262,500</w:t>
            </w:r>
          </w:p>
        </w:tc>
      </w:tr>
    </w:tbl>
    <w:p>
      <w:pPr>
        <w:spacing w:after="0" w:line="23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estimate fees and expenses payable by us in connection with this offering and the concurrent registered direct offering, other than the underwriting discounts and commissions referred to above, will be approximately $2,200,000. We have also agreed to reimburse the underwriter for certain of its expenses in an amount not to exceed $40,000.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and Company, LLC is acting as our independent financial advisor for this offering, for which we will pay a customary advisory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S-60</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trading symbol “WGS”.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agreed that, subject to certain exceptions, we will not (i) offer, sell, contract to sell, pledge, grant any option to purchase, make any short sale or otherwise transfer or dispose of, directly or indirectly, or file with the SEC a registration statement under the Securities Act relating to, any securities of the Company that are substantially similar to the Class A common stock, including but not limited to any options or warrants to purchase shares of Class A common stock or any securities that are convertible into or exchangeable for, or that represent the right to receive, Class A common stock or any such substantially similar securities, or publicly disclose the intention to make any offer, sale, pledge, disposition or filing or (ii) enter into any swap or other agreement that transfers, in whole or in part, any of the economic consequences of ownership of the Class A common stock or any such other securities, whether any such transaction described in clause (i) or (ii) above is to be settled by delivery of Class A common stock or such other securities, in cash or otherwise, in each case, without the prior written consent of Jefferies LLC for a period of 60 days after the date of this prospectus supplement.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 us with respect to:</w:t>
      </w:r>
    </w:p>
    <w:p>
      <w:pPr>
        <w:spacing w:after="0" w:line="171"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to be sold pursuant to the underwriting agreement;</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sold pursuant to the concurrent registered direct offering;</w:t>
      </w:r>
    </w:p>
    <w:p>
      <w:pPr>
        <w:spacing w:after="0" w:line="171"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issued upon the exercise of options granted under our stock incentive plans as described elsewhere in this prospectus supplement;</w:t>
      </w:r>
    </w:p>
    <w:p>
      <w:pPr>
        <w:spacing w:after="0" w:line="107" w:lineRule="exact"/>
        <w:rPr>
          <w:rFonts w:ascii="Times New Roman" w:cs="Times New Roman" w:eastAsia="Times New Roman" w:hAnsi="Times New Roman"/>
          <w:sz w:val="18"/>
          <w:szCs w:val="18"/>
          <w:color w:val="auto"/>
        </w:rPr>
      </w:pPr>
    </w:p>
    <w:p>
      <w:pPr>
        <w:ind w:left="1300" w:right="100" w:hanging="644"/>
        <w:spacing w:after="0" w:line="261" w:lineRule="auto"/>
        <w:tabs>
          <w:tab w:leader="none" w:pos="129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Class A common stock or any securities or other awards or rights (including without limitation options, restricted stock or restricted stock units) convertible into, exercisable or exchangeable for, or that represent the right to receive, shares of Class A common stock pursuant to any stock option plan, incentive plan or stock purchase plan of the Company or otherwise in equity compensation arrangements described elsewhere in this prospectus supplement;</w:t>
      </w:r>
    </w:p>
    <w:p>
      <w:pPr>
        <w:spacing w:after="0" w:line="125" w:lineRule="exact"/>
        <w:rPr>
          <w:rFonts w:ascii="Times New Roman" w:cs="Times New Roman" w:eastAsia="Times New Roman" w:hAnsi="Times New Roman"/>
          <w:sz w:val="18"/>
          <w:szCs w:val="18"/>
          <w:color w:val="auto"/>
        </w:rPr>
      </w:pPr>
    </w:p>
    <w:p>
      <w:pPr>
        <w:ind w:left="1300" w:right="260" w:hanging="644"/>
        <w:spacing w:after="0" w:line="258" w:lineRule="auto"/>
        <w:tabs>
          <w:tab w:leader="none" w:pos="129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Class A common stock issuable pursuant to (i) the Agreement and Plan of Merger, dated as of February 9, 2021, as amended, by and among CMLS, S-IV Sub, Inc. and Legacy Sema4 executed in connection with the Business Combination or (ii) the Agreement and Plan of Merger and Reorganization, dated as of January 14, 2022, as amended, by and among Sema4 Holdings Corp., Orion Merger Sub I, Inc., Orion Merger Sub II, LLC, GeneDx, Inc., OPKO Health, Inc., and GeneDx Holding 2, Inc. executed in connection with the Acquisition;</w:t>
      </w:r>
    </w:p>
    <w:p>
      <w:pPr>
        <w:spacing w:after="0" w:line="129"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28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Class A common stock issued upon the exercise or redemption of warrants or the conversion or redemption of Company securities as described elsewhere in this prospectus supplement;</w:t>
      </w:r>
    </w:p>
    <w:p>
      <w:pPr>
        <w:spacing w:after="0" w:line="107" w:lineRule="exact"/>
        <w:rPr>
          <w:rFonts w:ascii="Times New Roman" w:cs="Times New Roman" w:eastAsia="Times New Roman" w:hAnsi="Times New Roman"/>
          <w:sz w:val="18"/>
          <w:szCs w:val="18"/>
          <w:color w:val="auto"/>
        </w:rPr>
      </w:pPr>
    </w:p>
    <w:p>
      <w:pPr>
        <w:ind w:left="1300" w:right="520" w:hanging="644"/>
        <w:spacing w:after="0" w:line="266" w:lineRule="auto"/>
        <w:tabs>
          <w:tab w:leader="none" w:pos="129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the Company of any registration statement on Form S-8 or a successor form thereto relating to any stock option plan, incentive plan or stock purchase plan described elsewhere in this prospectus supplement or otherwise in equity compensation arrangements; and</w:t>
      </w:r>
    </w:p>
    <w:p>
      <w:pPr>
        <w:spacing w:after="0" w:line="121" w:lineRule="exact"/>
        <w:rPr>
          <w:rFonts w:ascii="Times New Roman" w:cs="Times New Roman" w:eastAsia="Times New Roman" w:hAnsi="Times New Roman"/>
          <w:sz w:val="18"/>
          <w:szCs w:val="18"/>
          <w:color w:val="auto"/>
        </w:rPr>
      </w:pPr>
    </w:p>
    <w:p>
      <w:pPr>
        <w:ind w:left="1300" w:hanging="644"/>
        <w:spacing w:after="0" w:line="261" w:lineRule="auto"/>
        <w:tabs>
          <w:tab w:leader="none" w:pos="129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 worth of shares of Class A common stock or any securities convertible into or exercisable or exchangeable for, or that represent the right to receive, shares of Class A common stock issued in connection with any joint venture, commercial or collaborative relationship or the acquisition or license by the Company of the securities, businesses, property or other assets of another person or entity or pursuant to any employee benefit plan assumed by the Company in connection with any such acquisition).</w:t>
      </w:r>
    </w:p>
    <w:p>
      <w:pPr>
        <w:spacing w:after="0" w:line="12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officers and directors and certain of our shareholders have entered into lock-up agreements with the underwriter prior to the commencement of this offering pursuant to which each of these persons or entities,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S-61</w:t>
      </w:r>
    </w:p>
    <w:p>
      <w:pPr>
        <w:sectPr>
          <w:pgSz w:w="11900" w:h="16838" w:orient="portrait"/>
          <w:cols w:equalWidth="0" w:num="1">
            <w:col w:w="11180"/>
          </w:cols>
          <w:pgMar w:left="320" w:top="1440" w:right="399" w:bottom="1440" w:gutter="0" w:footer="0" w:header="0"/>
        </w:sectPr>
      </w:pPr>
    </w:p>
    <w:bookmarkStart w:id="63" w:name="page64"/>
    <w:bookmarkEnd w:id="63"/>
    <w:p>
      <w:pPr>
        <w:spacing w:after="0" w:line="1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limited exceptions, for a period of 60 days after the date of this prospectus (the “Lock-Up Period”), may not, without the prior written consent of Jefferies LLC (i) offer, sell, contract to sell, pledge, grant any option, right or warrant to purchase, purchase any option or contract to sell, lend or otherwise transfer or dispose of any shares of Class A common stock, or any options or warrants to purchase any shares of Class A common stock, or any securities convertible into, exchangeable for or that represent the right to receive shares of Class A common stock (such shares of Class A common stock, options, rights, warrants or other securities, collectively, “Lock-Up Securities”), including without limitation any such Lock-Up Securities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(iii) make any demand for or exercise any right with respect to the registration of any Lock-Up Securities or (iv) otherwise publicly announce any intention to engage in or cause any action, activity, transaction or arrangement described in clause (i), (ii) or (iii) above.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with respect to:</w:t>
      </w:r>
    </w:p>
    <w:p>
      <w:pPr>
        <w:spacing w:after="0" w:line="171"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Lock-Up Securities:</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one or more bona fide gifts or charitable contributions, or for bona fide estate planning purposes;</w:t>
      </w:r>
    </w:p>
    <w:p>
      <w:pPr>
        <w:spacing w:after="0" w:line="171"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death by will, testamentary document or intestate succession;</w:t>
      </w:r>
    </w:p>
    <w:p>
      <w:pPr>
        <w:spacing w:after="0" w:line="171" w:lineRule="exact"/>
        <w:rPr>
          <w:rFonts w:ascii="Times New Roman" w:cs="Times New Roman" w:eastAsia="Times New Roman" w:hAnsi="Times New Roman"/>
          <w:sz w:val="18"/>
          <w:szCs w:val="18"/>
          <w:color w:val="auto"/>
        </w:rPr>
      </w:pPr>
    </w:p>
    <w:p>
      <w:pPr>
        <w:ind w:left="1960" w:right="600" w:hanging="656"/>
        <w:spacing w:after="0" w:line="282"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transferor is a natural person, to members of immediate family or to any trust for the direct or indirect benefit of an immediate family or to a trustor or beneficiary of a trust or the estate of a beneficiary of a trust;</w:t>
      </w:r>
    </w:p>
    <w:p>
      <w:pPr>
        <w:spacing w:after="0" w:line="107" w:lineRule="exact"/>
        <w:rPr>
          <w:rFonts w:ascii="Times New Roman" w:cs="Times New Roman" w:eastAsia="Times New Roman" w:hAnsi="Times New Roman"/>
          <w:sz w:val="18"/>
          <w:szCs w:val="18"/>
          <w:color w:val="auto"/>
        </w:rPr>
      </w:pPr>
    </w:p>
    <w:p>
      <w:pPr>
        <w:ind w:left="1960" w:right="260" w:hanging="656"/>
        <w:spacing w:after="0" w:line="282" w:lineRule="auto"/>
        <w:tabs>
          <w:tab w:leader="none" w:pos="19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partnership, limited liability company or other entity of which the transferor and the immediate family of such transferor are the legal and beneficial owner of all of the outstanding equity securities or similar interests;</w:t>
      </w:r>
    </w:p>
    <w:p>
      <w:pPr>
        <w:spacing w:after="0" w:line="107"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5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 (iv) above;</w:t>
      </w:r>
    </w:p>
    <w:p>
      <w:pPr>
        <w:spacing w:after="0" w:line="107" w:lineRule="exact"/>
        <w:rPr>
          <w:rFonts w:ascii="Times New Roman" w:cs="Times New Roman" w:eastAsia="Times New Roman" w:hAnsi="Times New Roman"/>
          <w:sz w:val="18"/>
          <w:szCs w:val="18"/>
          <w:color w:val="auto"/>
        </w:rPr>
      </w:pPr>
    </w:p>
    <w:p>
      <w:pPr>
        <w:ind w:left="1960" w:hanging="656"/>
        <w:spacing w:after="0" w:line="258" w:lineRule="auto"/>
        <w:tabs>
          <w:tab w:leader="none" w:pos="195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transferor is a corporation, partnership, limited liability company or other business entity, (a) to another corporation, partnership, limited liability company or other business entity that is an affiliate (as defined in Rule 405 under the Securities Act) of the transferor, or to any investment fund or other entity which fund or entity is controlled or managed by the transferor or affiliates of the transferor, or (b) as part of a distribution by the undersigned to its stockholders, partners, members or other equityholders or to the estate of any such stockholders, partners, members or other equityholders;</w:t>
      </w:r>
    </w:p>
    <w:p>
      <w:pPr>
        <w:spacing w:after="0" w:line="1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w:t>
      </w:r>
    </w:p>
    <w:p>
      <w:pPr>
        <w:spacing w:after="0" w:line="171" w:lineRule="exact"/>
        <w:rPr>
          <w:rFonts w:ascii="Times New Roman" w:cs="Times New Roman" w:eastAsia="Times New Roman" w:hAnsi="Times New Roman"/>
          <w:sz w:val="18"/>
          <w:szCs w:val="18"/>
          <w:color w:val="auto"/>
        </w:rPr>
      </w:pPr>
    </w:p>
    <w:p>
      <w:pPr>
        <w:ind w:left="1960" w:right="200" w:hanging="656"/>
        <w:spacing w:after="0" w:line="282" w:lineRule="auto"/>
        <w:tabs>
          <w:tab w:leader="none" w:pos="195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from an employee of the Company upon death, disability or termination of employment, in each case, of such employee;</w:t>
      </w:r>
    </w:p>
    <w:p>
      <w:pPr>
        <w:spacing w:after="0" w:line="107" w:lineRule="exact"/>
        <w:rPr>
          <w:rFonts w:ascii="Times New Roman" w:cs="Times New Roman" w:eastAsia="Times New Roman" w:hAnsi="Times New Roman"/>
          <w:sz w:val="18"/>
          <w:szCs w:val="18"/>
          <w:color w:val="auto"/>
        </w:rPr>
      </w:pPr>
    </w:p>
    <w:p>
      <w:pPr>
        <w:ind w:left="1960" w:right="100" w:hanging="656"/>
        <w:spacing w:after="0" w:line="266" w:lineRule="auto"/>
        <w:tabs>
          <w:tab w:leader="none" w:pos="195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sale of the transferor’s Lock-Up Securities acquired (A) from the Underwriter in the offering contemplated by this prospectus supplement or (B) in open market transactions after the closing date of the offering contemplated by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S-62</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40" w:lineRule="exact"/>
        <w:rPr>
          <w:sz w:val="20"/>
          <w:szCs w:val="20"/>
          <w:color w:val="auto"/>
        </w:rPr>
      </w:pPr>
    </w:p>
    <w:p>
      <w:pPr>
        <w:ind w:left="1960" w:right="20" w:hanging="656"/>
        <w:spacing w:after="0" w:line="254" w:lineRule="auto"/>
        <w:tabs>
          <w:tab w:leader="none" w:pos="19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vesting, conversion, settlement, exchange or exercise of restricted stock units, options, warrants or other rights to purchase or receive shares of Class A common stock (including, in each case, a transfer to the Company by way of “net” or “cashless” exercise or a sale in the market to cover the payment of tax withholdings or remittance payments due in connection with such vesting, conversion, settlement, exchange or exercise), or in connection with the exercise or redemption of warrants or the conversion or redemption of convertible securities, in all such cases pursuant to equity awards or rights granted under a stock incentive plan, other equity award plan or stock purchase plan or inducement awards, or pursuant to the terms of warrants or convertible securities, each as described elsewhere in this prospectus supplement, provided that any Lock-Up Securities received upon such vesting, conversion, settlement, exchange, exercise or redemption, and after giving effect to such transfers to the Company or sale to cover transactions, shall be subject to the terms of the lock-up agreements;</w:t>
      </w:r>
    </w:p>
    <w:p>
      <w:pPr>
        <w:spacing w:after="0" w:line="134" w:lineRule="exact"/>
        <w:rPr>
          <w:rFonts w:ascii="Times New Roman" w:cs="Times New Roman" w:eastAsia="Times New Roman" w:hAnsi="Times New Roman"/>
          <w:sz w:val="18"/>
          <w:szCs w:val="18"/>
          <w:color w:val="auto"/>
        </w:rPr>
      </w:pPr>
    </w:p>
    <w:p>
      <w:pPr>
        <w:ind w:left="1960" w:right="180" w:hanging="656"/>
        <w:spacing w:after="0" w:line="261" w:lineRule="auto"/>
        <w:tabs>
          <w:tab w:leader="none" w:pos="19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written plan for trading securities that is designed to satisfy the requirements of Rule 10b5-1 under the Exchange Act (a “10b5-1 Plan”) in effect as of the date of this prospectus supplement and disclosed to the Jefferies, provided that any filing under Section 16 of the Exchange Act made in connection with such sales shall clearly indicate in the footnotes thereto that such disposition of Lock-Up Securities was pursuant to a 10b5-1 Plan;</w:t>
      </w:r>
    </w:p>
    <w:p>
      <w:pPr>
        <w:spacing w:after="0" w:line="1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Jefferies LLC;</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provided that (1) in the case of clauses (i), (ii), (iii), (iv), (v) and (vi) above, such transfer or distribution shall not involve a disposition for value, (2) in the case of clauses (i), (ii), (iii), (iv), (v), (vi) and (vii) above, it shall be a condition to the transfer or distribution that the donee, devisee, transferee or distributee, as the case may be, shall sign and deliver a lock up agreement, (3) in the case of clauses (i), (ii), (iii), (iv), (v) and (vi) above, no filing by any party (including, without limitation, any donor, donee, devisee, transferor, transferee, distributor or distributee) under the Exchange Act, or other public filing, report or announcement reporting a reduction in beneficial ownership of Lock-Up Securities shall be required or shall be voluntarily made in connection with such transfer or distribution, and (4) in the case of clauses (a)(vii),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(x) the circumstances of such transfer or distribution and (y) in the case of a transfer or distribution pursuant to clause (a)(vii) above, that the donee, devisee, transferee or distributee has agreed to be bound by a lock-up agreement;</w:t>
      </w:r>
    </w:p>
    <w:p>
      <w:pPr>
        <w:spacing w:after="0" w:line="140" w:lineRule="exact"/>
        <w:rPr>
          <w:sz w:val="20"/>
          <w:szCs w:val="20"/>
          <w:color w:val="auto"/>
        </w:rPr>
      </w:pPr>
    </w:p>
    <w:p>
      <w:pPr>
        <w:ind w:left="1300" w:right="300" w:hanging="644"/>
        <w:spacing w:after="0" w:line="266" w:lineRule="auto"/>
        <w:tabs>
          <w:tab w:leader="none" w:pos="128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shares of Class A common stock held by investment funds and accounts advised by the transferor, pledging and/or lending or hypothecating such shares pursuant to standard margin and pledge agreements entered into by such investment funds or accounts with its brokers in the ordinary course of their business;</w:t>
      </w:r>
    </w:p>
    <w:p>
      <w:pPr>
        <w:spacing w:after="0" w:line="121" w:lineRule="exact"/>
        <w:rPr>
          <w:rFonts w:ascii="Times New Roman" w:cs="Times New Roman" w:eastAsia="Times New Roman" w:hAnsi="Times New Roman"/>
          <w:sz w:val="18"/>
          <w:szCs w:val="18"/>
          <w:color w:val="auto"/>
        </w:rPr>
      </w:pPr>
    </w:p>
    <w:p>
      <w:pPr>
        <w:ind w:left="1300" w:hanging="644"/>
        <w:spacing w:after="0" w:line="258" w:lineRule="auto"/>
        <w:tabs>
          <w:tab w:leader="none" w:pos="128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10b5-1 Plan under the Exchange Act relating to the transfer, sale or other disposition of the undersigned’s Lock-Up Securities, if then permitted by the Company,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required or shall be voluntarily made regarding the establishment of such plan during the Lock-Up Period; and</w:t>
      </w:r>
    </w:p>
    <w:p>
      <w:pPr>
        <w:spacing w:after="0" w:line="129" w:lineRule="exact"/>
        <w:rPr>
          <w:rFonts w:ascii="Times New Roman" w:cs="Times New Roman" w:eastAsia="Times New Roman" w:hAnsi="Times New Roman"/>
          <w:sz w:val="18"/>
          <w:szCs w:val="18"/>
          <w:color w:val="auto"/>
        </w:rPr>
      </w:pPr>
    </w:p>
    <w:p>
      <w:pPr>
        <w:ind w:left="1300" w:right="40" w:hanging="644"/>
        <w:spacing w:after="0" w:line="258" w:lineRule="auto"/>
        <w:tabs>
          <w:tab w:leader="none" w:pos="129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the Lock-Up Securities pursuant to a bona fide third-party tender offer, merger, consolidation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S-63</w:t>
      </w:r>
    </w:p>
    <w:p>
      <w:pPr>
        <w:sectPr>
          <w:pgSz w:w="11900" w:h="16838" w:orient="portrait"/>
          <w:cols w:equalWidth="0" w:num="1">
            <w:col w:w="11220"/>
          </w:cols>
          <w:pgMar w:left="320" w:top="1440" w:right="359" w:bottom="1440" w:gutter="0" w:footer="0" w:header="0"/>
        </w:sectPr>
      </w:pPr>
    </w:p>
    <w:bookmarkStart w:id="65" w:name="page66"/>
    <w:bookmarkEnd w:id="65"/>
    <w:p>
      <w:pPr>
        <w:spacing w:after="0" w:line="140" w:lineRule="exact"/>
        <w:rPr>
          <w:sz w:val="20"/>
          <w:szCs w:val="20"/>
          <w:color w:val="auto"/>
        </w:rPr>
      </w:pPr>
    </w:p>
    <w:p>
      <w:pPr>
        <w:ind w:left="1300" w:right="100"/>
        <w:spacing w:after="0" w:line="266" w:lineRule="auto"/>
        <w:rPr>
          <w:sz w:val="20"/>
          <w:szCs w:val="20"/>
          <w:color w:val="auto"/>
        </w:rPr>
      </w:pPr>
      <w:r>
        <w:rPr>
          <w:rFonts w:ascii="Times New Roman" w:cs="Times New Roman" w:eastAsia="Times New Roman" w:hAnsi="Times New Roman"/>
          <w:sz w:val="18"/>
          <w:szCs w:val="18"/>
          <w:color w:val="auto"/>
        </w:rPr>
        <w:t>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Lock-Up Securities shall remain subject to the provisions of the lock-up agreements.</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Jefferies LLC may, in its sole discretion, and at any time or from time to time before the termination of the 60-day period, release all or any portion of the securities subject to lock-up agreements. There are no existing agreements providing consent to the sale of shares prior to the expiration of the lock-up period between the underwriter and any of our stockholders who will execute a lock-up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Stabilization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underwriter has advised us that it, pursuant to Regulation M under the Securities Exchange Act of 1934, as amended, may engage in short sale transactions, stabilizing transactions, syndicate covering transactions or the imposition of penalty bids in connection with this offering. These activities may have the effect of stabilizing or maintaining the market price of the Class A common stock at a level above that which might otherwise prevail in the open market. Establishing short sales positions may involve either “covered” short sales or “naked” short sales.</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“Covered” short sales are sales made in an amount not greater than the underwriters’ option to purchase additional shares of our Class A common stock in this offering. The underwriters may close out any covered short position by either exercising their option to purchase additional shares of Class A common stock or purchasing shares of our Class A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“Naked” short sales are sales in excess of the option to purchase additional shares of our Class A common stock. The underwriters must close out any naked short position by purchasing shares in the open market. A naked short position is more likely to be created if the underwriters are concerned that there may be downward pressure on the price of shares of our Class A common stock in the open market after pricing that could adversely affect investors who purchase in this offering.</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stabilizing bid is a bid for the purchase of shares of Class A common stock on behalf of the underwriter for the purpose of fixing or maintaining the price of the Class A common stock. A syndicate covering transaction is the bid for or the purchase of shares of Class A common stock on behalf of the underwriter to reduce a short position incurred by the underwriter in connection with the offering. Similar to other purchase transactions, the underwriter’s purchases to cover the syndicate short sales may have the effect of raising or maintaining the market price of our Class A common stock or preventing or retarding a decline in the market price of our Class A common stock. As a result, the price of our Class A common stock may be higher than the price that might otherwise exist in the open market. A penalty bid is an arrangement permitting the underwriter to reclaim the selling concession otherwise accruing to a syndicate member in connection with the offering if the Class A common stock originally sold by such syndicate member are purchased in a syndicate covering transaction and therefore have not been effectively placed by such syndicate member.</w:t>
      </w:r>
    </w:p>
    <w:p>
      <w:pPr>
        <w:spacing w:after="0" w:line="13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Neither we nor the underwriter make any representation or prediction as to the direction or magnitude of any effect that the transactions described above may have on the price of our Class A common stock. The underwriter is not obligated to engage in these activities and, if commenced, any of the activities may be discontinued at any time.</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underwriter may also engage in passive market making transactions in our Class A common stock on The NASDAQ Stock Market, LLC in accordance with Rule 103 of Regulation M during a period before the commencement of offers or sales of shares of our Class A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S-64</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by e-mail or on the web sites or through online services maintained by the underwriter or its affiliates. In those cases, prospective investors may view offering terms online and may be allowed to place orders online. The underwriter may agree with us to allocate a specific number of shares of Class A common stock for sale to online brokerage account holders. Any such allocation for online distributions will be made by the underwriter on the same basis as other allocations. Other than the prospectus supplement in electronic format, the information on the underwriter’s web site and any information contained in any other web site maintained by the underwriter is not part of this prospectus supplement, has not been approved and/or endorsed by us or the underwriter and should not be relied upon by investors.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Activities and Relationships</w:t>
      </w:r>
    </w:p>
    <w:p>
      <w:pPr>
        <w:spacing w:after="0" w:line="175"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The underwriter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1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 or its affiliates have a lending relationship with us, they routinely hedge their credit exposure to us consistent with their customary risk management policies. The underwriter and its affiliates may hedge such exposure by entering into transactions which consist of either the purchase of credit default swaps or the creation of short positions in our securities or the securities of our affiliates, including potentially the Class A common stock offered hereby. Any such short positions could adversely affect future trading prices of the Class A common stock offered hereby. The underwriter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Disclaimers About Non-U.S. Jurisdictions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prospectus supplement is not a disclosure document for the purposes of Australia’s Corporations Act 2001 (Cth) of Australia, or Corporations Act, is not lodged with the Australian Securities &amp; Investments Commission and is only directed to the categories of exempt persons set out below. Accordingly, if you receive this prospectus supplement in Australia: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confirm and warrant that you are either:</w:t>
      </w:r>
    </w:p>
    <w:p>
      <w:pPr>
        <w:spacing w:after="0" w:line="171"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708(8)(a) or (b) of the Corporations Act;</w:t>
      </w:r>
    </w:p>
    <w:p>
      <w:pPr>
        <w:spacing w:after="0" w:line="17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the company under Section 708(12) of the Corporations Act;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S-65</w:t>
      </w:r>
    </w:p>
    <w:p>
      <w:pPr>
        <w:sectPr>
          <w:pgSz w:w="11900" w:h="16838" w:orient="portrait"/>
          <w:cols w:equalWidth="0" w:num="1">
            <w:col w:w="11220"/>
          </w:cols>
          <w:pgMar w:left="320" w:top="1440" w:right="359" w:bottom="1440" w:gutter="0" w:footer="0" w:header="0"/>
        </w:sectPr>
      </w:pPr>
    </w:p>
    <w:bookmarkStart w:id="67" w:name="page68"/>
    <w:bookmarkEnd w:id="67"/>
    <w:p>
      <w:pPr>
        <w:spacing w:after="0" w:line="1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 the extent that you are unable to confirm or warrant that you are an exempt sophisticated investor, associated person or professional investor under the Corporations Act, any offer made to you under this prospectus supplement is void and incapable of acceptance.</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You warrant and agree that you will not offer any of the securities issued to you pursuant to this prospectus supplement for resale in Australia within 12 months of those securities being issued unless any such resale offer is exempt from the requirement to issue a disclosure document under section 708 of the Corporations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 Resale Restrictions</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distribution of shares of Class A common stock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shares of our Class A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 of Class A common stock.</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 Representations of Canadian Purchasers</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By purchasing shares of our Class A common stock in Canada and accepting delivery of a purchase confirmation, a purchaser is representing to us and the dealer from whom the purchase confirmation is received that:</w:t>
      </w:r>
    </w:p>
    <w:p>
      <w:pPr>
        <w:spacing w:after="0" w:line="108" w:lineRule="exact"/>
        <w:rPr>
          <w:sz w:val="20"/>
          <w:szCs w:val="20"/>
          <w:color w:val="auto"/>
        </w:rPr>
      </w:pPr>
    </w:p>
    <w:p>
      <w:pPr>
        <w:ind w:left="660" w:right="200" w:hanging="328"/>
        <w:spacing w:after="0" w:line="266" w:lineRule="auto"/>
        <w:tabs>
          <w:tab w:leader="none" w:pos="65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entitled under applicable provincial securities laws to purchase the shares of our Class A common stock without the benefit of a prospectus qualified under those securities laws as it is an “accredited investor” as defined under National Instrument 45-106-Prospectus Exemptions or Section 73.3(1) of the Securities Act (Ontario), as applicable,</w:t>
      </w:r>
    </w:p>
    <w:p>
      <w:pPr>
        <w:spacing w:after="0" w:line="12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“permitted client” as defined in National Instrument 31-103-Registration Requirements, Exemptions and Ongoing Registrant Obligations,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the purchaser is purchasing as principal and not as agent,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w:t>
      </w:r>
    </w:p>
    <w:p>
      <w:pPr>
        <w:spacing w:after="0" w:line="16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Conflicts of Interest</w:t>
      </w:r>
    </w:p>
    <w:p>
      <w:pPr>
        <w:spacing w:after="0" w:line="17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Canadian purchasers are hereby notified that the underwriter is relying on the exemption set out in section 3A.3 or 3A.4, if applicable, of National Instrument 33-105-Underwriting Conflicts from having to provide certain conflict of interest disclosure in this document.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Statutory Rights of Action</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Enforcement of Legal Rights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S-66</w:t>
      </w:r>
    </w:p>
    <w:p>
      <w:pPr>
        <w:sectPr>
          <w:pgSz w:w="11900" w:h="16838" w:orient="portrait"/>
          <w:cols w:equalWidth="0" w:num="1">
            <w:col w:w="11220"/>
          </w:cols>
          <w:pgMar w:left="320" w:top="1440" w:right="359" w:bottom="1440" w:gutter="0" w:footer="0" w:header="0"/>
        </w:sectPr>
      </w:pPr>
    </w:p>
    <w:bookmarkStart w:id="68" w:name="page69"/>
    <w:bookmarkEnd w:id="68"/>
    <w:p>
      <w:pPr>
        <w:spacing w:after="0" w:line="14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and, as a result, it may not be possible to satisfy a judgment against us or those persons in Canada or to enforce a judgment obtained in Canadian courts against us or those persons outside of Canada.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 Taxation and Eligibility for Investment</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Canadian purchasers of shares of Class A common stock should consult their own legal and tax advisors with respect to the tax consequences of an investment in the shares of our Class A common stock in their particular circumstances and about the eligibility of the shares of our Class A common stock for investment by the purchaser under relevant Canadian legislation.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26"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underwriter for any such offer;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shares shall require us or the underwriter to publish a prospectus pursuant to Article 3 of the Prospectus Regulation or supplement a prospectus pursuant to Article 23 of the Prospectus Regulation.</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7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No shares of our Class A common stock have been offered or sold, and no shares of our Class A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the SFO, and any rules made under that Ordinance; or in other circumstances which do not result in the document being a “prospectus” as defined in the Companies Ordinance (Cap. 32) of Hong Kong, or the CO, or which do not constitute an offer or invitation to the public for the purpose of the CO or the SFO. No document, invitation or advertisement relating to the shares of our Class A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our Class A common stock which are or are intended to be disposed of only to persons outside Hong Kong or only to “professional investors” as defined in the SFO and any rules made under that Ordinance.</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prospectus supplement has not been registered with the Registrar of Companies in Hong Kong. Accordingly, this prospectus supplement may not be issued, circulated or distributed in Hong Kong, and the shares of our Class A common stock may not be offered for subscription to members of the public in Hong Kong. Each person acquiring the shares of our Class A common stock will be required, and is deemed by the acquisition of the shares of our Class A common stock, to confirm that he is aware of the restriction on offers of the shares of our Class A common stock described in this prospectus supplement and the relevant offering documents and that he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S-67</w:t>
      </w:r>
    </w:p>
    <w:p>
      <w:pPr>
        <w:sectPr>
          <w:pgSz w:w="11900" w:h="16838" w:orient="portrait"/>
          <w:cols w:equalWidth="0" w:num="1">
            <w:col w:w="11220"/>
          </w:cols>
          <w:pgMar w:left="320" w:top="1440" w:right="359" w:bottom="1440" w:gutter="0" w:footer="0" w:header="0"/>
        </w:sectPr>
      </w:pPr>
    </w:p>
    <w:bookmarkStart w:id="69" w:name="page70"/>
    <w:bookmarkEnd w:id="69"/>
    <w:p>
      <w:pPr>
        <w:spacing w:after="0" w:line="140" w:lineRule="exact"/>
        <w:rPr>
          <w:sz w:val="20"/>
          <w:szCs w:val="20"/>
          <w:color w:val="auto"/>
        </w:rPr>
      </w:pPr>
    </w:p>
    <w:p>
      <w:pPr>
        <w:ind w:right="1440"/>
        <w:spacing w:after="0" w:line="438" w:lineRule="auto"/>
        <w:rPr>
          <w:sz w:val="20"/>
          <w:szCs w:val="20"/>
          <w:color w:val="auto"/>
        </w:rPr>
      </w:pPr>
      <w:r>
        <w:rPr>
          <w:rFonts w:ascii="Times New Roman" w:cs="Times New Roman" w:eastAsia="Times New Roman" w:hAnsi="Times New Roman"/>
          <w:sz w:val="18"/>
          <w:szCs w:val="18"/>
          <w:color w:val="auto"/>
        </w:rPr>
        <w:t xml:space="preserve">not acquiring, and has not been offered any shares of our Class A common stock in circumstances that contravene any such restrictions. </w:t>
      </w:r>
      <w:r>
        <w:rPr>
          <w:rFonts w:ascii="Times New Roman" w:cs="Times New Roman" w:eastAsia="Times New Roman" w:hAnsi="Times New Roman"/>
          <w:sz w:val="18"/>
          <w:szCs w:val="18"/>
          <w:b w:val="1"/>
          <w:bCs w:val="1"/>
          <w:i w:val="1"/>
          <w:iCs w:val="1"/>
          <w:color w:val="auto"/>
        </w:rPr>
        <w:t>Israel</w:t>
      </w:r>
    </w:p>
    <w:p>
      <w:pPr>
        <w:spacing w:after="0" w:line="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document does not constitute a prospectus under the Israeli Securities Law, 5728-1968, or the Securities Law, and has not been filed with or approved by the Israel Securities Authority. In Israel, this prospectus supplement is being distributed only to, and is directed only at, and any offer of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offering has not been and will not be registered under the Financial Instruments and Exchange Law of Japan (Law No. 25 of 1948 of Japan, as amended), or FIEL, and the underwriter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and will not be lodged or registered as a prospectus with the Monetary Authority of Singapore. Accordingly, this prospectus supplement and any other document or material in connection with the offer or sale, or invitation for subscription or purchase, of the Class A common stock may not be circulated or distributed, nor may the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the shares of our Class A common stock are subscribed or purchased under Section 275 of the SFA by a relevant person which is:</w:t>
      </w:r>
    </w:p>
    <w:p>
      <w:pPr>
        <w:spacing w:after="0" w:line="171" w:lineRule="exact"/>
        <w:rPr>
          <w:sz w:val="20"/>
          <w:szCs w:val="20"/>
          <w:color w:val="auto"/>
        </w:rPr>
      </w:pPr>
    </w:p>
    <w:p>
      <w:pPr>
        <w:ind w:left="660" w:right="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0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Class A common stock pursuant to an offer made under Section 275 of the SFA except:</w:t>
      </w:r>
    </w:p>
    <w:p>
      <w:pPr>
        <w:spacing w:after="0" w:line="122" w:lineRule="exact"/>
        <w:rPr>
          <w:sz w:val="20"/>
          <w:szCs w:val="20"/>
          <w:color w:val="auto"/>
        </w:rPr>
      </w:pPr>
    </w:p>
    <w:p>
      <w:pPr>
        <w:ind w:left="660" w:right="5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S-68</w:t>
      </w:r>
    </w:p>
    <w:p>
      <w:pPr>
        <w:sectPr>
          <w:pgSz w:w="11900" w:h="16838" w:orient="portrait"/>
          <w:cols w:equalWidth="0" w:num="1">
            <w:col w:w="11220"/>
          </w:cols>
          <w:pgMar w:left="320" w:top="1440" w:right="359" w:bottom="1440" w:gutter="0" w:footer="0" w:header="0"/>
        </w:sectPr>
      </w:pPr>
    </w:p>
    <w:bookmarkStart w:id="70" w:name="page71"/>
    <w:bookmarkEnd w:id="70"/>
    <w:p>
      <w:pPr>
        <w:spacing w:after="0" w:line="140"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or the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securities or the offering may be publicly distributed or otherwise made publicly available in Switzerland.</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us or the securities have been or will be filed with or approved by any Swiss regulatory authority. In particular, this prospectus supplement will not be filed with, and the offer of securities will not be supervised by, the Swiss Financial Market Supervisory Authority FINMA, and the offer of securities has not been and will not be authorized under the Swiss Federal Act on Collective Investment Schemes, or the CISA. The investor protection afforded to acquirers of interests in collective investment schemes under the CISA does not extend to acquirers of securities.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7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22"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underwriter for any such offer;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S-69</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validity of the securities offered hereby and certain other legal matters in connection with this offering will be passed upon by Fenwick &amp; West LLP, New York, New York. Certain legal matters relating to this offering will be passed upon for the underwriter by Ropes &amp; Gray LLP, Boston, Massachusetts.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GeneDx Holdings Corp. (f/k/a Sema4 Holdings Corp.) appearing in GeneDx Holdings Corp.’s Annual Report (Form 10-K) for the year ended December 31, 2021,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combined carve out financial statements of GeneDx, Inc. and subsidiary as of December 31, 2021 and 2020, and for each of the two years in the period ended December 31, 2021, included in the Proxy Statement of GeneDx Holdings Corp. dated March 31, 2022, incorporated by reference in this Prospectus Supplement and Registration Statement, have been audited by Ernst &amp; Young LLP, independent auditors, as set forth in their report thereon, and are incorporated herein by reference in reliance upon such report given on the authority of such firm as experts in accounting and auditing.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http://www.sec.gov.</w:t>
      </w:r>
    </w:p>
    <w:p>
      <w:pPr>
        <w:spacing w:after="0" w:line="10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Our website address is www.genedx.com. The information on our website, however, is not, and should not be deemed to be, a part of this prospectus supplement.</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Statements in this prospectus supplement and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this prospectus supplement and the accompanying prospectus or a previously filed document incorporated by reference will be deemed to be modified or superseded for purposes of this prospectus supplement and the accompanying prospectus to the extent that a statement contained in this prospectus supplement and the accompanying prospectus or a subsequently filed document incorporated by reference modifies or replaces that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S-70</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incorporate by reference the documents set forth below that have previously been filed with the SEC:</w:t>
      </w:r>
    </w:p>
    <w:p>
      <w:pPr>
        <w:spacing w:after="0" w:line="108"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20">
        <w:r>
          <w:rPr>
            <w:rFonts w:ascii="Times New Roman" w:cs="Times New Roman" w:eastAsia="Times New Roman" w:hAnsi="Times New Roman"/>
            <w:sz w:val="18"/>
            <w:szCs w:val="18"/>
            <w:u w:val="single" w:color="auto"/>
            <w:color w:val="0000FF"/>
          </w:rPr>
          <w:t>March 14, 2022</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quarterly period ended March 31, 2022 filed with the SEC on </w:t>
      </w:r>
      <w:hyperlink r:id="rId21">
        <w:r>
          <w:rPr>
            <w:rFonts w:ascii="Times New Roman" w:cs="Times New Roman" w:eastAsia="Times New Roman" w:hAnsi="Times New Roman"/>
            <w:sz w:val="18"/>
            <w:szCs w:val="18"/>
            <w:u w:val="single" w:color="auto"/>
            <w:color w:val="0000FF"/>
          </w:rPr>
          <w:t>May 12, 2022</w:t>
        </w:r>
      </w:hyperlink>
      <w:r>
        <w:rPr>
          <w:rFonts w:ascii="Times New Roman" w:cs="Times New Roman" w:eastAsia="Times New Roman" w:hAnsi="Times New Roman"/>
          <w:sz w:val="18"/>
          <w:szCs w:val="18"/>
          <w:color w:val="auto"/>
        </w:rPr>
        <w:t xml:space="preserve">, our Quarterly Report on Form 10-Q for the quarterly period ended June 30, 2022 filed with the SEC on </w:t>
      </w:r>
      <w:hyperlink r:id="rId22">
        <w:r>
          <w:rPr>
            <w:rFonts w:ascii="Times New Roman" w:cs="Times New Roman" w:eastAsia="Times New Roman" w:hAnsi="Times New Roman"/>
            <w:sz w:val="18"/>
            <w:szCs w:val="18"/>
            <w:u w:val="single" w:color="auto"/>
            <w:color w:val="0000FF"/>
          </w:rPr>
          <w:t>August 15, 2022</w:t>
        </w:r>
      </w:hyperlink>
      <w:r>
        <w:rPr>
          <w:rFonts w:ascii="Times New Roman" w:cs="Times New Roman" w:eastAsia="Times New Roman" w:hAnsi="Times New Roman"/>
          <w:sz w:val="18"/>
          <w:szCs w:val="18"/>
          <w:color w:val="auto"/>
        </w:rPr>
        <w:t xml:space="preserve">, and our Quarterly Report on Form 10-Q for the quarterly period ended September 30, 2022 filed with the SEC on </w:t>
      </w:r>
      <w:hyperlink r:id="rId23">
        <w:r>
          <w:rPr>
            <w:rFonts w:ascii="Times New Roman" w:cs="Times New Roman" w:eastAsia="Times New Roman" w:hAnsi="Times New Roman"/>
            <w:sz w:val="18"/>
            <w:szCs w:val="18"/>
            <w:u w:val="single" w:color="auto"/>
            <w:color w:val="0000FF"/>
          </w:rPr>
          <w:t>November 14, 2022</w:t>
        </w:r>
      </w:hyperlink>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Commission on </w:t>
      </w:r>
      <w:hyperlink r:id="rId24">
        <w:r>
          <w:rPr>
            <w:rFonts w:ascii="Times New Roman" w:cs="Times New Roman" w:eastAsia="Times New Roman" w:hAnsi="Times New Roman"/>
            <w:sz w:val="18"/>
            <w:szCs w:val="18"/>
            <w:u w:val="single" w:color="auto"/>
            <w:color w:val="0000FF"/>
          </w:rPr>
          <w:t>January 18,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Items 1.01, 3.02 and 5.02, and Exhibits </w:t>
      </w:r>
      <w:hyperlink r:id="rId25">
        <w:r>
          <w:rPr>
            <w:rFonts w:ascii="Times New Roman" w:cs="Times New Roman" w:eastAsia="Times New Roman" w:hAnsi="Times New Roman"/>
            <w:sz w:val="18"/>
            <w:szCs w:val="18"/>
            <w:color w:val="auto"/>
          </w:rPr>
          <w:t xml:space="preserve">2.1, 10.1, 10.2, 10.3 and 10.4 thereto), </w:t>
        </w:r>
        <w:r>
          <w:rPr>
            <w:rFonts w:ascii="Times New Roman" w:cs="Times New Roman" w:eastAsia="Times New Roman" w:hAnsi="Times New Roman"/>
            <w:sz w:val="18"/>
            <w:szCs w:val="18"/>
            <w:u w:val="single" w:color="auto"/>
            <w:color w:val="0000FF"/>
          </w:rPr>
          <w:t>January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March 14, 2022</w:t>
        </w:r>
        <w:r>
          <w:rPr>
            <w:rFonts w:ascii="Times New Roman" w:cs="Times New Roman" w:eastAsia="Times New Roman" w:hAnsi="Times New Roman"/>
            <w:sz w:val="18"/>
            <w:szCs w:val="18"/>
            <w:color w:val="auto"/>
          </w:rPr>
          <w:t xml:space="preserve"> (but only with respect to Items 4.02 and 9.01 thereto), </w:t>
        </w:r>
        <w:r>
          <w:rPr>
            <w:rFonts w:ascii="Times New Roman" w:cs="Times New Roman" w:eastAsia="Times New Roman" w:hAnsi="Times New Roman"/>
            <w:sz w:val="18"/>
            <w:szCs w:val="18"/>
            <w:u w:val="single" w:color="auto"/>
            <w:color w:val="0000FF"/>
          </w:rPr>
          <w:t>April 27,</w:t>
        </w:r>
      </w:hyperlink>
    </w:p>
    <w:p>
      <w:pPr>
        <w:ind w:left="660" w:right="40"/>
        <w:spacing w:after="0" w:line="250" w:lineRule="auto"/>
        <w:rPr>
          <w:rFonts w:ascii="Times New Roman" w:cs="Times New Roman" w:eastAsia="Times New Roman" w:hAnsi="Times New Roman"/>
          <w:sz w:val="18"/>
          <w:szCs w:val="18"/>
          <w:color w:val="000000"/>
        </w:rPr>
      </w:pPr>
      <w:hyperlink r:id="rId25">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26">
        <w:r>
          <w:rPr>
            <w:rFonts w:ascii="Times New Roman" w:cs="Times New Roman" w:eastAsia="Times New Roman" w:hAnsi="Times New Roman"/>
            <w:sz w:val="18"/>
            <w:szCs w:val="18"/>
            <w:u w:val="single" w:color="auto"/>
            <w:color w:val="0000FF"/>
          </w:rPr>
          <w:t xml:space="preserve">May 2, 2022 </w:t>
        </w:r>
      </w:hyperlink>
      <w:hyperlink r:id="rId25">
        <w:r>
          <w:rPr>
            <w:rFonts w:ascii="Times New Roman" w:cs="Times New Roman" w:eastAsia="Times New Roman" w:hAnsi="Times New Roman"/>
            <w:sz w:val="18"/>
            <w:szCs w:val="18"/>
            <w:color w:val="000000"/>
          </w:rPr>
          <w:t xml:space="preserve">(but only with respect to Items 1.01, 2.01, 3.02, 5.02, 5.03, 8.01, 9.01(a) and 9.01(b), and Exhibits 2.1, 3.1, 10.1, 10.2, </w:t>
        </w:r>
      </w:hyperlink>
      <w:r>
        <w:rPr>
          <w:rFonts w:ascii="Times New Roman" w:cs="Times New Roman" w:eastAsia="Times New Roman" w:hAnsi="Times New Roman"/>
          <w:sz w:val="18"/>
          <w:szCs w:val="18"/>
          <w:color w:val="0000FF"/>
        </w:rPr>
        <w:t xml:space="preserve">23.1, </w:t>
      </w:r>
      <w:r>
        <w:rPr>
          <w:rFonts w:ascii="Times New Roman" w:cs="Times New Roman" w:eastAsia="Times New Roman" w:hAnsi="Times New Roman"/>
          <w:sz w:val="18"/>
          <w:szCs w:val="18"/>
          <w:color w:val="000000"/>
        </w:rPr>
        <w:t xml:space="preserve">99.2 and 99.3 thereto), </w:t>
      </w:r>
      <w:hyperlink r:id="rId27">
        <w:r>
          <w:rPr>
            <w:rFonts w:ascii="Times New Roman" w:cs="Times New Roman" w:eastAsia="Times New Roman" w:hAnsi="Times New Roman"/>
            <w:sz w:val="18"/>
            <w:szCs w:val="18"/>
            <w:u w:val="single" w:color="auto"/>
            <w:color w:val="0000FF"/>
          </w:rPr>
          <w:t>June 14,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(but only with respect to Items 5.02 and 9.01), </w:t>
      </w:r>
      <w:hyperlink r:id="rId28">
        <w:r>
          <w:rPr>
            <w:rFonts w:ascii="Times New Roman" w:cs="Times New Roman" w:eastAsia="Times New Roman" w:hAnsi="Times New Roman"/>
            <w:sz w:val="18"/>
            <w:szCs w:val="18"/>
            <w:u w:val="single" w:color="auto"/>
            <w:color w:val="0000FF"/>
          </w:rPr>
          <w:t>July 1, 2022</w:t>
        </w:r>
      </w:hyperlink>
      <w:r>
        <w:rPr>
          <w:rFonts w:ascii="Times New Roman" w:cs="Times New Roman" w:eastAsia="Times New Roman" w:hAnsi="Times New Roman"/>
          <w:sz w:val="18"/>
          <w:szCs w:val="18"/>
          <w:color w:val="000000"/>
        </w:rPr>
        <w:t xml:space="preserve">, </w:t>
      </w:r>
      <w:hyperlink r:id="rId29">
        <w:r>
          <w:rPr>
            <w:rFonts w:ascii="Times New Roman" w:cs="Times New Roman" w:eastAsia="Times New Roman" w:hAnsi="Times New Roman"/>
            <w:sz w:val="18"/>
            <w:szCs w:val="18"/>
            <w:u w:val="single" w:color="auto"/>
            <w:color w:val="0000FF"/>
          </w:rPr>
          <w:t>August 26,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(but only with respect to Items 5.02, 8.01, 9.01(a) and 9.01(b), and Exhibits 10.1, 99.2 and 99.3 thereto), </w:t>
      </w:r>
      <w:hyperlink r:id="rId30">
        <w:r>
          <w:rPr>
            <w:rFonts w:ascii="Times New Roman" w:cs="Times New Roman" w:eastAsia="Times New Roman" w:hAnsi="Times New Roman"/>
            <w:sz w:val="18"/>
            <w:szCs w:val="18"/>
            <w:u w:val="single" w:color="auto"/>
            <w:color w:val="0000FF"/>
          </w:rPr>
          <w:t>November 14,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(but only with respect to Item 2.05</w:t>
      </w:r>
    </w:p>
    <w:p>
      <w:pPr>
        <w:spacing w:after="0" w:line="1" w:lineRule="exact"/>
        <w:rPr>
          <w:rFonts w:ascii="Times New Roman" w:cs="Times New Roman" w:eastAsia="Times New Roman" w:hAnsi="Times New Roman"/>
          <w:sz w:val="18"/>
          <w:szCs w:val="18"/>
          <w:color w:val="000000"/>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thereto), </w:t>
      </w:r>
      <w:hyperlink r:id="rId31">
        <w:r>
          <w:rPr>
            <w:rFonts w:ascii="Times New Roman" w:cs="Times New Roman" w:eastAsia="Times New Roman" w:hAnsi="Times New Roman"/>
            <w:sz w:val="18"/>
            <w:szCs w:val="18"/>
            <w:u w:val="single" w:color="auto"/>
            <w:color w:val="0000FF"/>
          </w:rPr>
          <w:t>December 30, 2022</w:t>
        </w:r>
      </w:hyperlink>
      <w:r>
        <w:rPr>
          <w:rFonts w:ascii="Times New Roman" w:cs="Times New Roman" w:eastAsia="Times New Roman" w:hAnsi="Times New Roman"/>
          <w:sz w:val="18"/>
          <w:szCs w:val="18"/>
          <w:color w:val="auto"/>
        </w:rPr>
        <w:t xml:space="preserve">, and </w:t>
      </w:r>
      <w:hyperlink r:id="rId32">
        <w:r>
          <w:rPr>
            <w:rFonts w:ascii="Times New Roman" w:cs="Times New Roman" w:eastAsia="Times New Roman" w:hAnsi="Times New Roman"/>
            <w:sz w:val="18"/>
            <w:szCs w:val="18"/>
            <w:u w:val="single" w:color="auto"/>
            <w:color w:val="0000FF"/>
          </w:rPr>
          <w:t>January 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(but only with respect to Item 5.03 thereto and Exhibits 3.1 and 3.2 thereto);</w:t>
      </w:r>
    </w:p>
    <w:p>
      <w:pPr>
        <w:spacing w:after="0" w:line="152"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combined carve-out balance sheets of GeneDx, Inc. and subsidiary as of December 31, 2021 and 2020, the related audited combined carve-out statements of comprehensive loss, equity and cash flows for each of the two years in the period ended December 31, 2021, and the related notes are included in our definitive proxy statement filed with the SEC on </w:t>
      </w:r>
      <w:hyperlink r:id="rId33">
        <w:r>
          <w:rPr>
            <w:rFonts w:ascii="Times New Roman" w:cs="Times New Roman" w:eastAsia="Times New Roman" w:hAnsi="Times New Roman"/>
            <w:sz w:val="18"/>
            <w:szCs w:val="18"/>
            <w:u w:val="single" w:color="auto"/>
            <w:color w:val="0000FF"/>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beginning on page F-41; and</w:t>
      </w:r>
    </w:p>
    <w:p>
      <w:pPr>
        <w:spacing w:after="0" w:line="121"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contained in our Registration Statement on </w:t>
      </w:r>
      <w:hyperlink r:id="rId34">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Commission on August 31, 2020, as updated by the description of our Class A common stock contained in Exhibit 4.4 to our Annual Report on </w:t>
      </w:r>
      <w:hyperlink r:id="rId20">
        <w:r>
          <w:rPr>
            <w:rFonts w:ascii="Times New Roman" w:cs="Times New Roman" w:eastAsia="Times New Roman" w:hAnsi="Times New Roman"/>
            <w:sz w:val="18"/>
            <w:szCs w:val="18"/>
            <w:u w:val="single" w:color="auto"/>
            <w:color w:val="0000FF"/>
          </w:rPr>
          <w:t>Form 10-K</w:t>
        </w:r>
      </w:hyperlink>
      <w:r>
        <w:rPr>
          <w:rFonts w:ascii="Times New Roman" w:cs="Times New Roman" w:eastAsia="Times New Roman" w:hAnsi="Times New Roman"/>
          <w:sz w:val="18"/>
          <w:szCs w:val="18"/>
          <w:color w:val="auto"/>
        </w:rPr>
        <w:t>, including any subsequent amendments or reports filed for the purpose of updating such description.</w:t>
      </w:r>
    </w:p>
    <w:p>
      <w:pPr>
        <w:spacing w:after="0" w:line="122" w:lineRule="exact"/>
        <w:rPr>
          <w:rFonts w:ascii="Times New Roman" w:cs="Times New Roman" w:eastAsia="Times New Roman" w:hAnsi="Times New Roman"/>
          <w:sz w:val="18"/>
          <w:szCs w:val="18"/>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pursuant to this prospectus supplement and the accompanying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supplement and the accompanying prospectus and deemed to be part of this prospectus supplement and the accompanying prospectus from the date of the filing of such reports and documents.</w:t>
      </w:r>
    </w:p>
    <w:p>
      <w:pPr>
        <w:spacing w:after="0" w:line="129" w:lineRule="exact"/>
        <w:rPr>
          <w:rFonts w:ascii="Times New Roman" w:cs="Times New Roman" w:eastAsia="Times New Roman" w:hAnsi="Times New Roman"/>
          <w:sz w:val="18"/>
          <w:szCs w:val="18"/>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supplement is delivered, upon written or oral request of such person, a copy of any or all of the documents incorporated by reference in this prospectus supplement, other than exhibits to such documents unless such exhibits are specifically incorporated by reference into such documents. Requests may be made by telephone at 1(800) 298-6470, or by sending a written request to GeneDx Holdings Corp., 333 Ludlow Street, North Tower, 8th Floor, Stamford, Connecticut 06902, Attention: Investor Relations.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S-71</w:t>
      </w:r>
    </w:p>
    <w:p>
      <w:pPr>
        <w:sectPr>
          <w:pgSz w:w="11900" w:h="16838" w:orient="portrait"/>
          <w:cols w:equalWidth="0" w:num="1">
            <w:col w:w="11220"/>
          </w:cols>
          <w:pgMar w:left="320" w:top="1440"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36195</wp:posOffset>
            </wp:positionV>
            <wp:extent cx="146558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14655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Sema4 Holdings Corp.</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Preferred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 Warrants, Subscription Rights and Units</w:t>
      </w:r>
    </w:p>
    <w:p>
      <w:pPr>
        <w:spacing w:after="0" w:line="15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From time to time, we may offer up to $300,000,000 aggregate dollar amount of shares of our Class A common stock (the “Class A common stock”) or preferred stock, debt securities, warrants to purchase our Class A common stock, preferred stock or debt securities, subscription rights to purchase our Class A common stock, preferred stock or debt securities and/or units consisting of some or all of these securities, in any combination, together or separately, in one or more offerings, in amounts, at prices and on the terms that we will determine at the time of the offering and which will be set forth in a prospectus supplement and, if permitted, any related free writing prospectus. The prospectus supplement and, if permitted, any related free writing prospectus may also add, update or change information contained in this prospectus. The total amount of these securities will have an initial aggregate offering price of up to $300,000,000.</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You should read this prospectus, the information incorporated, or deemed to be incorporated, by reference in this prospectus, and any applicable prospectus supplement and, if permitted, related free writing prospectus carefully before you invest.</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Class A common stock and public warrants are traded on The Nasdaq Global Select Market (the “Nasdaq”) under the symbols “SMFR” and “SMFRW,” respectively. On August 25, 2022, the last reported sales price of our Class A common stock was $1.22 per share and the last reported sales price of our public warrants was $0.31 per warrant. The applicable prospectus supplement and, if permitted, any related free writing prospectus will contain information, where applicable, as to any other listing on The Nasdaq Global Select Market or any securities market or exchange of the securities covered by the prospectus supplement and, if permitted, any related free writing prospectus.</w:t>
      </w:r>
    </w:p>
    <w:p>
      <w:pPr>
        <w:spacing w:after="0" w:line="1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in Section 2(a) of the Securities Act of 1933, as amended, and, as such, have elected to comply with certain reduced disclosure and regulatory requirements. An investment in our securities involves a high degree of risk. You should carefully consider the information under the heading “</w:t>
      </w:r>
      <w:r>
        <w:rPr>
          <w:rFonts w:ascii="Times New Roman" w:cs="Times New Roman" w:eastAsia="Times New Roman" w:hAnsi="Times New Roman"/>
          <w:sz w:val="18"/>
          <w:szCs w:val="18"/>
          <w:b w:val="1"/>
          <w:bCs w:val="1"/>
          <w:i w:val="1"/>
          <w:i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b w:val="1"/>
          <w:bCs w:val="1"/>
          <w:color w:val="auto"/>
        </w:rPr>
        <w:t xml:space="preserve"> of this prospectus, as well as the sections entitled “Risk Factors” beginning on page 30 of our Annual Report on Form 10-K for the year ended December 31, 2021, beginning on page 46 of our Quarterly Report on Form 10-Q for the quarter ended March 31, 2022 and beginning on page 60 of our Quarterly Report on Form 10-Q for the quarter ended June 30, 2022, which reports are incorporated by reference in this prospectus, before investing in our securities.</w:t>
      </w:r>
    </w:p>
    <w:p>
      <w:pPr>
        <w:spacing w:after="0" w:line="1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Class A common stock, preferred stock, debt securities, warrants, subscription rights and/or units may be sold by us to or through underwriters or dealers, directly to purchasers or through agents designated from time to time. For additional information on the methods of sale, you should refer to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If any underwriters, dealers or agents are involved in the sale of any securities with respect to which this prospectus is being delivered, the names of such underwriters or agents and any applicable fees, discounts or commissions, details regarding over-allotment options, if any, and the net proceeds to us will be set forth in a prospectus supplement. The price to the public of such securities and the net proceeds we expect to receive from such sale will also be set forth in a prospectus supplement.</w:t>
      </w:r>
    </w:p>
    <w:p>
      <w:pPr>
        <w:spacing w:after="0" w:line="129"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7, 2022</w:t>
      </w:r>
    </w:p>
    <w:p>
      <w:pPr>
        <w:sectPr>
          <w:pgSz w:w="11900" w:h="16838" w:orient="portrait"/>
          <w:cols w:equalWidth="0" w:num="1">
            <w:col w:w="11240"/>
          </w:cols>
          <w:pgMar w:left="320" w:top="1332" w:right="339" w:bottom="1440" w:gutter="0" w:footer="0" w:header="0"/>
        </w:sectPr>
      </w:pPr>
    </w:p>
    <w:bookmarkStart w:id="74" w:name="page75"/>
    <w:bookmarkEnd w:id="74"/>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90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080" w:type="dxa"/>
            <w:vAlign w:val="bottom"/>
            <w:gridSpan w:val="8"/>
            <w:vMerge w:val="restart"/>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gridSpan w:val="6"/>
            <w:vMerge w:val="continue"/>
          </w:tcPr>
          <w:p>
            <w:pPr>
              <w:spacing w:after="0"/>
              <w:rPr>
                <w:sz w:val="15"/>
                <w:szCs w:val="15"/>
                <w:color w:val="auto"/>
              </w:rPr>
            </w:pPr>
          </w:p>
        </w:tc>
        <w:tc>
          <w:tcPr>
            <w:tcW w:w="8080" w:type="dxa"/>
            <w:vAlign w:val="bottom"/>
            <w:gridSpan w:val="8"/>
            <w:vMerge w:val="continue"/>
          </w:tcPr>
          <w:p>
            <w:pPr>
              <w:spacing w:after="0"/>
              <w:rPr>
                <w:sz w:val="15"/>
                <w:szCs w:val="15"/>
                <w:color w:val="auto"/>
              </w:rPr>
            </w:pPr>
          </w:p>
        </w:tc>
        <w:tc>
          <w:tcPr>
            <w:tcW w:w="90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SELECTED DEFINITIONS</w:t>
            </w:r>
          </w:p>
        </w:tc>
        <w:tc>
          <w:tcPr>
            <w:tcW w:w="180" w:type="dxa"/>
            <w:vAlign w:val="bottom"/>
          </w:tcPr>
          <w:p>
            <w:pPr>
              <w:spacing w:after="0"/>
              <w:rPr>
                <w:sz w:val="18"/>
                <w:szCs w:val="18"/>
                <w:color w:val="auto"/>
              </w:rPr>
            </w:pPr>
          </w:p>
        </w:tc>
        <w:tc>
          <w:tcPr>
            <w:tcW w:w="8080" w:type="dxa"/>
            <w:vAlign w:val="bottom"/>
            <w:gridSpan w:val="8"/>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8260" w:type="dxa"/>
            <w:vAlign w:val="bottom"/>
            <w:gridSpan w:val="9"/>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00" w:type="dxa"/>
            <w:vAlign w:val="bottom"/>
            <w:gridSpan w:val="3"/>
          </w:tcPr>
          <w:p>
            <w:pPr>
              <w:spacing w:after="0"/>
              <w:rPr>
                <w:sz w:val="18"/>
                <w:szCs w:val="18"/>
                <w:color w:val="auto"/>
              </w:rPr>
            </w:pPr>
          </w:p>
        </w:tc>
        <w:tc>
          <w:tcPr>
            <w:tcW w:w="8260" w:type="dxa"/>
            <w:vAlign w:val="bottom"/>
            <w:gridSpan w:val="9"/>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1960" w:type="dxa"/>
            <w:vAlign w:val="bottom"/>
            <w:gridSpan w:val="2"/>
          </w:tcPr>
          <w:p>
            <w:pPr>
              <w:spacing w:after="0"/>
              <w:rPr>
                <w:sz w:val="18"/>
                <w:szCs w:val="18"/>
                <w:color w:val="auto"/>
              </w:rPr>
            </w:pPr>
          </w:p>
        </w:tc>
        <w:tc>
          <w:tcPr>
            <w:tcW w:w="4540" w:type="dxa"/>
            <w:vAlign w:val="bottom"/>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INCORPORATION OF INFORMATION BY REFERENCE</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5940" w:type="dxa"/>
            <w:vAlign w:val="bottom"/>
            <w:gridSpan w:val="2"/>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8260" w:type="dxa"/>
            <w:vAlign w:val="bottom"/>
            <w:gridSpan w:val="9"/>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440" w:type="dxa"/>
            <w:vAlign w:val="bottom"/>
            <w:gridSpan w:val="6"/>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DESCRIPTION OF DEBT SECURITIES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DESCRIPTION OF WARRANTS</w:t>
            </w:r>
          </w:p>
        </w:tc>
        <w:tc>
          <w:tcPr>
            <w:tcW w:w="7300" w:type="dxa"/>
            <w:vAlign w:val="bottom"/>
            <w:gridSpan w:val="5"/>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DESCRIPTION OF SUBSCRIPTION RIGHTS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DESCRIPTION OF UNITS</w:t>
            </w:r>
          </w:p>
        </w:tc>
        <w:tc>
          <w:tcPr>
            <w:tcW w:w="6860" w:type="dxa"/>
            <w:vAlign w:val="bottom"/>
            <w:gridSpan w:val="4"/>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260" w:type="dxa"/>
            <w:vAlign w:val="bottom"/>
            <w:gridSpan w:val="9"/>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2"/>
          </w:tcPr>
          <w:p>
            <w:pPr>
              <w:spacing w:after="0"/>
              <w:rPr>
                <w:sz w:val="18"/>
                <w:szCs w:val="18"/>
                <w:color w:val="auto"/>
              </w:rPr>
            </w:pPr>
          </w:p>
        </w:tc>
        <w:tc>
          <w:tcPr>
            <w:tcW w:w="8860" w:type="dxa"/>
            <w:vAlign w:val="bottom"/>
            <w:gridSpan w:val="11"/>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40" w:right="339" w:bottom="1440" w:gutter="0" w:footer="0" w:header="0"/>
        </w:sectPr>
      </w:pPr>
    </w:p>
    <w:bookmarkStart w:id="75" w:name="page76"/>
    <w:bookmarkEnd w:id="7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This prospectus is part of a registration statement on Form S-3 that we filed with the Securities and Exchange Commission (the “SEC”) using a “shelf” registration process. Under this shelf registration process, from time to time, we may sell any combination of the securities described in this prospectus in one or more offerings, up to a total dollar amount of $300,000,000. We have provided to you in this prospectus a general description of the securities we may offer. Each time we sell securities under this shelf registration process, we will provide a prospectus supplement that will contain specific information about the terms of the offering. We may also add, update or change in the prospectus supplement any of the information contained in this prospectus. To the extent there is a conflict between the information contained in this prospectus and the prospectus supplement, you should rely on the information in the prospectus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statement in one of these documents is inconsistent with a statement in another document having a later date— for example, a document incorporated by reference in this prospectus or any prospectus supplement—the statement in the document having the later date modifies or supersedes the earlier statement. You should read both this prospectus and any prospectus supplement together with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Information by Reference</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Neither we, nor any agent, underwriter or dealer have authorized anyone to give you any information or to make any representation other than the information and representations contained in or incorporated by reference into this prospectus or any applicable prospectus supplement. We and any agent, underwriter or dealer take no responsibility for, and can provide no assurance as to the reliability of, any other information others may give you. You may not imply from the delivery of this prospectus and any applicable prospectus supplement, nor from a sale made under this prospectus and any applicable prospectus supplement, that our affairs are unchanged since the date of this prospectus and any applicable prospectus supplement or that the information contained in any document incorporated by reference is accurate as of any date other than the date of the document incorporated by reference, regardless of the time of delivery of this prospectus and any applicable prospectus supplement or any sale of a security. This prospectus and any applicable prospectus supplement may only be used where it is legal to sell the securities.</w:t>
      </w:r>
    </w:p>
    <w:p>
      <w:pPr>
        <w:spacing w:after="0" w:line="134"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PROSPECTUS MAY NOT BE USED TO OFFER AND SELL SECURITIES UNLESS IT IS ACCOMPANIED BY AN ADDITIONAL PROSPECTUS OR A PROSPECTUS SUPPLEMENT.</w:t>
      </w:r>
    </w:p>
    <w:p>
      <w:pPr>
        <w:spacing w:after="0" w:line="1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the “Company,” “Sema4” and “we,” “us” and “our” refer to (i) Mount Sinai Genomics, Inc. d/b/a as Sema4 (“Legacy Sema4”) prior to the consummation of our business combination with CM Life Sciences, Inc. (“CMLS”) on July 22, 2021 (the “Business Combination”) and (ii) Sema4 Holdings Corp. (“Sema4 Holdings”) and its consolidated subsidiaries following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440" w:right="359" w:bottom="1440" w:gutter="0" w:footer="0" w:header="0"/>
        </w:sectPr>
      </w:pPr>
    </w:p>
    <w:bookmarkStart w:id="76" w:name="page77"/>
    <w:bookmarkEnd w:id="76"/>
    <w:p>
      <w:pPr>
        <w:spacing w:after="0" w:line="1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references to:</w:t>
      </w:r>
    </w:p>
    <w:p>
      <w:pPr>
        <w:spacing w:after="0" w:line="169"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Amended and Restated Certificate of Incorporation”</w:t>
      </w:r>
      <w:r>
        <w:rPr>
          <w:rFonts w:ascii="Times New Roman" w:cs="Times New Roman" w:eastAsia="Times New Roman" w:hAnsi="Times New Roman"/>
          <w:sz w:val="18"/>
          <w:szCs w:val="18"/>
          <w:color w:val="auto"/>
        </w:rPr>
        <w:t xml:space="preserve"> mean our Third Amended and Restated Certificate of Incorporation, dated as of July 22, 2021, as amended by the Amendment to the Amended and Restated Certificate of Incorporation, dated as of April 29,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 the board of directors of the Company.</w:t>
      </w:r>
    </w:p>
    <w:p>
      <w:pPr>
        <w:spacing w:after="0" w:line="171"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mean the transactions contemplated by the Business Combination Merger Agreement pursuant to which Legacy Sema4 consummated its business combination with CMLS on July 22, 2021.</w:t>
      </w:r>
    </w:p>
    <w:p>
      <w:pPr>
        <w:spacing w:after="0" w:line="104"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Merger Agreement</w:t>
      </w:r>
      <w:r>
        <w:rPr>
          <w:rFonts w:ascii="Times New Roman" w:cs="Times New Roman" w:eastAsia="Times New Roman" w:hAnsi="Times New Roman"/>
          <w:sz w:val="18"/>
          <w:szCs w:val="18"/>
          <w:color w:val="auto"/>
        </w:rPr>
        <w:t>” mean that certain Agreement and Plan of Merger, dated as of February 9, 2021, as amended, by and among CMLS, S-IV Sub, Inc. and Legacy Sema4.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CMLS</w:t>
      </w:r>
      <w:r>
        <w:rPr>
          <w:rFonts w:ascii="Times New Roman" w:cs="Times New Roman" w:eastAsia="Times New Roman" w:hAnsi="Times New Roman"/>
          <w:sz w:val="18"/>
          <w:szCs w:val="18"/>
          <w:color w:val="auto"/>
        </w:rPr>
        <w:t>” mean CM Life Sciences, Inc. prior to the closing of the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Former Sponsor</w:t>
      </w:r>
      <w:r>
        <w:rPr>
          <w:rFonts w:ascii="Times New Roman" w:cs="Times New Roman" w:eastAsia="Times New Roman" w:hAnsi="Times New Roman"/>
          <w:sz w:val="18"/>
          <w:szCs w:val="18"/>
          <w:color w:val="auto"/>
        </w:rPr>
        <w:t>” mean CMLS Holdings LLC, a Delaware limited liability company.</w:t>
      </w:r>
    </w:p>
    <w:p>
      <w:pPr>
        <w:spacing w:after="0" w:line="171"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GeneDx</w:t>
      </w:r>
      <w:r>
        <w:rPr>
          <w:rFonts w:ascii="Times New Roman" w:cs="Times New Roman" w:eastAsia="Times New Roman" w:hAnsi="Times New Roman"/>
          <w:sz w:val="18"/>
          <w:szCs w:val="18"/>
          <w:color w:val="auto"/>
        </w:rPr>
        <w:t>” mean GeneDx, LLC, a Delaware limited liability company (formerly, GeneDx, Inc., a New Jersey corporation), which we acquired on April 29, 2022.</w:t>
      </w:r>
    </w:p>
    <w:p>
      <w:pPr>
        <w:spacing w:after="0" w:line="104"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IPO</w:t>
      </w:r>
      <w:r>
        <w:rPr>
          <w:rFonts w:ascii="Times New Roman" w:cs="Times New Roman" w:eastAsia="Times New Roman" w:hAnsi="Times New Roman"/>
          <w:sz w:val="18"/>
          <w:szCs w:val="18"/>
          <w:color w:val="auto"/>
        </w:rPr>
        <w:t>” mean the Company’s initial public offering, consummated on September 4, 2020, of 44,275,000 units (including 5,775,000 units that were subsequently issued to the underwriters in connection with the partial exercise of their over-allotment option) at $10.00 per unit.</w:t>
      </w:r>
    </w:p>
    <w:p>
      <w:pPr>
        <w:spacing w:after="0" w:line="10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 mean the 7,236,667 warrants originally issued to the Former Sponsor and certain of the other initial stockholders of CMLS in a private placement in connection with our IPO.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mean the 14,758,305 warrants included in the units issued in our IPO.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mean holders of shares of our Class A common stock.</w:t>
      </w:r>
    </w:p>
    <w:p>
      <w:pPr>
        <w:spacing w:after="0" w:line="171"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warrant agreement</w:t>
      </w:r>
      <w:r>
        <w:rPr>
          <w:rFonts w:ascii="Times New Roman" w:cs="Times New Roman" w:eastAsia="Times New Roman" w:hAnsi="Times New Roman"/>
          <w:sz w:val="18"/>
          <w:szCs w:val="18"/>
          <w:color w:val="auto"/>
        </w:rPr>
        <w:t>” mean the warrant agreement between us and Continental Stock Transfer &amp; Trust Company, as warrant agent, governing the terms of the private placement warrants and the public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45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7136130" cy="774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may not contain all the information that you should consider before investing in our securities. You should read the entire prospectus and the information incorporated by reference in this prospectus carefully, including “Risk Factors” and the financial statements and related notes incorporated by reference herein, before making an investment decision.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are a health insights company dedicated to accelerating the use of genomics and leveraging large-scale clinical data to enhance the standard of care through the more extensive use of precision medicine. Our mission is to unlock insights from data, leading to healthier lives and a healthier society. We are one of the largest and most advanced providers of genomic testing in the U.S. and have an industry-leading health information database to transform patient care and improve therapeutic development.</w:t>
      </w:r>
    </w:p>
    <w:p>
      <w:pPr>
        <w:spacing w:after="0" w:line="12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focused on effectively delivering our portfolio of genomic and data solutions to guide patients through their family health journey. That includes family planning, delivery, pediatrics, hereditary cancer screening, and rare disorders for children and adults. We are committed to helping families make better health decisions with our panels, exome, and genome – fueled by our interpretation platform designed for a genome’s worth of information and a data engine built to combine genomic and clinical data to deliver better insights.</w:t>
      </w:r>
    </w:p>
    <w:p>
      <w:pPr>
        <w:spacing w:after="0" w:line="1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Our integrated information platform leverages longitudinal patient data, artificial intelligence (“AI”)-driven predictive modeling, and genomics in combination with other molecular and high-dimensional data in our efforts both to deliver better outcomes for patients and to transform the practice of medicine, including how disease is diagnosed, treated, and prevented. We now maintain a database that includes patient data available for research on approximately 12 million patients from a number of public and proprietary sources, including more than five million patients available with clinical data through our partner health systems and genomic testing solutions. </w:t>
      </w:r>
      <w:r>
        <w:rPr>
          <w:rFonts w:ascii="Times New Roman" w:cs="Times New Roman" w:eastAsia="Times New Roman" w:hAnsi="Times New Roman"/>
          <w:sz w:val="18"/>
          <w:szCs w:val="18"/>
          <w:color w:val="auto"/>
          <w:highlight w:val="white"/>
        </w:rPr>
        <w:t>Our data asset also includes one of the world’s largest datasets of approximately 400,000 clinical exomes, the vast majority of which are associated with rare disease, providing us an unparalleled platform for pharmaceutical and biotech (“Biopharma”) companies to leverage.</w:t>
      </w:r>
    </w:p>
    <w:p>
      <w:pPr>
        <w:spacing w:after="0" w:line="13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Today, by providing differentiated insights through diagnostic testing solutions to physicians and patients across the United States (the “U.S.”) in areas such as reproductive and women’s health, pediatric and rare disease health, and population health, , we are reimbursed by payors, providers, and patients for providing these services. In collaboration with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With this prospectus, we may offer shares of our Class A common stock or preferred stock, debt securities, warrants to purchase our Class A common stock, preferred stock or debt securities, subscription rights to purchase our Class A common stock, preferred stock or debt securities, and/or units consisting of some or all of these securities in any combination. The aggregate offering price of securities that we offer with this prospectus will not exceed $300,000,000. Each time we offer securities with this prospectus, we will provide offerees with a prospectus supplement that will contain the specific terms of the securities being offered. The following is a summary of the securities we may offer with this prospectus.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880"/>
          </w:cols>
          <w:pgMar w:left="1000" w:top="1440" w:right="1019" w:bottom="1440" w:gutter="0" w:footer="0" w:header="0"/>
          <w:type w:val="continuous"/>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99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offer shares of our Class A common stock, par value $0.0001 per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may offer shares of our preferred stock, par value $0.0001 per share, in one or more series. Our board of directors (the “Board”) or a committee designated by the Board will determine the dividend, voting, conversion and other rights of the series of shares of preferred stock being offered. Each series of preferred stock will be more fully described in the particular prospectus supplement that will accompany this prospectus, including redemption provisions, rights in the event of our liquidation, dissolution or the winding up, voting rights and rights to convert into Class A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offer general obligations, which may be secured or unsecured, senior or subordinated and convertible into shares of our Class A common stock or preferred stock. In this prospectus, we refer to the senior debt securities and the subordinated debt securities together as the “debt securities.” Our Board will determine the terms of each series of debt securities being offered.</w:t>
      </w:r>
    </w:p>
    <w:p>
      <w:pPr>
        <w:spacing w:after="0" w:line="12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will issue the debt securities under an indenture between us and a trustee. In this prospectus, we have summarized general features of the debt securities from the indenture. We encourage you to read the indenture, which is an exhibit to the registration statement of which this prospectus is a part. </w:t>
      </w:r>
      <w:r>
        <w:rPr>
          <w:rFonts w:ascii="Times New Roman" w:cs="Times New Roman" w:eastAsia="Times New Roman" w:hAnsi="Times New Roman"/>
          <w:sz w:val="18"/>
          <w:szCs w:val="18"/>
          <w:color w:val="auto"/>
          <w:highlight w:val="white"/>
        </w:rPr>
        <w:t>The actual indenture we enter into in connection with an offering of debt securities may differ significantly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the form of indenture we have filed.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debt securities, shares of preferred stock or shares of Class A common stock. We may issue warrants independently or together with other securities. Our Board will determine the terms of the warrants.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Rights</w:t>
      </w:r>
    </w:p>
    <w:p>
      <w:pPr>
        <w:spacing w:after="0" w:line="175" w:lineRule="exact"/>
        <w:rPr>
          <w:sz w:val="20"/>
          <w:szCs w:val="20"/>
          <w:color w:val="auto"/>
        </w:rPr>
      </w:pPr>
    </w:p>
    <w:p>
      <w:pPr>
        <w:ind w:right="620"/>
        <w:spacing w:after="0" w:line="312" w:lineRule="auto"/>
        <w:rPr>
          <w:sz w:val="20"/>
          <w:szCs w:val="20"/>
          <w:color w:val="auto"/>
        </w:rPr>
      </w:pPr>
      <w:r>
        <w:rPr>
          <w:rFonts w:ascii="Times New Roman" w:cs="Times New Roman" w:eastAsia="Times New Roman" w:hAnsi="Times New Roman"/>
          <w:sz w:val="17"/>
          <w:szCs w:val="17"/>
          <w:color w:val="auto"/>
        </w:rPr>
        <w:t>We may offer subscription rights for the purchase of Class A common stock, preferred stock or debt securities. We may issue subscription rights independently or together with other securities. Our Board will determine the terms of the subscription rights.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offer units consisting of some or all of the securities described above, in any combination, including Class A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were incorporated on July 10, 2020 as a special purpose acquisition company and a Delaware corporation under the name CM Life Sciences, Inc. (“CMLS”). On September 4, 2020, CMLS completed its initial public offering. On July 22, 2021, CMLS consummated the Business Combination with Legacy Sema4 pursuant to the Business Combination Merger Agreement. In connection with the Business Combination, CMLS changed its name to Sema4 Holdings Corp. (“Sema4 Holdings”).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address is 333 Ludlow Street, North Tower, 8th Floor, Stamford, Connecticut 06902. Our telephone number is 1(800) 298-6470. Our website address is https://sema4.com. Information contained on our website or connected thereto does not constitute part of, and is not incorporated by reference into, this prospectus or the registration statement of which it forms a part.</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880"/>
          </w:cols>
          <w:pgMar w:left="1000" w:top="1440" w:right="1019" w:bottom="1440" w:gutter="0" w:footer="0" w:header="0"/>
          <w:type w:val="continuous"/>
        </w:sectPr>
      </w:pPr>
    </w:p>
    <w:bookmarkStart w:id="79" w:name="page80"/>
    <w:bookmarkEnd w:id="79"/>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consider the risk factors described in the “Risk Factors” sections of our Annual Report on Form 10-K for the fiscal year ended December 31, 2021, our Quarterly Report on Form 10-Q for the quarter ended March 31, 2022 and our Quarterly Report on Form 10-Q for the quarter ended June 30, 2022, which reports are incorporated herein by reference, in addition to the factors set forth below and other information contained in or incorporated by reference in this prospectus or in any prospectus supplement or post-effective amendment, if required, before purchasing any of our securities. We may face additional risks and uncertainties that are not presently known to us, or that we currently deem immaterial, which may also impair our business or financial condition.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Incorporation of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1440" w:right="439" w:bottom="1440" w:gutter="0" w:footer="0" w:header="0"/>
        </w:sectPr>
      </w:pPr>
    </w:p>
    <w:bookmarkStart w:id="80" w:name="page81"/>
    <w:bookmarkEnd w:id="8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matters discussed in this prospectus and the documents incorporated by reference in this prospectus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in the section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color w:val="auto"/>
        </w:rPr>
        <w:t>,” and elsewhere in this prospectus and the documents incorporated by reference herein,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34"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expected from our April 2022 acquisition of GeneDx;</w:t>
      </w:r>
    </w:p>
    <w:p>
      <w:pPr>
        <w:spacing w:after="0" w:line="171" w:lineRule="exact"/>
        <w:rPr>
          <w:rFonts w:ascii="Times New Roman" w:cs="Times New Roman" w:eastAsia="Times New Roman" w:hAnsi="Times New Roman"/>
          <w:sz w:val="18"/>
          <w:szCs w:val="18"/>
          <w:color w:val="auto"/>
        </w:rPr>
      </w:pPr>
    </w:p>
    <w:p>
      <w:pPr>
        <w:ind w:left="660" w:right="96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to finance our operating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losses;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incurring capital expenditures;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including supply chain interruptions and manufacturing constraints, arising from or related to the ongoing COVID-19 pandemic;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plans to exit out somatic tumor testing business and the associated cost savings and impact on our gross margins;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or becoming profitable on a sustained basis;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service, collaboration and other partnership agreements;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scale market and sell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authorizations by the U.S. Food and Drug Administration (the “FDA”) or other regulatory authorities;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governmental regulation and other legal obligations, including privacy, data protection, information security, consumer protection, and anti-corruption and anti-bribery;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existing and emerging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reimbursement and coverage decisions, negotiations and settlements;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laboratories and service providers for our test volume in connection with our diagnostic solutions and data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Nasdaq listing rules;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future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40" w:right="359" w:bottom="1440" w:gutter="0" w:footer="0" w:header="0"/>
        </w:sectPr>
      </w:pPr>
    </w:p>
    <w:bookmarkStart w:id="81" w:name="page82"/>
    <w:bookmarkEnd w:id="81"/>
    <w:p>
      <w:pPr>
        <w:spacing w:after="0" w:line="140" w:lineRule="exact"/>
        <w:rPr>
          <w:sz w:val="20"/>
          <w:szCs w:val="20"/>
          <w:color w:val="auto"/>
        </w:rPr>
      </w:pPr>
    </w:p>
    <w:p>
      <w:pPr>
        <w:ind w:left="660" w:right="44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estimates, including the adequacy of our reserves for third party payor claims and our estimates of the fair value of milestone payments related to the April 2022 acquisition of GeneDx;</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business strategy; and</w:t>
      </w:r>
    </w:p>
    <w:p>
      <w:pPr>
        <w:spacing w:after="0" w:line="16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and the documents incorporated by reference herein reflect our views and assumptions only as of the date of this prospectus or such document, as applicable. Except as required by law, we assume no responsibility for updating any forward-looking statements.</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1440" w:right="379" w:bottom="1440" w:gutter="0" w:footer="0" w:header="0"/>
        </w:sectPr>
      </w:pPr>
    </w:p>
    <w:bookmarkStart w:id="82" w:name="page83"/>
    <w:bookmarkEnd w:id="82"/>
    <w:p>
      <w:pPr>
        <w:spacing w:after="0" w:line="1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http://www.sec.gov.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website address is www.sema4.com. The information on our website, however, is not, and should not be deemed to be, a part of this prospectus.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prospectus and any applicable prospectus supplement are part of a registration statement that we filed with the SEC and do not contain all of the information in the registration statement. The full registration statement may be obtained from the SEC or us, as provided below.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40"/>
          </w:cols>
          <w:pgMar w:left="320" w:top="1440" w:right="539" w:bottom="1440" w:gutter="0" w:footer="0" w:header="0"/>
        </w:sectPr>
      </w:pPr>
    </w:p>
    <w:bookmarkStart w:id="83" w:name="page84"/>
    <w:bookmarkEnd w:id="83"/>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INFORMATION BY REFERENCE</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set forth below that have previously been filed with the SEC:</w:t>
      </w:r>
    </w:p>
    <w:p>
      <w:pPr>
        <w:spacing w:after="0" w:line="171"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20">
        <w:r>
          <w:rPr>
            <w:rFonts w:ascii="Times New Roman" w:cs="Times New Roman" w:eastAsia="Times New Roman" w:hAnsi="Times New Roman"/>
            <w:sz w:val="18"/>
            <w:szCs w:val="18"/>
            <w:u w:val="single" w:color="auto"/>
            <w:color w:val="0000FF"/>
          </w:rPr>
          <w:t>March 14, 2022</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quarterly period ended March 31, 2022, filed with the SEC on </w:t>
      </w:r>
      <w:hyperlink r:id="rId21">
        <w:r>
          <w:rPr>
            <w:rFonts w:ascii="Times New Roman" w:cs="Times New Roman" w:eastAsia="Times New Roman" w:hAnsi="Times New Roman"/>
            <w:sz w:val="18"/>
            <w:szCs w:val="18"/>
            <w:u w:val="single" w:color="auto"/>
            <w:color w:val="0000FF"/>
          </w:rPr>
          <w:t>May 12, 2022</w:t>
        </w:r>
      </w:hyperlink>
      <w:r>
        <w:rPr>
          <w:rFonts w:ascii="Times New Roman" w:cs="Times New Roman" w:eastAsia="Times New Roman" w:hAnsi="Times New Roman"/>
          <w:sz w:val="18"/>
          <w:szCs w:val="18"/>
          <w:color w:val="auto"/>
        </w:rPr>
        <w:t xml:space="preserve">, and our Quarterly Report on Form 10-Q for the quarterly period ended June 30, 2022, filed with the SEC on </w:t>
      </w:r>
      <w:hyperlink r:id="rId22">
        <w:r>
          <w:rPr>
            <w:rFonts w:ascii="Times New Roman" w:cs="Times New Roman" w:eastAsia="Times New Roman" w:hAnsi="Times New Roman"/>
            <w:sz w:val="18"/>
            <w:szCs w:val="18"/>
            <w:u w:val="single" w:color="auto"/>
            <w:color w:val="0000FF"/>
          </w:rPr>
          <w:t>August 15, 2022</w:t>
        </w:r>
      </w:hyperlink>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55" w:val="left"/>
        </w:tabs>
        <w:numPr>
          <w:ilvl w:val="0"/>
          <w:numId w:val="52"/>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Current Reports on Form 8-K filed with the SEC on </w:t>
      </w:r>
      <w:hyperlink r:id="rId24">
        <w:r>
          <w:rPr>
            <w:rFonts w:ascii="Times New Roman" w:cs="Times New Roman" w:eastAsia="Times New Roman" w:hAnsi="Times New Roman"/>
            <w:sz w:val="18"/>
            <w:szCs w:val="18"/>
            <w:u w:val="single" w:color="auto"/>
            <w:color w:val="0000FF"/>
          </w:rPr>
          <w:t>January 18,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Items 1.01, 3.02, 5.02 and Exhibits 2.1, 10.1, </w:t>
      </w:r>
      <w:hyperlink r:id="rId26">
        <w:r>
          <w:rPr>
            <w:rFonts w:ascii="Times New Roman" w:cs="Times New Roman" w:eastAsia="Times New Roman" w:hAnsi="Times New Roman"/>
            <w:sz w:val="18"/>
            <w:szCs w:val="18"/>
            <w:color w:val="auto"/>
          </w:rPr>
          <w:t xml:space="preserve">10.2, 10.3 and 10.4 thereto), </w:t>
        </w:r>
        <w:r>
          <w:rPr>
            <w:rFonts w:ascii="Times New Roman" w:cs="Times New Roman" w:eastAsia="Times New Roman" w:hAnsi="Times New Roman"/>
            <w:sz w:val="18"/>
            <w:szCs w:val="18"/>
            <w:u w:val="single" w:color="auto"/>
            <w:color w:val="0000FF"/>
          </w:rPr>
          <w:t>January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March 14, 2022</w:t>
        </w:r>
        <w:r>
          <w:rPr>
            <w:rFonts w:ascii="Times New Roman" w:cs="Times New Roman" w:eastAsia="Times New Roman" w:hAnsi="Times New Roman"/>
            <w:sz w:val="18"/>
            <w:szCs w:val="18"/>
            <w:color w:val="auto"/>
          </w:rPr>
          <w:t xml:space="preserve"> (but only with respect to Item 4.02 and 9.01 thereto), </w:t>
        </w:r>
        <w:r>
          <w:rPr>
            <w:rFonts w:ascii="Times New Roman" w:cs="Times New Roman" w:eastAsia="Times New Roman" w:hAnsi="Times New Roman"/>
            <w:sz w:val="18"/>
            <w:szCs w:val="18"/>
            <w:u w:val="single" w:color="auto"/>
            <w:color w:val="0000FF"/>
          </w:rPr>
          <w:t>April 27,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May 2,</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(but only with respect to Items 1.01, 2.01, 3.02, 5.02, 5.03, 8.01, 9.01(a) and 9.01(b), and Exhibits 2.1, 3.1, 10.1, 10.2, 23.1, 99.2 and </w:t>
        </w:r>
      </w:hyperlink>
      <w:r>
        <w:rPr>
          <w:rFonts w:ascii="Times New Roman" w:cs="Times New Roman" w:eastAsia="Times New Roman" w:hAnsi="Times New Roman"/>
          <w:sz w:val="18"/>
          <w:szCs w:val="18"/>
          <w:color w:val="0000FF"/>
        </w:rPr>
        <w:t xml:space="preserve">99.3 </w:t>
      </w:r>
      <w:r>
        <w:rPr>
          <w:rFonts w:ascii="Times New Roman" w:cs="Times New Roman" w:eastAsia="Times New Roman" w:hAnsi="Times New Roman"/>
          <w:sz w:val="18"/>
          <w:szCs w:val="18"/>
          <w:color w:val="000000"/>
        </w:rPr>
        <w:t xml:space="preserve">thereto), </w:t>
      </w:r>
      <w:hyperlink r:id="rId27">
        <w:r>
          <w:rPr>
            <w:rFonts w:ascii="Times New Roman" w:cs="Times New Roman" w:eastAsia="Times New Roman" w:hAnsi="Times New Roman"/>
            <w:sz w:val="18"/>
            <w:szCs w:val="18"/>
            <w:u w:val="single" w:color="auto"/>
            <w:color w:val="0000FF"/>
          </w:rPr>
          <w:t>June 14,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(but only with respect to Items 5.02 and 9.01), </w:t>
      </w:r>
      <w:hyperlink r:id="rId28">
        <w:r>
          <w:rPr>
            <w:rFonts w:ascii="Times New Roman" w:cs="Times New Roman" w:eastAsia="Times New Roman" w:hAnsi="Times New Roman"/>
            <w:sz w:val="18"/>
            <w:szCs w:val="18"/>
            <w:u w:val="single" w:color="auto"/>
            <w:color w:val="0000FF"/>
          </w:rPr>
          <w:t>July 1, 2022</w:t>
        </w:r>
      </w:hyperlink>
      <w:r>
        <w:rPr>
          <w:rFonts w:ascii="Times New Roman" w:cs="Times New Roman" w:eastAsia="Times New Roman" w:hAnsi="Times New Roman"/>
          <w:sz w:val="18"/>
          <w:szCs w:val="18"/>
          <w:color w:val="000000"/>
        </w:rPr>
        <w:t xml:space="preserve">, and </w:t>
      </w:r>
      <w:hyperlink r:id="rId29">
        <w:r>
          <w:rPr>
            <w:rFonts w:ascii="Times New Roman" w:cs="Times New Roman" w:eastAsia="Times New Roman" w:hAnsi="Times New Roman"/>
            <w:sz w:val="18"/>
            <w:szCs w:val="18"/>
            <w:u w:val="single" w:color="auto"/>
            <w:color w:val="0000FF"/>
          </w:rPr>
          <w:t>August 26,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(but only with respect to Items 5.02, 8.01, 9.01(a) and 9.01(b), and Exhibits 10.1, 99.2 and 99.3);</w:t>
      </w:r>
    </w:p>
    <w:p>
      <w:pPr>
        <w:spacing w:after="0" w:line="129" w:lineRule="exact"/>
        <w:rPr>
          <w:rFonts w:ascii="Times New Roman" w:cs="Times New Roman" w:eastAsia="Times New Roman" w:hAnsi="Times New Roman"/>
          <w:sz w:val="18"/>
          <w:szCs w:val="18"/>
          <w:color w:val="000000"/>
        </w:rPr>
      </w:pPr>
    </w:p>
    <w:p>
      <w:pPr>
        <w:ind w:left="660" w:right="12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combined carve-out balance sheets of GeneDx and subsidiary as of December 31, 2021 and 2020, the related audited combined carve out statements of comprehensive loss, equity and cash flows for each of the two years in the period ended December 31, 2021, and the related notes are included in our definitive proxy statement filed with the SEC on March 31, 2022 beginning on page F-41; and</w:t>
      </w:r>
    </w:p>
    <w:p>
      <w:pPr>
        <w:spacing w:after="0" w:line="121"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contained in our Registration Statement on </w:t>
      </w:r>
      <w:hyperlink r:id="rId34">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31, 2020, as updated by the description of our Class A common stock contained in Exhibit 4.4 to our Annual Report on </w:t>
      </w:r>
      <w:hyperlink r:id="rId20">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including any subsequent amendments or reports filed for the purpose of updating such description.</w:t>
      </w:r>
    </w:p>
    <w:p>
      <w:pPr>
        <w:spacing w:after="0" w:line="122" w:lineRule="exact"/>
        <w:rPr>
          <w:rFonts w:ascii="Times New Roman" w:cs="Times New Roman" w:eastAsia="Times New Roman" w:hAnsi="Times New Roman"/>
          <w:sz w:val="18"/>
          <w:szCs w:val="18"/>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26" w:lineRule="exact"/>
        <w:rPr>
          <w:rFonts w:ascii="Times New Roman" w:cs="Times New Roman" w:eastAsia="Times New Roman" w:hAnsi="Times New Roman"/>
          <w:sz w:val="18"/>
          <w:szCs w:val="18"/>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of such person, a copy of any or all of the documents incorporated by reference in this prospectus, other than exhibits to such documents unless such exhibits are specifically incorporated by reference into such documents. Requests may be made by telephone at 1(800) 298-6470, or by sending a written request to Sema4 Holdings Corp., 333 Ludlow Street, North Tower, 8th Floor, Stamford, Connecticut 06902, Attention: Investor Relations.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440" w:right="359" w:bottom="1440" w:gutter="0" w:footer="0" w:header="0"/>
        </w:sectPr>
      </w:pPr>
    </w:p>
    <w:bookmarkStart w:id="84" w:name="page85"/>
    <w:bookmarkEnd w:id="84"/>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to us from the sale of our securities under this prospectus. General corporate purposes may include additions to working capital, repayment or redemption of existing indebtedness, and strategic investment opportunities. Unless we state otherwise in the applicable prospectus supplement, pending the application of net proceeds, we expect to invest the net proceeds in investment 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80"/>
          </w:cols>
          <w:pgMar w:left="320" w:top="1440" w:right="399" w:bottom="1440" w:gutter="0" w:footer="0" w:header="0"/>
        </w:sectPr>
      </w:pPr>
    </w:p>
    <w:bookmarkStart w:id="85" w:name="page86"/>
    <w:bookmarkEnd w:id="8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may sell the securities covered by this prospectus to one or more underwriters for public offering and sale by them, and may also sell the securities to investors directly or through agents. We will name any underwriter or agent involved in the offer and sale of securities in the applicable prospectus supplement. We have reserved the right to sell or exchange securities directly to investors on our own behalf in jurisdictions where we are authorized to do so. We may distribute the securities from time to time in one or more transactions:</w:t>
      </w:r>
    </w:p>
    <w:p>
      <w:pPr>
        <w:spacing w:after="0" w:line="126"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the securities being offered by this prospectus. We may also designate agents to solicit offers to purchase the securities from time to time. We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or commissions from the purchasers for whom they may act as agent.</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will provide in the applicable prospectus supplement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and to reimburse them for certain expenses. We may grant underwriters who participate in the distribution of our securities under this prospectus an option to purchase additional securities to cover any over-allotments in connection with the distribution.</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securities we offer under this prospectus may or may not be listed through The Nasdaq Global Select Market or any other securities exchange. To facilitate the offering of securities, certain persons participating in the offering may engage in transactions that stabilize, maintain or otherwise affect the price of the securities. This may include short sales of the securities, which involves the sale by persons participating in the offering of more securities than we sold to them. In these circumstances, these persons would cover such short positions by making purchases in the open market or by exercising their option to purchase additional securities.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may issue to our existing security holders, through a dividend or similar distribution, subscription rights to purchase our securities, which may or may not be transferable. In any distribution of subscription rights to our existing security holders, if all of the underlying securities are not subscribed for, we may then sell the unsubscribed securities directly to third parties or may engage the services of one or more underwriters, dealers or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440" w:right="359" w:bottom="1440" w:gutter="0" w:footer="0" w:header="0"/>
        </w:sectPr>
      </w:pPr>
    </w:p>
    <w:bookmarkStart w:id="86" w:name="page87"/>
    <w:bookmarkEnd w:id="86"/>
    <w:p>
      <w:pPr>
        <w:spacing w:after="0" w:line="1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including standby underwriters, to sell the unsubscribed securities to third parties. The applicable prospectus supplement will describe the specific terms of any offering of our securities through the issuance of subscription rights, including, if applicable, the material terms of any standby underwriting or purchase arrangement.</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short sale transactions. If so, the third party may use securities pledged by us or borrowed from us or others to settle those sales or to close out any related open borrowings of securities, and they may use securities received from us in settlement of those derivatives to close out any related open borrowings of securities. The third party in these sale transactions will be an underwriter and will be identified in the applicable prospectus supplement. In addition, we may otherwise loan or pledge securities to a financial institution or other third party that in turn may sell the securities short using this prospectus. The financial institution or other third party may transfer its economic short position to investors in our securities or in connection with a concurrent offering of other securities.</w:t>
      </w:r>
    </w:p>
    <w:p>
      <w:pPr>
        <w:spacing w:after="0" w:line="13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will file a prospectus supplement to describe the terms of any offering of our securities covered by this prospectus. The prospectus supplement will disclose:</w:t>
      </w:r>
    </w:p>
    <w:p>
      <w:pPr>
        <w:spacing w:after="0" w:line="108"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including any managing underwriters, as well as any dealers or agents;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from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 from the sale of the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or other options under which underwriters, if any, may purchase additional securities from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or other items constituting underwriters’ compensation, and any commissions paid to agents;</w:t>
      </w:r>
    </w:p>
    <w:p>
      <w:pPr>
        <w:spacing w:after="0" w:line="17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subscription rights offering, whether we have engaged dealer-managers to facilitate the offering or subscription, including their name or names and compensation;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17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We will bear all or substantially all of the costs, expenses and fees in connection with the registration of our securities under this prospectus. The underwriters, dealers and agents may engage in transactions with us, or perform services for us,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1440" w:right="359" w:bottom="1440" w:gutter="0" w:footer="0" w:header="0"/>
        </w:sectPr>
      </w:pPr>
    </w:p>
    <w:bookmarkStart w:id="87" w:name="page88"/>
    <w:bookmarkEnd w:id="87"/>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following summary sets forth certain material terms and provisions of our capital stock. This description also summarizes relevant provisions of the General Corporation Law of Delaware (the “DGCL”). The following description is a summary and does not purport to be a complete description of the rights and preferences of our capital stock. It is subject to, and qualified in its entirety by reference to, the applicable provisions of the DGCL and our third amended and restated certificate of incorporation, as amended (our “Amended and Restated Certificate of Incorporation”) and our restated bylaws (our “Bylaws”), each of which is incorporated by reference as an exhibit to the registration statement of which this prospectus forms a part. We encourage you to read our Amended and Certificate of Incorporation, our Bylaws and the applicable provisions of the DGCL 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1,000,000,000 shares of Class A common stock, $0.0001 par value per share, and 1,000,000 shares of preferred stock, $0.0001 par value per share.</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June 30, 2022, there were 379,896,799 shares of our Class A common stock outstanding, no shares of preferred stock outstanding and 21,994,972 warrants outstanding. The outstanding shares of our Class A common stock are duly authorized, validly issued, fully paid and non-assessable.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each share of our Class A common stock has the same relative rights and is identical in all respects to each other share of our Class A common stock. The rights, preferences and privileges of holders of our Class A common stock are subject to the rights, preferences and privileges of the holders of shares of any series of preferred stock that we have issued or may issue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or under our Amended and Restated Certificate of Incorporation, the holders of Class A common stock possess all voting power for the election of our directors and all other matters requiring stockholder action and are entitled to one vote per share on matters to be voted on by stockholders. The holders of Class A common stock shall at all times vote together as one class on all matters submitted to a vote of the holders of Class A common stock under our Amended and Restated Certificate of Incorporation.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Subject to the rights, if any of the holders of any outstanding shares of preferred stock, under our Amended and Restated Certificate of Incorporation, holders of Class A common stock are entitled to receive such dividends and other distributions, if any, as may be declared from time to time by our Board in its discretion out of funds legally available therefor and shall share equally on a per share basis in such dividends and distributions.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the event of the voluntary or involuntary liquidation, dissolution or winding-up of the Company, under our Amended and Restated Certificate of Incorporation, holders of Class A common stock will be entitled to receive all the remaining assets of the Company available for distribution to stockholders, ratably in proportion to the number of shares of Class A common stock held by them, after the rights of the holders of the preferred stock have been satisfied.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our stockholders have no preemptive or other subscription rights and there are no sinking fund or redemption provisions applicable to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00"/>
          </w:cols>
          <w:pgMar w:left="320" w:top="1440" w:right="379" w:bottom="1440" w:gutter="0" w:footer="0" w:header="0"/>
        </w:sectPr>
      </w:pPr>
    </w:p>
    <w:bookmarkStart w:id="88" w:name="page89"/>
    <w:bookmarkEnd w:id="8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a classified board of directors with staggered three-year terms, consisting of the three classes: Class I, Class II and Class III. The term of the Class I Directors will expire at our 2025 annual meeting of the stockholders, the term of the Class II Directors will expire at our 2023 annual meeting of the stockholders and the term of the Class III Directors will expire at our 2024 annual meeting of the stockholders.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Class A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Our Amended and Restated Certificate of Incorporation and Bylaws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Provisions of the DGCL and our Amended and Restated Certificate of Incorporation could make it more difficult to acquire us by means of a tender offer, a proxy contest or otherwise, or to remove incumbent officers and directors. These provisions, summarized below, are intended to discourage coercive takeover practices and inadequate takeover bids and to encourage persons seeking to acquire control of us to first negotiate with the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Class A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 for certain other provisions that may have an anti-takeover effect:</w:t>
      </w:r>
    </w:p>
    <w:p>
      <w:pPr>
        <w:spacing w:after="0" w:line="171"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cumulative voting with respect to the election of directors.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is empowered to elect a director to fill a vacancy created by the expansion of the Board or the resignation, death, or removal of a director in certain circumstances.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only be removed from the Board for cause.</w:t>
      </w:r>
    </w:p>
    <w:p>
      <w:pPr>
        <w:spacing w:after="0" w:line="171"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will be classified into three classes of directors. As a result, in most circumstances, a person can gain control of our Board by successfully engaging in a proxy contest at two or more annual meetings.</w:t>
      </w:r>
    </w:p>
    <w:p>
      <w:pPr>
        <w:spacing w:after="0" w:line="10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07" w:lineRule="exact"/>
        <w:rPr>
          <w:rFonts w:ascii="Times New Roman" w:cs="Times New Roman" w:eastAsia="Times New Roman" w:hAnsi="Times New Roman"/>
          <w:sz w:val="18"/>
          <w:szCs w:val="18"/>
          <w:color w:val="auto"/>
        </w:rPr>
      </w:pPr>
    </w:p>
    <w:p>
      <w:pPr>
        <w:ind w:left="660" w:right="80" w:hanging="328"/>
        <w:spacing w:after="0" w:line="312" w:lineRule="auto"/>
        <w:tabs>
          <w:tab w:leader="none" w:pos="65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85" w:lineRule="exact"/>
        <w:rPr>
          <w:rFonts w:ascii="Times New Roman" w:cs="Times New Roman" w:eastAsia="Times New Roman" w:hAnsi="Times New Roman"/>
          <w:sz w:val="17"/>
          <w:szCs w:val="17"/>
          <w:color w:val="auto"/>
        </w:rPr>
      </w:pPr>
    </w:p>
    <w:p>
      <w:pPr>
        <w:ind w:left="660" w:right="8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440" w:right="359" w:bottom="1440" w:gutter="0" w:footer="0" w:header="0"/>
        </w:sectPr>
      </w:pPr>
    </w:p>
    <w:bookmarkStart w:id="89" w:name="page90"/>
    <w:bookmarkEnd w:id="89"/>
    <w:p>
      <w:pPr>
        <w:spacing w:after="0" w:line="140" w:lineRule="exact"/>
        <w:rPr>
          <w:sz w:val="20"/>
          <w:szCs w:val="20"/>
          <w:color w:val="auto"/>
        </w:rPr>
      </w:pPr>
    </w:p>
    <w:p>
      <w:pPr>
        <w:ind w:left="660" w:right="180"/>
        <w:spacing w:after="0" w:line="261" w:lineRule="auto"/>
        <w:rPr>
          <w:sz w:val="20"/>
          <w:szCs w:val="20"/>
          <w:color w:val="auto"/>
        </w:rPr>
      </w:pPr>
      <w:r>
        <w:rPr>
          <w:rFonts w:ascii="Times New Roman" w:cs="Times New Roman" w:eastAsia="Times New Roman" w:hAnsi="Times New Roman"/>
          <w:sz w:val="18"/>
          <w:szCs w:val="18"/>
          <w:color w:val="auto"/>
        </w:rPr>
        <w:t>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 unreserved Class A common stock and preferred stock could render more difficult or discourage an attempt to obtain control of us by means of a proxy contest, tender offer, merger or otherwise.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 Clause</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includes a forum selection clause. Our Amended and Restated Certificate of Incorporation provides that, subject to limited exceptions, the Court of Chancery of the State of Delaware and federal court within the State of Delaware will be exclusive forums for any:</w:t>
      </w:r>
    </w:p>
    <w:p>
      <w:pPr>
        <w:spacing w:after="0" w:line="122"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our behalf;</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of breach of a fiduciary duty owed by, or other wrongdoing by, any of our directors, officers, stockholders, employees or agents to us or our stockholders;</w:t>
      </w:r>
    </w:p>
    <w:p>
      <w:pPr>
        <w:spacing w:after="0" w:line="10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against us or any of our directors, officers, stockholders, employees or agents arising pursuant to any provision of the DGCL, our Amended and Restated Certificate of Incorporation or Bylaws or as to which the DGCL confers jurisdiction on the Court of Chancery of the State of Delaware;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to interpret, apply, enforce or determine the validity of our Amended and Restated Certificate of Incorporation or the Bylaws; or</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 asserting a claim against us or any of our directors, officers, stockholders, employees or agents that is governed by the internal affairs doctrine.</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choice of forum provision does not apply to actions brought to enforce a duty or liability created by the Exchange Act or any other claim for which federal courts have exclusive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We intend for this provision to apply to any complaints asserting a cause of action under the Securities Act despite the fact that Section 22 of the Securities Act creates concurrent jurisdiction for the federal and state courts over all actions brought to enforce any duty or liability created by the Securities Act or the rules and regulations promulgated thereunder.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transfer agent for our Class A common stock is Continental Stock Transfer &amp; Trust Company. We have agreed to indemnify Continental Stock Transfer &amp; Trust Company in its roles as transfer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is traded on The Nasdaq Global Select Market under the symbol “SMFR.”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440" w:right="359" w:bottom="1440" w:gutter="0" w:footer="0" w:header="0"/>
        </w:sectPr>
      </w:pPr>
    </w:p>
    <w:bookmarkStart w:id="90" w:name="page91"/>
    <w:bookmarkEnd w:id="9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which we refer to as the “base indenture,” and supplemental indentures and forms of debt securities containing the terms of the debt securities being offered and sold will be filed as exhibits to the registration statement and/or will be incorporated by reference from reports that we file with the SEC. The actual base indenture we enter into in connection with an offering of debt securities may differ significantly from the form of base indenture we have filed. The base indenture, as amended or supplemented from time to time by one or more supplemental indentures, is referred to below collectively as the “indenture.” The indenture will be subject to and governed by the terms of the Trust Indenture Act of 1939.</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offer under this prospectus up to an aggregate principal amount of $300,000,000 in debt securities, or if debt securities are issued at a discount,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foreign currency, foreign currency units or composite currency, the principal amount as may be sold for an aggregate public offering price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$300,000,000. Unless otherwise specified in the applicable prospectus supplement, the debt securities will represent our direct, unsecured obligations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rank equally with all of our other unsecured indebtedness.</w:t>
      </w:r>
    </w:p>
    <w:p>
      <w:pPr>
        <w:spacing w:after="0" w:line="15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The prospectus supplement relating to the particular series of debt securities being offered will specify the particular amounts, prices and terms of those debt securities. These terms may include:</w:t>
      </w:r>
    </w:p>
    <w:p>
      <w:pPr>
        <w:spacing w:after="0" w:line="126"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if a series, the total amount authorized and the total amount outstanding;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or prices, expressed as a percentage of the aggregate principal amount of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is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if applicable, the method used to determine such rate or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if any, will be payable and any regular record date for the interest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if applicable, premium and interest, is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or the holders may require us to, redeem or repurchase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debt securities may be issuable, if other than denominations of $1,000 or any integral multiple of that number;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issuable in the form of certificated securities (as described below) or global securities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440" w:right="359" w:bottom="1440" w:gutter="0" w:footer="0" w:header="0"/>
        </w:sectPr>
      </w:pPr>
    </w:p>
    <w:bookmarkStart w:id="91" w:name="page92"/>
    <w:bookmarkEnd w:id="91"/>
    <w:p>
      <w:pPr>
        <w:spacing w:after="0" w:line="140" w:lineRule="exact"/>
        <w:rPr>
          <w:sz w:val="20"/>
          <w:szCs w:val="20"/>
          <w:color w:val="auto"/>
        </w:rPr>
      </w:pPr>
    </w:p>
    <w:p>
      <w:pPr>
        <w:ind w:left="660" w:right="10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that will be payable upon declaration of acceleration of the maturity date if other than the principal amount of the debt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and, if applicable, premium and interest, will be made;</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10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such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and/or the acceleration provisions described in this prospectus or in the base indenture;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if not otherwise described below under “Events of Default”;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into or exchange for shares of our Class A common stock or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debt securities shall be subordinated in right of payment to our other indebtedness.</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12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2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Debt securities offered under this prospectus and any prospectus supplement may be subordinated in right of payment to certain of our outstanding senior indebtedness. In addition, we will seek the consent of the holders of any such senior indebtedness prior to issuing any debt securities under this prospectus to the extent required by the agreements evidencing such senior indebtedness.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Registrar and Paying Agent</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debt securities may be presented for registration of transfer or for exchange at the corporate trust office of the security registrar or at any other office or agency that we maintain for those purposes. In addition, the debt securities may be presented for payment of principal, interest and any premium at the office of the paying agent or at any office or agency that we maintain for those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00"/>
          </w:cols>
          <w:pgMar w:left="320" w:top="1440" w:right="379" w:bottom="1440" w:gutter="0" w:footer="0" w:header="0"/>
        </w:sectPr>
      </w:pPr>
    </w:p>
    <w:bookmarkStart w:id="92" w:name="page93"/>
    <w:bookmarkEnd w:id="9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Debt securities may be convertible into or exchangeable for shares of our Class A common stock. The terms and conditions of conversion or exchange will be stated in the applicable prospectus supplement. The terms will include, among others, the following:</w:t>
      </w:r>
    </w:p>
    <w:p>
      <w:pPr>
        <w:spacing w:after="0" w:line="108"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period;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regarding the convertibility or exchangeability of the debt securities, including who may convert or exchange;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requiring adjustment to the conversion or exchange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or exchange in the event of our redemption of the debt securities;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provisions, if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prospectus supplement will describe the specific terms of the depositary arrangement for debt securities of a series that are issued in global form. None of us,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Change of Control</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base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form of base indenture provides that we will not consolidate with or merge into any other person or convey, transfer, sell or lease our properties and assets substantially as an entirety to any person, unless:</w:t>
      </w:r>
    </w:p>
    <w:p>
      <w:pPr>
        <w:spacing w:after="0" w:line="108" w:lineRule="exact"/>
        <w:rPr>
          <w:sz w:val="20"/>
          <w:szCs w:val="20"/>
          <w:color w:val="auto"/>
        </w:rPr>
      </w:pPr>
    </w:p>
    <w:p>
      <w:pPr>
        <w:jc w:val="both"/>
        <w:ind w:left="660" w:right="60" w:hanging="328"/>
        <w:spacing w:after="0" w:line="261"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of such merger or consolidation, or if we are not the surviving person, 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has expressly assumed all of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00"/>
          </w:cols>
          <w:pgMar w:left="320" w:top="1440" w:right="379" w:bottom="1440" w:gutter="0" w:footer="0" w:header="0"/>
        </w:sectPr>
      </w:pPr>
    </w:p>
    <w:bookmarkStart w:id="93" w:name="page94"/>
    <w:bookmarkEnd w:id="93"/>
    <w:p>
      <w:pPr>
        <w:spacing w:after="0" w:line="140"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including the payment of the principal of and, premium, if any, and interest on the debt securities and the performance of the other covenants under the indenture; and</w:t>
      </w:r>
    </w:p>
    <w:p>
      <w:pPr>
        <w:spacing w:after="0" w:line="108" w:lineRule="exact"/>
        <w:rPr>
          <w:sz w:val="20"/>
          <w:szCs w:val="20"/>
          <w:color w:val="auto"/>
        </w:rPr>
      </w:pPr>
    </w:p>
    <w:p>
      <w:pPr>
        <w:ind w:left="660" w:right="32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the transaction on a pro forma basis, no event of default, and no event which, after notice or lapse of time or both, would become an event of default, has occurred and is continuing under the indenture.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following events will be events of default under the indenture with respect to debt securities of any series:</w:t>
      </w:r>
    </w:p>
    <w:p>
      <w:pPr>
        <w:spacing w:after="0" w:line="108"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premium, if any, when it becomes due;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interest within 30 days after it becomes due;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observe or perform any other covenant in the debt securities or the indenture for 90 days after written notice specifying the failure from the trustee or the holders of not less than 25% in aggregate principal amount of the outstanding debt securities of that series;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involving bankruptcy, insolvency or reorganization of us or any of our significant subsidiaries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 any time after the acceleration, but before a judgment or decree based on such acceleration is obtained by the trustee, the holders of a majority in aggregate principal amount of outstanding debt securities of such series may rescind and annul such acceleration if:</w:t>
      </w:r>
    </w:p>
    <w:p>
      <w:pPr>
        <w:spacing w:after="0" w:line="133"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nonpayment of accelerated principal, premium or interest) have been cured or waived;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interest on overdue interest and overdue principal has been paid;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rescission would not conflict with any judgment or decree.</w:t>
      </w:r>
    </w:p>
    <w:p>
      <w:pPr>
        <w:spacing w:after="0" w:line="17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addition, if the acceleration occurs at any time when we have outstanding indebtedness that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an event of default resulting from certain events of bankruptcy, insolvency or reorganization occurs, the principal, premium and interest amount with respect to all of the debt securities of any series will be due and payable immediately without any declaration or other act on the part of the trustee or the holders of the debt securities of that series.</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 series will have the right to waive any existing default or compliance with any provision of the indenture or the debt securities of that series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1440" w:right="459" w:bottom="1440" w:gutter="0" w:footer="0" w:header="0"/>
        </w:sectPr>
      </w:pPr>
    </w:p>
    <w:bookmarkStart w:id="94" w:name="page95"/>
    <w:bookmarkEnd w:id="94"/>
    <w:p>
      <w:pPr>
        <w:spacing w:after="0" w:line="14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to direct the time, method and place of conducting any proceeding for any remedy available to the trustee, subject to certain limitations specified in the indenture.</w:t>
      </w:r>
    </w:p>
    <w:p>
      <w:pPr>
        <w:spacing w:after="0" w:line="10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 series will have any right to institute any proceeding with respect to the indenture or for any remedy under the indenture, unless:</w:t>
      </w:r>
    </w:p>
    <w:p>
      <w:pPr>
        <w:spacing w:after="0" w:line="108"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to the trustee written notice of a continuing event of default;</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the affected series make a written request and offer reasonable indemnity to the trustee to institute a proceeding as trustee;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institute a proceeding within 60 days after such request; and</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outstanding debt securities of the affected series do not give the trustee a direction inconsistent with such request during such 60-day period.</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These limitations do not, however, apply to a suit instituted for payment on debt securities of any series on or after the due dates expressed in the debt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periodically deliver certificates to the trustee regarding our compliance with our obligations under the indenture.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From time to time, we and the trustee may, without the consent of holders of the debt securities of one or more series, amend the indenture or the debt securities of one or more series, or supplement the indenture, for certain specified purposes, including:</w:t>
      </w:r>
    </w:p>
    <w:p>
      <w:pPr>
        <w:spacing w:after="0" w:line="108" w:lineRule="exact"/>
        <w:rPr>
          <w:sz w:val="20"/>
          <w:szCs w:val="20"/>
          <w:color w:val="auto"/>
        </w:rPr>
      </w:pPr>
    </w:p>
    <w:p>
      <w:pPr>
        <w:ind w:left="660" w:right="54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surviving entity following a change of control permitted under the indenture will assume all of our obligations under the indenture and debt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certificated debt securities in addition to uncertificated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under the Trust Indenture Act of 1939;</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defect or inconsistency, or make any other change that does not materially and adversely affect the rights of any holder; and</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 successor trustee under the indenture with respect to one or more series.</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time to time we and the trustee may, with the consent of holders of at least a majority in principal amount of an outstanding series of debt securities, amend or supplement the indenture or the debt securities series, or waive compliance in a particular instance by us with any provision of the indenture or the debt securities. We may not, however, without the consent of each holder affected by such action, modify or supplement the indenture or the debt securities or waive compliance with any provision of the indenture or the debt securities in order to:</w:t>
      </w:r>
    </w:p>
    <w:p>
      <w:pPr>
        <w:spacing w:after="0" w:line="126"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 to the indenture or such debt security;</w:t>
      </w:r>
    </w:p>
    <w:p>
      <w:pPr>
        <w:spacing w:after="0" w:line="171"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or reduce the amount of or postpone the date for payment of sinking fund or analogous obligations;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stated maturity of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money other than that stated in the debt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1440" w:right="379" w:bottom="1440" w:gutter="0" w:footer="0" w:header="0"/>
        </w:sectPr>
      </w:pPr>
    </w:p>
    <w:bookmarkStart w:id="95" w:name="page96"/>
    <w:bookmarkEnd w:id="95"/>
    <w:p>
      <w:pPr>
        <w:spacing w:after="0" w:line="140" w:lineRule="exact"/>
        <w:rPr>
          <w:sz w:val="20"/>
          <w:szCs w:val="20"/>
          <w:color w:val="auto"/>
        </w:rPr>
      </w:pPr>
    </w:p>
    <w:p>
      <w:pPr>
        <w:ind w:left="660" w:right="24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amount or time of any payment required or reduce the premium payable upon any redemption, or change the time before which no such redemption may be made;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if any, or interest on the debt securities or a redemption payment;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securities or change any provision with respect to redemption of debt securities;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otherwise prohibited by the indenture to be taken without the consent of each holder affected by the action.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indenture permits us, at any time, to elect to discharge our obligations with respect to one or more series of debt securities by following certain procedures described in the indenture. These procedures will allow us either:</w:t>
      </w:r>
    </w:p>
    <w:p>
      <w:pPr>
        <w:spacing w:after="0" w:line="108" w:lineRule="exact"/>
        <w:rPr>
          <w:sz w:val="20"/>
          <w:szCs w:val="20"/>
          <w:color w:val="auto"/>
        </w:rPr>
      </w:pPr>
    </w:p>
    <w:p>
      <w:pPr>
        <w:ind w:left="660" w:right="200" w:hanging="328"/>
        <w:spacing w:after="0" w:line="282"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any and all of our obligations with respect to any debt securities except for the following obligations (which discharge is referred to as “legal defeasance”):</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or exchange of such debt securities;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temporary or mutilated, destroyed, lost or stolen debt securities;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compensate and indemnify the trustee; or</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an office or agency in respect of the debt securities and to hold monies for payment in trust; or</w:t>
      </w:r>
    </w:p>
    <w:p>
      <w:pPr>
        <w:spacing w:after="0" w:line="171"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5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released from our obligations with respect to the debt securities under certain covenants contained in the base indenture, as well as any additional covenants which may be contained in the applicable supplemental indenture (which release is referred to as “covenant defeasance”).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exercise either defeasance option, we must irrevocably deposit with the trustee or other qualifying trustee, in trust for that purpose:</w:t>
      </w:r>
    </w:p>
    <w:p>
      <w:pPr>
        <w:spacing w:after="0" w:line="171"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(as described below) or Foreign Government Obligations (as described below) that through the scheduled payment of principal and interest in accordance with their terms will provide money; or</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money and/or U.S. Government Obligations and/or Foreign Government Obligations sufficient in the written opinion of a nationally-recognized firm of independent accountants to provide money;</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that, in each case specified above, provides a sufficient amount to pay the principal of, premium, if any, and interest, if any, on the debt securities of the series, on the scheduled due dates or on a selected date of redemption in accordance with the terms of the indenture.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defeasance may be effected only if, among other things:</w:t>
      </w:r>
    </w:p>
    <w:p>
      <w:pPr>
        <w:spacing w:after="0" w:line="171" w:lineRule="exact"/>
        <w:rPr>
          <w:sz w:val="20"/>
          <w:szCs w:val="20"/>
          <w:color w:val="auto"/>
        </w:rPr>
      </w:pPr>
    </w:p>
    <w:p>
      <w:pPr>
        <w:ind w:left="660" w:hanging="328"/>
        <w:spacing w:after="0" w:line="266"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deliver to the trustee an opinion of counsel stating that we have received from, or there has been published by, the Internal Revenue Service a ruling to the effect that, or there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1440" w:right="459" w:bottom="1440" w:gutter="0" w:footer="0" w:header="0"/>
        </w:sectPr>
      </w:pPr>
    </w:p>
    <w:bookmarkStart w:id="96" w:name="page97"/>
    <w:bookmarkEnd w:id="96"/>
    <w:p>
      <w:pPr>
        <w:spacing w:after="0" w:line="140"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w:t>
      </w:r>
    </w:p>
    <w:p>
      <w:pPr>
        <w:spacing w:after="0" w:line="126" w:lineRule="exact"/>
        <w:rPr>
          <w:sz w:val="20"/>
          <w:szCs w:val="20"/>
          <w:color w:val="auto"/>
        </w:rPr>
      </w:pPr>
    </w:p>
    <w:p>
      <w:pPr>
        <w:ind w:left="660" w:right="80" w:hanging="328"/>
        <w:spacing w:after="0" w:line="261"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described in the indenture are satisfied.</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fail to comply with our remaining obligations under the base indenture and applicable supplemental indenture after a covenant defeasance of the base indenture and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w:t>
      </w:r>
    </w:p>
    <w:p>
      <w:pPr>
        <w:spacing w:after="0" w:line="12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term “U.S. Government Obligations” as used in the above discussion means securities that are direct obligations of or non-callable obligations guaranteed by the United States of America for the payment of which obligation or guarantee the full faith and credit of the United States of America is pledged.</w:t>
      </w:r>
    </w:p>
    <w:p>
      <w:pPr>
        <w:spacing w:after="0" w:line="1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term “Foreign Government Obligations” as used in the above discussion means, with respect to debt securities of any series that are denominated in a currency other than U.S. dollars, (1) 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will identify the trustee with respect to any series of debt securities in the prospectus supplement relating to the applicable debt securities. You should note that if the trustee becomes a creditor of ours,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indenture provides that no incorporator and no past, present or future stockholder, officer or director of our company or any successor corporation in those capacities will have any individual liability for any of our obligations, covenants or agreements under the debt securities or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indenture and the debt securities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139"/>
          </w:cols>
          <w:pgMar w:left="320" w:top="1440" w:right="1440" w:bottom="1440" w:gutter="0" w:footer="0" w:header="0"/>
        </w:sectPr>
      </w:pPr>
    </w:p>
    <w:bookmarkStart w:id="98" w:name="page99"/>
    <w:bookmarkEnd w:id="9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following summary sets forth certain material terms and provisions of our outstanding warrants to purchase 14,758,305 shares of Class A common stock that we issued in our IPO (the “public warrants”), our outstanding warrants to purchase 7,236,667 shares of Class A common stock that we issued in a private placement in connection with our IPO (the “private placement warrants”) and the warrant agreement governing our public warrants and our private placement warrants (the “warrant agreement”), which is incorporated by reference as an exhibit to the registration statement of which this prospectus forms a part. In addition, the following summary sets forth certain terms and provisions of the additional warrants we may offer pursuant to this prospectus.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our Class A common stock at a price of $11.50 per whole share, subject to adjustment as discussed below, at any time commencing on September 4, 2021. Pursuant to the warrant agreement, a warrant holder may exercise its public warrants only for a whole number of shares of Class A common stock. This means that only a whole public warrant may be exercised at any given time by a warrant holder. No fractional public warrants will be issued upon separation of the units and only whole public warrants will trade. The public warrants will expire September 4, 2026, at 5:00 p.m., New York City time, or earlier upon redemption or liquidation.</w:t>
      </w:r>
    </w:p>
    <w:p>
      <w:pPr>
        <w:spacing w:after="0" w:line="12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We are not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$18.00 - </w:t>
      </w:r>
      <w:r>
        <w:rPr>
          <w:rFonts w:ascii="Times New Roman" w:cs="Times New Roman" w:eastAsia="Times New Roman" w:hAnsi="Times New Roman"/>
          <w:sz w:val="18"/>
          <w:szCs w:val="18"/>
          <w:color w:val="auto"/>
        </w:rPr>
        <w:t>We may redeem the outstanding public warrants:</w:t>
      </w:r>
    </w:p>
    <w:p>
      <w:pPr>
        <w:spacing w:after="0" w:line="173"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10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its redemption right even if we are unable to register or qualify the underlying securities for sale under all applicable state securities laws.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$10.00 </w:t>
      </w:r>
      <w:r>
        <w:rPr>
          <w:rFonts w:ascii="Times New Roman" w:cs="Times New Roman" w:eastAsia="Times New Roman" w:hAnsi="Times New Roman"/>
          <w:sz w:val="18"/>
          <w:szCs w:val="18"/>
          <w:color w:val="auto"/>
        </w:rPr>
        <w:t>– We may redeem the outstanding warrants:</w:t>
      </w:r>
    </w:p>
    <w:p>
      <w:pPr>
        <w:spacing w:after="0" w:line="173"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1440" w:right="359" w:bottom="1440" w:gutter="0" w:footer="0" w:header="0"/>
        </w:sectPr>
      </w:pPr>
    </w:p>
    <w:bookmarkStart w:id="99" w:name="page100"/>
    <w:bookmarkEnd w:id="99"/>
    <w:p>
      <w:pPr>
        <w:spacing w:after="0" w:line="140" w:lineRule="exact"/>
        <w:rPr>
          <w:sz w:val="20"/>
          <w:szCs w:val="20"/>
          <w:color w:val="auto"/>
        </w:rPr>
      </w:pPr>
    </w:p>
    <w:p>
      <w:pPr>
        <w:ind w:left="660" w:right="160" w:hanging="328"/>
        <w:spacing w:after="0" w:line="282"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$10.00 per share (as adjusted) for any 20 trading days within the 30-trading day period ending three trading days before we send the notice of redemption to the warrant holders;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common stock for any 20 trading days within a 30-trading day period ending three trading days before we send notice of redemption to the warrant holders is less than $18.00 per share (as adjusted), the private placement warrants must also be concurrently called for redemption on the same terms as the outstanding public warrants, as described above.</w:t>
      </w:r>
    </w:p>
    <w:p>
      <w:pPr>
        <w:spacing w:after="0" w:line="122"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Class A common stock may fall below the $18.00 redemption trigger price as well as the $11.50 warrant exercise price after the redemption notice is issued.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all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the exercise of our public warrants. If our management takes advantage of this option, all holders of public warrants would pay the exercise price by surrendering their public warrants for that number of shares of Class A common stock equal to the quotient obtained by dividing (i) the product of the number of shares of Class A common stock underlying the public warrants, multiplied by the difference between the exercise price of the public warrants and the “fair market value” (defined below) by (ii) the fair market value. The “fair market value” shall mean the average reported last sale price of the Class A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If we call our public warrants for redemption and our management does not take advantage of this option, the Former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spacing w:after="0" w:line="14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shares of Class A common stock outstanding immediately after giving effect to such exercise.</w:t>
      </w:r>
    </w:p>
    <w:p>
      <w:pPr>
        <w:spacing w:after="0" w:line="1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shares of Class A common stock is increased by a stock dividend payable in shares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by a split-up of shares of Class A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minus the quotient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of (a) the price per share of Class A common stock paid in such rights offering divided by (b) the fair market value. For these purposes (1)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Class A common stock on account of such shares of Class A common stock (or other shares of our capital stock into which the public warrants are convertible), other than (i) as described above; or (ii)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spacing w:after="0" w:line="12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Additionally,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1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public warrants have been issued in registered form under a warrant agreement between Continental Stock Transfer &amp; Trust Company, as warrant agent, and us. You should review a copy of the warrant agreement, which is filed as an exhibit to the registration statement of which this prospectus forms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Class A common stock and any voting rights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stockholders.</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Warrants may be exercised only for a whole number of shares of Class A common stock. No fractional shares will be issued upon exercise of the public warrants. If, upon exercise of the public warrants, a holder would be entitled to receive a fractional interest in a share, we will, upon exercise, round down to the nearest whole number the number of shares of Class A common stock to be issued to the warrant holder. As a result, warrant holders not purchasing public warrants in multiples of three warrants will not obtain value from the fractional interest that will not be issued.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except that (1) the private placement warrants are exercisable on a cashless basis, (2) the private placement warrants are non-redeemable (except as described above in “Redemption of Warrants When the Price per Share of Class A Common Stock Equals or Exceeds $10.00”) so long as they are held by the initial purchasers or their permitted transferees, and (3) the holders of the private placement warrants and the Class A common stock issuable upon the exercise of the private placement warrants have certain registration rights. If the private placement warrants are held by someone other than the initial purchasers or their permitted transferees, the private placement warrants are redeemable by us and exercisable by such holders on the same basis as the public warrants.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Agent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agent for our public warrants and private placement warrants is Continental Stock Transfer &amp; Trust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Global Select Market 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public warrants are traded on The Nasdaq Global Select Market under the symbol “SMFRW.”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Warrants</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addition, we may issue additional warrants for the purchase of our debt securities, preferred stock, Class A common stock, or any combination thereof. Warrants may be issued independently or together with our debt securities, preferred stock or Class A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Warrants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purchase debt securities will describe the terms of the debt warrants, including the following:</w:t>
      </w:r>
    </w:p>
    <w:p>
      <w:pPr>
        <w:spacing w:after="0" w:line="108"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debt warrants,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1440" w:right="379" w:bottom="1440" w:gutter="0" w:footer="0" w:header="0"/>
        </w:sectPr>
      </w:pPr>
    </w:p>
    <w:bookmarkStart w:id="102" w:name="page103"/>
    <w:bookmarkEnd w:id="102"/>
    <w:p>
      <w:pPr>
        <w:spacing w:after="0" w:line="140"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debt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debt securities, including any conversion rights, purchasable upon exercise of the debt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debt warrants and any debt securities issued with them will be separately transferable;</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debt warrants will commence and expire;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debt warrants that may be exercised at any one time;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represented by the debt warrant certificates or debt securities that may be issued upon exercise of the debt warrants will be issued in registered or bearer 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debt warrants,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debt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debt warrants upon a change in control or similar event; and</w:t>
      </w:r>
    </w:p>
    <w:p>
      <w:pPr>
        <w:spacing w:after="0" w:line="17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debt warrants, including procedures and limitations relating to the exchange, exercise, and settlement of the debt warrants.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Warrants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series of warrants to purchase our Class A common stock or preferred stock will describe the terms of the warrants, including the following:</w:t>
      </w:r>
    </w:p>
    <w:p>
      <w:pPr>
        <w:spacing w:after="0" w:line="108"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Class A common stock or preferred stock that may be purchased upon exercise of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60"/>
          </w:cols>
          <w:pgMar w:left="320" w:top="1440" w:right="419" w:bottom="1440" w:gutter="0" w:footer="0" w:header="0"/>
        </w:sectPr>
      </w:pPr>
    </w:p>
    <w:bookmarkStart w:id="103" w:name="page104"/>
    <w:bookmarkEnd w:id="103"/>
    <w:p>
      <w:pPr>
        <w:spacing w:after="0" w:line="140" w:lineRule="exact"/>
        <w:rPr>
          <w:sz w:val="20"/>
          <w:szCs w:val="20"/>
          <w:color w:val="auto"/>
        </w:rPr>
      </w:pPr>
    </w:p>
    <w:p>
      <w:pPr>
        <w:ind w:left="540" w:hanging="328"/>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171" w:lineRule="exact"/>
        <w:rPr>
          <w:rFonts w:ascii="Times New Roman" w:cs="Times New Roman" w:eastAsia="Times New Roman" w:hAnsi="Times New Roman"/>
          <w:sz w:val="18"/>
          <w:szCs w:val="18"/>
          <w:color w:val="auto"/>
        </w:rPr>
      </w:pPr>
    </w:p>
    <w:p>
      <w:pPr>
        <w:ind w:left="540" w:hanging="328"/>
        <w:spacing w:after="0" w:line="282" w:lineRule="auto"/>
        <w:tabs>
          <w:tab w:leader="none" w:pos="5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or preferred stock that may be purchased upon exercise of a warrant and the exercise price for the warrants;</w:t>
      </w:r>
    </w:p>
    <w:p>
      <w:pPr>
        <w:spacing w:after="0" w:line="107"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shall commence and expire;</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warrants;</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a holder’s right to require us to repurchase the warrants upon a change in control or similar event; and</w:t>
      </w:r>
    </w:p>
    <w:p>
      <w:pPr>
        <w:spacing w:after="0" w:line="171" w:lineRule="exact"/>
        <w:rPr>
          <w:rFonts w:ascii="Times New Roman" w:cs="Times New Roman" w:eastAsia="Times New Roman" w:hAnsi="Times New Roman"/>
          <w:sz w:val="18"/>
          <w:szCs w:val="18"/>
          <w:color w:val="auto"/>
        </w:rPr>
      </w:pPr>
    </w:p>
    <w:p>
      <w:pPr>
        <w:ind w:left="-120" w:right="440" w:firstLine="332"/>
        <w:spacing w:after="0" w:line="438" w:lineRule="auto"/>
        <w:tabs>
          <w:tab w:leader="none" w:pos="52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procedures and limitations relating to the exchange, exercise and settlement of the warrants. Holders of equity warrants will not be entitled to:</w:t>
      </w:r>
    </w:p>
    <w:p>
      <w:pPr>
        <w:ind w:left="540" w:hanging="328"/>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consent, or receive dividends;</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1440" w:right="459" w:bottom="1440" w:gutter="0" w:footer="0" w:header="0"/>
        </w:sectPr>
      </w:pPr>
    </w:p>
    <w:bookmarkStart w:id="104" w:name="page105"/>
    <w:bookmarkEnd w:id="104"/>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our Class A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108"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Class A common stock, preferred stock or debt securities upon the exercise of the subscription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Class A common stock, preferred stock or debt securities which may be purchased per each subscription right;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80"/>
          </w:cols>
          <w:pgMar w:left="320" w:top="1440" w:right="399" w:bottom="1440" w:gutter="0" w:footer="0" w:header="0"/>
        </w:sectPr>
      </w:pPr>
    </w:p>
    <w:bookmarkStart w:id="105" w:name="page106"/>
    <w:bookmarkEnd w:id="105"/>
    <w:p>
      <w:pPr>
        <w:spacing w:after="0" w:line="1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some or all of the securities described above, in any combination, including Class A common stock, preferred stock, warrants and/or debt securities. The terms of these units will be set forth in a prospectus supplement. The description of the terms of these units in the applicable prospectus supplement will not be complete. You should refer to the applicable form of unit and unit agreement for complete information with respect to these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40"/>
          </w:cols>
          <w:pgMar w:left="320" w:top="1440" w:right="539" w:bottom="1440" w:gutter="0" w:footer="0" w:header="0"/>
        </w:sectPr>
      </w:pPr>
    </w:p>
    <w:bookmarkStart w:id="106" w:name="page107"/>
    <w:bookmarkEnd w:id="106"/>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Fenwick &amp; West LLP, New York, New York, will issue an opinion about certain legal matters with respect to the securities. Any underwriters or agents will be advised about legal matters relating to any offering by their own counsel.</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Sema4 Holdings Corp. appearing in Sema4 Holdings Corp.’s Annual Report (Form 10-K) for the year ended December 31, 2021,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combined carve out financial statements of GeneDx, Inc. and subsidiary at December 31, 2021 and 2020, and for each of the two years in the period ended December 31, 2021, included in the Proxy Statement of Sema4 Holdings Corp. dated March 31, 2022, incorporated by reference in this Prospectus and Registration Statement have been audited by Ernst &amp; Young LLP, independent auditors, as set forth in their report thereon, and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2745740</wp:posOffset>
            </wp:positionH>
            <wp:positionV relativeFrom="page">
              <wp:posOffset>1520190</wp:posOffset>
            </wp:positionV>
            <wp:extent cx="2065655" cy="582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06565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328,571,429 Shares of Class A Common Stock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490220</wp:posOffset>
            </wp:positionV>
            <wp:extent cx="15170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144780</wp:posOffset>
            </wp:positionV>
            <wp:extent cx="1517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3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January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474345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lvl w:ilvl="1">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1)"/>
      <w:numFmt w:val="upperLetter"/>
      <w:start w:val="1"/>
    </w:lvl>
  </w:abstractNum>
  <w:abstractNum w:abstractNumId="16">
    <w:nsid w:val="7644A45C"/>
    <w:multiLevelType w:val="hybridMultilevel"/>
    <w:lvl w:ilvl="0">
      <w:lvlJc w:val="left"/>
      <w:lvlText w:val="(%1)"/>
      <w:numFmt w:val="upperLetter"/>
      <w:start w:val="6"/>
    </w:lvl>
  </w:abstractNum>
  <w:abstractNum w:abstractNumId="17">
    <w:nsid w:val="32FFF902"/>
    <w:multiLevelType w:val="hybridMultilevel"/>
    <w:lvl w:ilvl="0">
      <w:lvlJc w:val="left"/>
      <w:lvlText w:val="(%1)"/>
      <w:numFmt w:val="upperLetter"/>
      <w:start w:val="1"/>
    </w:lvl>
  </w:abstractNum>
  <w:abstractNum w:abstractNumId="18">
    <w:nsid w:val="684A481A"/>
    <w:multiLevelType w:val="hybridMultilevel"/>
    <w:lvl w:ilvl="0">
      <w:lvlJc w:val="left"/>
      <w:lvlText w:val="(%1)"/>
      <w:numFmt w:val="upperLetter"/>
      <w:start w:val="5"/>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endash "/>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lvl w:ilvl="1">
      <w:lvlJc w:val="left"/>
      <w:lvlText w:val="◦"/>
      <w:numFmt w:val="bullet"/>
      <w:start w:val="1"/>
    </w:lvl>
  </w:abstractNum>
  <w:abstractNum w:abstractNumId="29">
    <w:nsid w:val="4F4EF005"/>
    <w:multiLevelType w:val="hybridMultilevel"/>
    <w:lvl w:ilvl="0">
      <w:lvlJc w:val="left"/>
      <w:lvlText w:val="•"/>
      <w:numFmt w:val="bullet"/>
      <w:start w:val="1"/>
    </w:lvl>
    <w:lvl w:ilvl="1">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1."/>
      <w:numFmt w:val="upperLetter"/>
      <w:start w:val="1"/>
    </w:lvl>
  </w:abstractNum>
  <w:abstractNum w:abstractNumId="38">
    <w:nsid w:val="354FE9F9"/>
    <w:multiLevelType w:val="hybridMultilevel"/>
    <w:lvl w:ilvl="0">
      <w:lvlJc w:val="left"/>
      <w:lvlText w:val="%1."/>
      <w:numFmt w:val="upperLetter"/>
      <w:start w:val="1"/>
    </w:lvl>
    <w:lvl w:ilvl="1">
      <w:lvlJc w:val="left"/>
      <w:lvlText w:val="(%2)"/>
      <w:numFmt w:val="lowerRoman"/>
      <w:start w:val="1"/>
    </w:lvl>
  </w:abstractNum>
  <w:abstractNum w:abstractNumId="39">
    <w:nsid w:val="15B5AF5C"/>
    <w:multiLevelType w:val="hybridMultilevel"/>
    <w:lvl w:ilvl="0">
      <w:lvlJc w:val="left"/>
      <w:lvlText w:val="(%1)"/>
      <w:numFmt w:val="lowerRoman"/>
      <w:start w:val="10"/>
    </w:lvl>
  </w:abstractNum>
  <w:abstractNum w:abstractNumId="40">
    <w:nsid w:val="741226BB"/>
    <w:multiLevelType w:val="hybridMultilevel"/>
    <w:lvl w:ilvl="0">
      <w:lvlJc w:val="left"/>
      <w:lvlText w:val="%1."/>
      <w:numFmt w:val="upperLetter"/>
      <w:start w:val="2"/>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1)"/>
      <w:numFmt w:val="upperLetter"/>
      <w:start w:val="2"/>
    </w:lvl>
    <w:lvl w:ilvl="1">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lvl w:ilvl="1">
      <w:lvlJc w:val="left"/>
      <w:lvlText w:val="%2."/>
      <w:numFmt w:val="decimal"/>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
      <w:numFmt w:val="bullet"/>
      <w:start w:val="1"/>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35" Type="http://schemas.openxmlformats.org/officeDocument/2006/relationships/image" Target="media/image13.jpeg"/><Relationship Id="rId36"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jpe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20" Type="http://schemas.openxmlformats.org/officeDocument/2006/relationships/hyperlink" Target="https://www.sec.gov/ix?doc=/Archives/edgar/data/1818331/000181833122000037/cmlf-20211231.htm" TargetMode="External"/><Relationship Id="rId21" Type="http://schemas.openxmlformats.org/officeDocument/2006/relationships/hyperlink" Target="https://www.sec.gov/ix?doc=/Archives/edgar/data/1818331/000181833122000046/cmlf-20220331.htm" TargetMode="External"/><Relationship Id="rId22" Type="http://schemas.openxmlformats.org/officeDocument/2006/relationships/hyperlink" Target="https://www.sec.gov/ix?doc=/Archives/edgar/data/1818331/000181833122000069/cmlf-20220630.htm" TargetMode="External"/><Relationship Id="rId23" Type="http://schemas.openxmlformats.org/officeDocument/2006/relationships/hyperlink" Target="https://www.sec.gov/ix?doc=/Archives/edgar/data/1818331/000181833122000078/cmlf-20220930.htm" TargetMode="External"/><Relationship Id="rId24" Type="http://schemas.openxmlformats.org/officeDocument/2006/relationships/hyperlink" Target="https://www.sec.gov/ix?doc=/Archives/edgar/data/0001818331/000181833122000010/smfr-20220114.htm" TargetMode="External"/><Relationship Id="rId25" Type="http://schemas.openxmlformats.org/officeDocument/2006/relationships/hyperlink" Target="https://www.sec.gov/ix?doc=/Archives/edgar/data/0001818331/000162828022010817/smfr-20220427.htm" TargetMode="External"/><Relationship Id="rId26" Type="http://schemas.openxmlformats.org/officeDocument/2006/relationships/hyperlink" Target="https://www.sec.gov/ix?doc=/Archives/edgar/data/0001818331/000162828022011605/smfr-20220429.htm" TargetMode="External"/><Relationship Id="rId27" Type="http://schemas.openxmlformats.org/officeDocument/2006/relationships/hyperlink" Target="https://www.sec.gov/ix?doc=/Archives/edgar/data/1818331/000181833122000053/smfr-20220610.htm" TargetMode="External"/><Relationship Id="rId28" Type="http://schemas.openxmlformats.org/officeDocument/2006/relationships/hyperlink" Target="https://www.sec.gov/ix?doc=/Archives/edgar/data/1818331/000181833122000060/smfr-20220627.htm" TargetMode="External"/><Relationship Id="rId29" Type="http://schemas.openxmlformats.org/officeDocument/2006/relationships/hyperlink" Target="https://www.sec.gov/ix?doc=/Archives/edgar/data/0001818331/000162828022023779/smfr-20220825.htm" TargetMode="External"/><Relationship Id="rId30" Type="http://schemas.openxmlformats.org/officeDocument/2006/relationships/hyperlink" Target="https://www.sec.gov/ix?doc=/Archives/edgar/data/0001818331/000181833122000075/smfr-20221111.htm" TargetMode="External"/><Relationship Id="rId31" Type="http://schemas.openxmlformats.org/officeDocument/2006/relationships/hyperlink" Target="https://www.sec.gov/ix?doc=/Archives/edgar/data/0001818331/000181833122000080/smfr-20221228.htm" TargetMode="External"/><Relationship Id="rId32" Type="http://schemas.openxmlformats.org/officeDocument/2006/relationships/hyperlink" Target="https://www.sec.gov/ix?doc=/Archives/edgar/data/0001818331/000181833123000006/smfr-20230109.htm" TargetMode="External"/><Relationship Id="rId33" Type="http://schemas.openxmlformats.org/officeDocument/2006/relationships/hyperlink" Target="https://www.sec.gov/Archives/edgar/data/1818331/000162828022008073/sema4-2022finalproxy.htm#i9dc8683d5f754346aae9d53d48e80fdd_1049" TargetMode="External"/><Relationship Id="rId34" Type="http://schemas.openxmlformats.org/officeDocument/2006/relationships/hyperlink" Target="https://www.sec.gov/Archives/edgar/data/0001818331/000121390020024549/ea126225-8a12b_cmlifescie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2023-01-30T16:39:58Z</dcterms:created>
  <dcterms:modified xsi:type="dcterms:W3CDTF">2023-01-30T16:39:58Z</dcterms:modified>
</cp:coreProperties>
</file>