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Date of Report (Date of earliest event reported): May 3, 2021</w:t>
            </w:r>
          </w:p>
        </w:tc>
        <w:tc>
          <w:tcPr>
            <w:tcW w:w="286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rPr>
              <w:t>CM LIFE SCIENCES, INC.</w:t>
            </w:r>
          </w:p>
        </w:tc>
        <w:tc>
          <w:tcPr>
            <w:tcW w:w="286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860" w:type="dxa"/>
            <w:vAlign w:val="bottom"/>
          </w:tcPr>
          <w:p>
            <w:pPr>
              <w:spacing w:after="0"/>
              <w:rPr>
                <w:sz w:val="20"/>
                <w:szCs w:val="20"/>
                <w:color w:val="auto"/>
              </w:rPr>
            </w:pPr>
          </w:p>
        </w:tc>
      </w:tr>
      <w:tr>
        <w:trPr>
          <w:trHeight w:val="439"/>
        </w:trPr>
        <w:tc>
          <w:tcPr>
            <w:tcW w:w="304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Delaware</w:t>
            </w:r>
          </w:p>
        </w:tc>
        <w:tc>
          <w:tcPr>
            <w:tcW w:w="44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001-39482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85-1966622</w:t>
            </w:r>
          </w:p>
        </w:tc>
      </w:tr>
      <w:tr>
        <w:trPr>
          <w:trHeight w:val="198"/>
        </w:trPr>
        <w:tc>
          <w:tcPr>
            <w:tcW w:w="3040" w:type="dxa"/>
            <w:vAlign w:val="bottom"/>
            <w:tcBorders>
              <w:top w:val="single" w:sz="8" w:color="auto"/>
            </w:tcBorders>
          </w:tcPr>
          <w:p>
            <w:pPr>
              <w:jc w:val="center"/>
              <w:ind w:left="49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3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04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of incorporation)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6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1"/>
              </w:rPr>
              <w:t>c/o Corvex Management LP</w:t>
            </w:r>
          </w:p>
        </w:tc>
        <w:tc>
          <w:tcPr>
            <w:tcW w:w="286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9"/>
              </w:rPr>
              <w:t>667 Madison Avenue</w:t>
            </w:r>
          </w:p>
        </w:tc>
        <w:tc>
          <w:tcPr>
            <w:tcW w:w="28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2"/>
              </w:rPr>
              <w:t>New York, New York 10065</w:t>
            </w:r>
          </w:p>
        </w:tc>
        <w:tc>
          <w:tcPr>
            <w:tcW w:w="286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5340" w:type="dxa"/>
            <w:vAlign w:val="bottom"/>
            <w:gridSpan w:val="5"/>
          </w:tcPr>
          <w:p>
            <w:pPr>
              <w:ind w:left="180"/>
              <w:spacing w:after="0"/>
              <w:rPr>
                <w:sz w:val="20"/>
                <w:szCs w:val="20"/>
                <w:color w:val="auto"/>
              </w:rPr>
            </w:pPr>
            <w:r>
              <w:rPr>
                <w:rFonts w:ascii="Arial" w:cs="Arial" w:eastAsia="Arial" w:hAnsi="Arial"/>
                <w:sz w:val="18"/>
                <w:szCs w:val="18"/>
                <w:b w:val="1"/>
                <w:bCs w:val="1"/>
                <w:color w:val="auto"/>
              </w:rPr>
              <w:t>(Address of principal executive offices, including ZIP code)</w:t>
            </w:r>
          </w:p>
        </w:tc>
        <w:tc>
          <w:tcPr>
            <w:tcW w:w="286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44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0"/>
              </w:rPr>
              <w:t>(212) 474-6745</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86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2"/>
              </w:rPr>
              <w:t>Not Applicable</w:t>
            </w:r>
          </w:p>
        </w:tc>
        <w:tc>
          <w:tcPr>
            <w:tcW w:w="286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3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86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99"/>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420" w:hanging="399"/>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399"/>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80" w:firstLine="21"/>
        <w:spacing w:after="0" w:line="498" w:lineRule="auto"/>
        <w:tabs>
          <w:tab w:leader="none" w:pos="41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8"/>
        </w:trPr>
        <w:tc>
          <w:tcPr>
            <w:tcW w:w="38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Units, each consisting of one Class A common</w:t>
            </w:r>
          </w:p>
        </w:tc>
        <w:tc>
          <w:tcPr>
            <w:tcW w:w="1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CMLFU</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9"/>
              </w:rPr>
              <w:t>stock and one-third of one 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370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rPr>
              <w:t>CMLF</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Redeemable warrants, each whole warrant</w:t>
            </w:r>
          </w:p>
        </w:tc>
        <w:tc>
          <w:tcPr>
            <w:tcW w:w="3700" w:type="dxa"/>
            <w:vAlign w:val="bottom"/>
            <w:gridSpan w:val="2"/>
            <w:shd w:val="clear" w:color="auto" w:fill="CCEEFF"/>
          </w:tcPr>
          <w:p>
            <w:pPr>
              <w:jc w:val="center"/>
              <w:ind w:right="80"/>
              <w:spacing w:after="0" w:line="198" w:lineRule="exact"/>
              <w:rPr>
                <w:sz w:val="20"/>
                <w:szCs w:val="20"/>
                <w:color w:val="auto"/>
              </w:rPr>
            </w:pPr>
            <w:r>
              <w:rPr>
                <w:rFonts w:ascii="Arial" w:cs="Arial" w:eastAsia="Arial" w:hAnsi="Arial"/>
                <w:sz w:val="18"/>
                <w:szCs w:val="18"/>
                <w:b w:val="1"/>
                <w:bCs w:val="1"/>
                <w:color w:val="auto"/>
              </w:rPr>
              <w:t>CMLFW</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exercisable for one share of Class A common</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7"/>
              </w:rPr>
              <w:t>stock at an exercise price of $11.50</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Related Audit Report or Completed Interim Report.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Securities and Exchange Commission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as well as provisions that provided for potential changes to the settlement amounts dependent upon the characteristics of the holder of the warrant, which terms are similar to those contained in the warrant agreement, dated as of September 1, 2020, by and between CM Life Sciences, Inc., a Delaware corporation (the “Company” or “CMLF”), and Continental Stock Transfer &amp; Trust Company, a New York limited purpose trust company, as warrant agent. As a result of the SEC Statement, the Company reevaluated the accounting treatment of (i) the 14,758,333 redeemable warrants (the “Public Warrants”) that were included in the units issued by the Company in its initial public offering (the “IPO”) and (ii) the 7,236,667 warrants that were issued to the Company’s initial stockholders in a private placement that closed concurrently with the closing of the IPO (together with the Public Warrants, the “Warrants”), and determined to classify the Warrants as derivative liabilities on the balance sheet and measured at fair value at inception and at each reporting date, with changes in fair value recognized in the statement of operations in the period of change. The Company previously accounted for the Warrants as components of equity.</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3, 2021, after consultation with WithumSmith+Brown, PC, the Company’s independent registered public accounting firm (the “Independent Accountants”), the Company’s management, in consultation with its audit committee (the “Audit Committee”), concluded that it is appropriate to restate the Company’s previously issued audited financial statements as of December 31, 2020, including the audited balance sheet as of July 10, 2020, and for the period from July 10, 2020 (inception) through December 31, 2020 (the “Relevant Period”), which were included in the Company’s Annual Report on Form 10-K, originally filed with the SEC on March 30, 2021. Considering such restatement, the Company concluded that such audited financial statements should no longer be relied upon. The Company will file an amendment to its Annual Report on Form 10-K as of December 31, 2020 and for the period from July 10, 2020 (inception) through December 31, 2020, which will include the restated audited financial statements from the Relevant Periods. The restatement primarily related to consideration of the factors in determining whether to classify contracts that may be settled in an entity’s own stock as equity of the entity or as an asset or liability.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Going forward, unless we amend the terms of our warrant agreement, we expect to continue to classify our warrants as liabilities, which would require us to incur the cost of measuring the fair value of the warrant liabilities, and which may have an adverse effect on our results of operations.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and the Audit Committee have discussed the matters disclosed in this Current Report on Form 8-K pursuant to this Item 4.02 with the Independent Accountants.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About the Business Combination and Where to Find It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proposed transaction involving Mount Sinai Genomics, Inc. d/b/a Sema4 (“Sema4”) and CMLF (such transaction, the “Business Combination”), Sema4, intends to file with the SEC a proxy statement required to be prepared in connection with the proposed transaction (the “Proxy) and certain other related documents, which will include both the Proxy to be distributed to holders of common stock of CMLF Class A common stock in connection with CMLF’s solicitation of proxies for the vote by CMLF’s stockholders with respect to the Business Combination and other matters as may be described in the Proxy. CMLF’s stockholders and other interested persons are advised to read, when available, the preliminary proxy statement and the amendments thereto and the definitive proxy statement, as these materials will contain important information about Sema4, CMLF and the Business Combination. After the Proxy is declared effective, the definitive proxy statement will be mailed to stockholders of CMLF as of a record date to be established for voting on the Business Combination and other matters as may be described in the Proxy. Stockholders of CMLF will also be able to obtain copies of the Proxy and other documents filed with the SEC that may be incorporated by reference therein, without charge, once available, at the SEC’s web site at www.sec.gov, or by directing a request to: CM Life Science, Inc., c/o Corvex Management LP, 667 Madison Avenue, New York, New York , Attention: Eli Casdin, (212) 474-6745.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Sema4 and their respective directors and executive officers may be deemed to be participants in the solicitation of proxies from the Company’s shareholders in connection with the proposed transaction. Information about the Company’s directors and executive officers and their ownership of the Company’s securities is set forth in the Company’s filings with the SEC. To the extent that holdings of the Company’s securities have changed since the amounts printed in the Company’s Registration Statement on Form S-1, such changes have been or will be reflected on Statements of Change in Ownership on Form 4 filed with the SEC.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Current Report on Form 8-K contains certain “forward-looking statements” within the meaning of the federal securities laws with respect to the proposed transaction between Sema4 and the Company, including statements regarding the anticipated benefits of the transaction, the anticipated timing of the transaction,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the Company’s securities, (ii) the risk that the transaction may not be completed by the Company’s business combination deadline and the potential failure to obtain an extension of the business combination deadline if sought by the Company, (iii) the failure to satisfy the conditions to the consummation of the transaction, including the adoption of the merger agreement by the shareholders of the Company, the satisfaction of the minimum trust account amount following redemptions by the Company’s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the Company related to the merger agreement or the transaction, (x) the ability to maintain the listing of the Company’s securities on a national securities exchange, (xi) the price of the Company’s securities may be volatile due to a variety of factors, including changes in the competitive and highly regulated industries in which the Company plans to operate or Sema4 operates, variations in operating performance across competitors, changes in laws and regulations affecting the Company’s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the Company’s registration on Form S-1 (File No. 333-246251), the proxy statement discussed above and other documents filed by the Company from time to time with the U.S. Securities and Exchange Commission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the Company assume no obligation and do not intend to update or revise these forward-looking statements, whether as a result of new information, future events, or otherwise. Neither Sema4 nor the Company gives any assurance that either Sema4 or the Company or the combined company will achieve its expectations.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Offer or Solicitation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Current Report on Form 8-K shall not constitute a solicitation of a proxy, consent or authorization with respect to any securities or in respect of the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12"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2021-05-05T05:19:40Z</dcterms:created>
  <dcterms:modified xsi:type="dcterms:W3CDTF">2021-05-05T05:19:40Z</dcterms:modified>
</cp:coreProperties>
</file>