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OPKO HEALTH,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4400 BISCAYNE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GeneDx Holdings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08/15/2024</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33137</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08/15/2024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27"/>
              <w:spacing w:after="0"/>
              <w:rPr>
                <w:sz w:val="20"/>
                <w:szCs w:val="20"/>
                <w:color w:val="auto"/>
              </w:rPr>
            </w:pPr>
            <w:r>
              <w:rPr>
                <w:rFonts w:ascii="Times New Roman" w:cs="Times New Roman" w:eastAsia="Times New Roman" w:hAnsi="Times New Roman"/>
                <w:sz w:val="17"/>
                <w:szCs w:val="17"/>
                <w:color w:val="0000FF"/>
              </w:rPr>
              <w:t>39,824</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33.0832</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2,746,972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08/16/2024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27"/>
              <w:spacing w:after="0"/>
              <w:rPr>
                <w:sz w:val="20"/>
                <w:szCs w:val="20"/>
                <w:color w:val="auto"/>
              </w:rPr>
            </w:pPr>
            <w:r>
              <w:rPr>
                <w:rFonts w:ascii="Times New Roman" w:cs="Times New Roman" w:eastAsia="Times New Roman" w:hAnsi="Times New Roman"/>
                <w:sz w:val="17"/>
                <w:szCs w:val="17"/>
                <w:color w:val="0000FF"/>
              </w:rPr>
              <w:t>50,000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34.297</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2,696,972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08/19/2024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27"/>
              <w:spacing w:after="0"/>
              <w:rPr>
                <w:sz w:val="20"/>
                <w:szCs w:val="20"/>
                <w:color w:val="auto"/>
              </w:rPr>
            </w:pPr>
            <w:r>
              <w:rPr>
                <w:rFonts w:ascii="Times New Roman" w:cs="Times New Roman" w:eastAsia="Times New Roman" w:hAnsi="Times New Roman"/>
                <w:sz w:val="17"/>
                <w:szCs w:val="17"/>
                <w:color w:val="0000FF"/>
              </w:rPr>
              <w:t>50,000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34.4904</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2,646,972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$33.00 to $34.26, inclusive. The reporting person undertakes to provide to GeneDx Holding Corp. (the "Company"), any security holder of the Company or the staff of the Securities and Exchange Commission, upon request, full information regarding the number of shares purchased at each separate price within the range set forth in footnote (1) to this Form 4.</w:t>
      </w:r>
    </w:p>
    <w:p>
      <w:pPr>
        <w:spacing w:after="0" w:line="20"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$33.84 to $34.86, inclusive. The reporting person undertakes to provide to the Company, any security holder of the Company or the staff of the Securities and Exchange Commission, upon request, full information regarding the number of shares purchased at each separate price within the range set forth in footnote (2) to this Form 4.</w:t>
      </w:r>
    </w:p>
    <w:p>
      <w:pPr>
        <w:spacing w:after="0" w:line="20"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$34.00 to $35.53, inclusive. The reporting person undertakes to provide to the Company, any security holder of the Company or the staff of the Securities and Exchange Commission, upon request, full information regarding the number of shares purchased at each separate price within the range set forth in footnote (3)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Steven D. Rubin, Exec. VP -</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08/19/2024</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Administration</w:t>
            </w:r>
          </w:p>
        </w:tc>
        <w:tc>
          <w:tcPr>
            <w:tcW w:w="9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9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094480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2024-08-19T16:45:14Z</dcterms:created>
  <dcterms:modified xsi:type="dcterms:W3CDTF">2024-08-19T16:45:14Z</dcterms:modified>
</cp:coreProperties>
</file>