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219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RUCH JOSHUA</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00" w:type="dxa"/>
            <w:vAlign w:val="bottom"/>
            <w:gridSpan w:val="3"/>
            <w:vMerge w:val="restart"/>
          </w:tcPr>
          <w:p>
            <w:pPr>
              <w:ind w:left="26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500" w:type="dxa"/>
            <w:vAlign w:val="bottom"/>
            <w:gridSpan w:val="3"/>
            <w:vMerge w:val="continue"/>
          </w:tcPr>
          <w:p>
            <w:pPr>
              <w:spacing w:after="0"/>
              <w:rPr>
                <w:sz w:val="3"/>
                <w:szCs w:val="3"/>
                <w:color w:val="auto"/>
              </w:rPr>
            </w:pPr>
          </w:p>
        </w:tc>
        <w:tc>
          <w:tcPr>
            <w:tcW w:w="15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5"/>
                <w:szCs w:val="15"/>
                <w:color w:val="auto"/>
              </w:rPr>
            </w:pPr>
          </w:p>
        </w:tc>
        <w:tc>
          <w:tcPr>
            <w:tcW w:w="8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GENEDX HOLDINGS CORP.</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01/27/2023</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ind w:left="260"/>
              <w:spacing w:after="0" w:line="146"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5"/>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01/27/2023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327,474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0.35</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489,846</w:t>
            </w:r>
          </w:p>
        </w:tc>
        <w:tc>
          <w:tcPr>
            <w:tcW w:w="300" w:type="dxa"/>
            <w:vAlign w:val="bottom"/>
          </w:tcPr>
          <w:p>
            <w:pPr>
              <w:spacing w:after="0"/>
              <w:rPr>
                <w:sz w:val="21"/>
                <w:szCs w:val="21"/>
                <w:color w:val="auto"/>
              </w:rPr>
            </w:pPr>
          </w:p>
        </w:tc>
        <w:tc>
          <w:tcPr>
            <w:tcW w:w="5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Kariba</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4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5"/>
          </w:tcPr>
          <w:p>
            <w:pPr>
              <w:jc w:val="right"/>
              <w:ind w:right="155"/>
              <w:spacing w:after="0"/>
              <w:rPr>
                <w:sz w:val="20"/>
                <w:szCs w:val="20"/>
                <w:color w:val="auto"/>
              </w:rPr>
            </w:pPr>
            <w:r>
              <w:rPr>
                <w:rFonts w:ascii="Times New Roman" w:cs="Times New Roman" w:eastAsia="Times New Roman" w:hAnsi="Times New Roman"/>
                <w:sz w:val="17"/>
                <w:szCs w:val="17"/>
                <w:color w:val="0000FF"/>
              </w:rPr>
              <w:t>01/27/2023</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664,869</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0.35</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994,534</w:t>
            </w:r>
          </w:p>
        </w:tc>
        <w:tc>
          <w:tcPr>
            <w:tcW w:w="300" w:type="dxa"/>
            <w:vAlign w:val="bottom"/>
          </w:tcPr>
          <w:p>
            <w:pPr>
              <w:spacing w:after="0"/>
              <w:rPr>
                <w:sz w:val="18"/>
                <w:szCs w:val="18"/>
                <w:color w:val="auto"/>
              </w:rPr>
            </w:pPr>
          </w:p>
        </w:tc>
        <w:tc>
          <w:tcPr>
            <w:tcW w:w="56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RUGU2</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VAAL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5"/>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01/27/2023</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3,293,371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0.35</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4,926,334</w:t>
            </w:r>
          </w:p>
        </w:tc>
        <w:tc>
          <w:tcPr>
            <w:tcW w:w="300" w:type="dxa"/>
            <w:vAlign w:val="bottom"/>
          </w:tcPr>
          <w:p>
            <w:pPr>
              <w:spacing w:after="0"/>
              <w:rPr>
                <w:sz w:val="18"/>
                <w:szCs w:val="18"/>
                <w:color w:val="auto"/>
              </w:rPr>
            </w:pPr>
          </w:p>
        </w:tc>
        <w:tc>
          <w:tcPr>
            <w:tcW w:w="5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4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Q9 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6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17,114</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188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Ruch is (i) a managing member of the managing member of the general partner of Vaal Investment Partners Q9 LP ("Q9"), (ii) a managing member of RUGU2 LLC ("RUGU2") and (iii) a managing member of Kariba LLC ("Kariba"). As such, Mr. Ruch exercises voting and investment power with respect to the shares owned by Q9, RUGU2 and Kariba. Mr. Ruch disclaims beneficial ownership of such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02/03/2023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434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2023-02-03T16:36:11Z</dcterms:created>
  <dcterms:modified xsi:type="dcterms:W3CDTF">2023-02-03T16:36:11Z</dcterms:modified>
</cp:coreProperties>
</file>