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18978W208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60" w:right="9440" w:hanging="3"/>
        <w:spacing w:after="0" w:line="563" w:lineRule="auto"/>
        <w:tabs>
          <w:tab w:leader="none" w:pos="76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1"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920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40" w:right="7760" w:hanging="503"/>
        <w:spacing w:after="0" w:line="308" w:lineRule="auto"/>
        <w:tabs>
          <w:tab w:leader="none" w:pos="695"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MAGNETAR FINANCIAL LLC</w:t>
      </w:r>
    </w:p>
    <w:p>
      <w:pPr>
        <w:ind w:left="700"/>
        <w:spacing w:after="0"/>
        <w:rPr>
          <w:rFonts w:ascii="Arial" w:cs="Arial" w:eastAsia="Arial" w:hAnsi="Arial"/>
          <w:sz w:val="16"/>
          <w:szCs w:val="16"/>
          <w:b w:val="1"/>
          <w:bCs w:val="1"/>
          <w:color w:val="auto"/>
        </w:rPr>
      </w:pPr>
      <w:r>
        <w:rPr>
          <w:rFonts w:ascii="Arial" w:cs="Arial" w:eastAsia="Arial" w:hAnsi="Arial"/>
          <w:sz w:val="18"/>
          <w:szCs w:val="18"/>
          <w:color w:val="auto"/>
        </w:rPr>
        <w:t>CHECK THE APPROPRIATE BOX IF A MEMBER OF A GROUP (SEE INSTRUCTIONS)</w:t>
      </w:r>
    </w:p>
    <w:p>
      <w:pPr>
        <w:spacing w:after="0" w:line="70" w:lineRule="exact"/>
        <w:rPr>
          <w:sz w:val="20"/>
          <w:szCs w:val="20"/>
          <w:color w:val="auto"/>
        </w:rPr>
      </w:pPr>
    </w:p>
    <w:p>
      <w:pPr>
        <w:ind w:left="700" w:hanging="463"/>
        <w:spacing w:after="0" w:line="414" w:lineRule="exact"/>
        <w:tabs>
          <w:tab w:leader="none" w:pos="700" w:val="left"/>
        </w:tabs>
        <w:numPr>
          <w:ilvl w:val="0"/>
          <w:numId w:val="3"/>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040" w:hanging="344"/>
        <w:spacing w:after="0" w:line="207" w:lineRule="exact"/>
        <w:tabs>
          <w:tab w:leader="none" w:pos="10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 USE ONLY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Pr>
          <w:p>
            <w:pPr>
              <w:jc w:val="right"/>
              <w:ind w:right="93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w w:val="97"/>
              </w:rPr>
              <w:t>Delaware</w:t>
            </w:r>
          </w:p>
        </w:tc>
        <w:tc>
          <w:tcPr>
            <w:tcW w:w="420" w:type="dxa"/>
            <w:vAlign w:val="bottom"/>
            <w:tcBorders>
              <w:bottom w:val="single" w:sz="8" w:color="auto"/>
            </w:tcBorders>
          </w:tcPr>
          <w:p>
            <w:pPr>
              <w:spacing w:after="0"/>
              <w:rPr>
                <w:sz w:val="20"/>
                <w:szCs w:val="20"/>
                <w:color w:val="auto"/>
              </w:rPr>
            </w:pPr>
          </w:p>
        </w:tc>
        <w:tc>
          <w:tcPr>
            <w:tcW w:w="9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93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3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right w:val="single" w:sz="8" w:color="auto"/>
            </w:tcBorders>
            <w:vMerge w:val="continue"/>
          </w:tcPr>
          <w:p>
            <w:pPr>
              <w:spacing w:after="0"/>
              <w:rPr>
                <w:sz w:val="10"/>
                <w:szCs w:val="10"/>
                <w:color w:val="auto"/>
              </w:rPr>
            </w:pPr>
          </w:p>
        </w:tc>
        <w:tc>
          <w:tcPr>
            <w:tcW w:w="9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93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93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936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r>
        <w:trPr>
          <w:trHeight w:val="229"/>
        </w:trPr>
        <w:tc>
          <w:tcPr>
            <w:tcW w:w="13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91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2,898,231</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w:t>
      </w:r>
    </w:p>
    <w:p>
      <w:pPr>
        <w:spacing w:after="0" w:line="23"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740" w:hanging="542"/>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6.55%</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920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560" w:hanging="463"/>
        <w:spacing w:after="0" w:line="290" w:lineRule="auto"/>
        <w:tabs>
          <w:tab w:leader="none" w:pos="7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NAMES OF REPORTING PERSONS MAGNETAR CAPITAL PARTNERS LP</w:t>
      </w:r>
    </w:p>
    <w:p>
      <w:pPr>
        <w:ind w:left="700"/>
        <w:spacing w:after="0"/>
        <w:rPr>
          <w:rFonts w:ascii="Arial" w:cs="Arial" w:eastAsia="Arial" w:hAnsi="Arial"/>
          <w:sz w:val="17"/>
          <w:szCs w:val="17"/>
          <w:b w:val="1"/>
          <w:bCs w:val="1"/>
          <w:color w:val="auto"/>
        </w:rPr>
      </w:pPr>
      <w:r>
        <w:rPr>
          <w:rFonts w:ascii="Arial" w:cs="Arial" w:eastAsia="Arial" w:hAnsi="Arial"/>
          <w:sz w:val="18"/>
          <w:szCs w:val="18"/>
          <w:color w:val="auto"/>
        </w:rPr>
        <w:t>CHECK THE APPROPRIATE BOX IF A MEMBER OF A GROUP (SEE INSTRUCTIONS)</w:t>
      </w:r>
    </w:p>
    <w:p>
      <w:pPr>
        <w:spacing w:after="0" w:line="70" w:lineRule="exact"/>
        <w:rPr>
          <w:sz w:val="20"/>
          <w:szCs w:val="20"/>
          <w:color w:val="auto"/>
        </w:rPr>
      </w:pPr>
    </w:p>
    <w:p>
      <w:pPr>
        <w:ind w:left="700" w:hanging="463"/>
        <w:spacing w:after="0" w:line="414" w:lineRule="exact"/>
        <w:tabs>
          <w:tab w:leader="none" w:pos="700" w:val="left"/>
        </w:tabs>
        <w:numPr>
          <w:ilvl w:val="0"/>
          <w:numId w:val="6"/>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040" w:hanging="344"/>
        <w:spacing w:after="0" w:line="207" w:lineRule="exact"/>
        <w:tabs>
          <w:tab w:leader="none" w:pos="10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 USE ONLY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Pr>
          <w:p>
            <w:pPr>
              <w:jc w:val="right"/>
              <w:ind w:right="93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w w:val="97"/>
              </w:rPr>
              <w:t>Delaware</w:t>
            </w:r>
          </w:p>
        </w:tc>
        <w:tc>
          <w:tcPr>
            <w:tcW w:w="420" w:type="dxa"/>
            <w:vAlign w:val="bottom"/>
            <w:tcBorders>
              <w:bottom w:val="single" w:sz="8" w:color="auto"/>
            </w:tcBorders>
          </w:tcPr>
          <w:p>
            <w:pPr>
              <w:spacing w:after="0"/>
              <w:rPr>
                <w:sz w:val="20"/>
                <w:szCs w:val="20"/>
                <w:color w:val="auto"/>
              </w:rPr>
            </w:pPr>
          </w:p>
        </w:tc>
        <w:tc>
          <w:tcPr>
            <w:tcW w:w="9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93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3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right w:val="single" w:sz="8" w:color="auto"/>
            </w:tcBorders>
            <w:vMerge w:val="continue"/>
          </w:tcPr>
          <w:p>
            <w:pPr>
              <w:spacing w:after="0"/>
              <w:rPr>
                <w:sz w:val="10"/>
                <w:szCs w:val="10"/>
                <w:color w:val="auto"/>
              </w:rPr>
            </w:pPr>
          </w:p>
        </w:tc>
        <w:tc>
          <w:tcPr>
            <w:tcW w:w="9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93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93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120" w:type="dxa"/>
            <w:vAlign w:val="bottom"/>
          </w:tcPr>
          <w:p>
            <w:pPr>
              <w:spacing w:after="0"/>
              <w:rPr>
                <w:sz w:val="19"/>
                <w:szCs w:val="19"/>
                <w:color w:val="auto"/>
              </w:rPr>
            </w:pPr>
          </w:p>
        </w:tc>
        <w:tc>
          <w:tcPr>
            <w:tcW w:w="4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936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right w:val="single" w:sz="8" w:color="auto"/>
            </w:tcBorders>
            <w:vMerge w:val="continue"/>
          </w:tcPr>
          <w:p>
            <w:pPr>
              <w:spacing w:after="0"/>
              <w:rPr>
                <w:sz w:val="20"/>
                <w:szCs w:val="20"/>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r>
        <w:trPr>
          <w:trHeight w:val="229"/>
        </w:trPr>
        <w:tc>
          <w:tcPr>
            <w:tcW w:w="13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91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2,898,231</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w:t>
      </w:r>
    </w:p>
    <w:p>
      <w:pPr>
        <w:spacing w:after="0" w:line="23"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740" w:hanging="542"/>
        <w:spacing w:after="0"/>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6.55%</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HC,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920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740" w:right="7720" w:hanging="503"/>
        <w:spacing w:after="0" w:line="290" w:lineRule="auto"/>
        <w:tabs>
          <w:tab w:leader="none" w:pos="695"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NAMES OF REPORTING PERSONS SUPERNOVA MANAGEMENT LLC</w:t>
      </w:r>
    </w:p>
    <w:p>
      <w:pPr>
        <w:ind w:left="700"/>
        <w:spacing w:after="0"/>
        <w:rPr>
          <w:rFonts w:ascii="Arial" w:cs="Arial" w:eastAsia="Arial" w:hAnsi="Arial"/>
          <w:sz w:val="17"/>
          <w:szCs w:val="17"/>
          <w:b w:val="1"/>
          <w:bCs w:val="1"/>
          <w:color w:val="auto"/>
        </w:rPr>
      </w:pPr>
      <w:r>
        <w:rPr>
          <w:rFonts w:ascii="Arial" w:cs="Arial" w:eastAsia="Arial" w:hAnsi="Arial"/>
          <w:sz w:val="18"/>
          <w:szCs w:val="18"/>
          <w:color w:val="auto"/>
        </w:rPr>
        <w:t>CHECK THE APPROPRIATE BOX IF A MEMBER OF A GROUP (SEE INSTRUCTIONS)</w:t>
      </w:r>
    </w:p>
    <w:p>
      <w:pPr>
        <w:spacing w:after="0" w:line="70" w:lineRule="exact"/>
        <w:rPr>
          <w:sz w:val="20"/>
          <w:szCs w:val="20"/>
          <w:color w:val="auto"/>
        </w:rPr>
      </w:pPr>
    </w:p>
    <w:p>
      <w:pPr>
        <w:ind w:left="700" w:hanging="463"/>
        <w:spacing w:after="0" w:line="414" w:lineRule="exact"/>
        <w:tabs>
          <w:tab w:leader="none" w:pos="700" w:val="left"/>
        </w:tabs>
        <w:numPr>
          <w:ilvl w:val="0"/>
          <w:numId w:val="9"/>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040" w:hanging="344"/>
        <w:spacing w:after="0" w:line="207" w:lineRule="exact"/>
        <w:tabs>
          <w:tab w:leader="none" w:pos="104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 USE ONLY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Borders>
              <w:top w:val="single" w:sz="8" w:color="auto"/>
              <w:right w:val="single" w:sz="8" w:color="auto"/>
            </w:tcBorders>
          </w:tcPr>
          <w:p>
            <w:pPr>
              <w:spacing w:after="0"/>
              <w:rPr>
                <w:sz w:val="19"/>
                <w:szCs w:val="19"/>
                <w:color w:val="auto"/>
              </w:rPr>
            </w:pPr>
          </w:p>
        </w:tc>
        <w:tc>
          <w:tcPr>
            <w:tcW w:w="54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93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93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20"/>
                <w:szCs w:val="20"/>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936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3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r>
        <w:trPr>
          <w:trHeight w:val="229"/>
        </w:trPr>
        <w:tc>
          <w:tcPr>
            <w:tcW w:w="13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1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2,898,231</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w:t>
      </w:r>
    </w:p>
    <w:p>
      <w:pPr>
        <w:spacing w:after="0" w:line="23"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740" w:hanging="542"/>
        <w:spacing w:after="0"/>
        <w:tabs>
          <w:tab w:leader="none" w:pos="7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6.55%</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18978W208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86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4864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40" w:right="7760" w:hanging="503"/>
        <w:spacing w:after="0" w:line="273" w:lineRule="auto"/>
        <w:tabs>
          <w:tab w:leader="none" w:pos="70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 ALEC N. LITOWITZ</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70" w:lineRule="exact"/>
        <w:rPr>
          <w:sz w:val="20"/>
          <w:szCs w:val="20"/>
          <w:color w:val="auto"/>
        </w:rPr>
      </w:pPr>
    </w:p>
    <w:p>
      <w:pPr>
        <w:ind w:left="700" w:hanging="463"/>
        <w:spacing w:after="0" w:line="414" w:lineRule="exact"/>
        <w:tabs>
          <w:tab w:leader="none" w:pos="700" w:val="left"/>
        </w:tabs>
        <w:numPr>
          <w:ilvl w:val="0"/>
          <w:numId w:val="12"/>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040" w:hanging="344"/>
        <w:spacing w:after="0" w:line="207" w:lineRule="exact"/>
        <w:tabs>
          <w:tab w:leader="none" w:pos="104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 USE ONLY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United States of America</w:t>
      </w:r>
    </w:p>
    <w:p>
      <w:pPr>
        <w:spacing w:after="0" w:line="3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44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5"/>
        </w:trPr>
        <w:tc>
          <w:tcPr>
            <w:tcW w:w="1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4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80" w:type="dxa"/>
            <w:vAlign w:val="bottom"/>
            <w:vMerge w:val="continue"/>
          </w:tcPr>
          <w:p>
            <w:pPr>
              <w:spacing w:after="0"/>
              <w:rPr>
                <w:sz w:val="20"/>
                <w:szCs w:val="20"/>
                <w:color w:val="auto"/>
              </w:rPr>
            </w:pPr>
          </w:p>
        </w:tc>
        <w:tc>
          <w:tcPr>
            <w:tcW w:w="9440" w:type="dxa"/>
            <w:vAlign w:val="bottom"/>
          </w:tcPr>
          <w:p>
            <w:pPr>
              <w:ind w:left="20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440" w:type="dxa"/>
            <w:vAlign w:val="bottom"/>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20"/>
                <w:szCs w:val="20"/>
                <w:color w:val="auto"/>
              </w:rPr>
            </w:pPr>
          </w:p>
        </w:tc>
        <w:tc>
          <w:tcPr>
            <w:tcW w:w="944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44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2,898,231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2,898,231</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w:t>
      </w:r>
    </w:p>
    <w:p>
      <w:pPr>
        <w:spacing w:after="0" w:line="23"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740" w:hanging="542"/>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6.55%</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SCHEDULE 13G</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10065</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on behalf of each of the following person (collectively, the “Reporting Persons”):</w:t>
      </w:r>
    </w:p>
    <w:p>
      <w:pPr>
        <w:spacing w:after="0" w:line="225" w:lineRule="exact"/>
        <w:rPr>
          <w:sz w:val="20"/>
          <w:szCs w:val="20"/>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Magnetar Financial LLC (“Magnetar Financial”);</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Magnetar Capital Partners LP (Magnetar Capital Partners”);</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Supernova Management LLC (“Supernova Management”); and</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Alec N. Litowitz (“Mr. Litowitz”).</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statement relates to the Units (as defined herein) held for Magnetar Constellation Master Fund, Ltd (“Constellation Master Fund”), Magnetar Constellation Fund II, Ltd (“Constellation Fund”); Magnetar Xing He Master Fund Ltd (“Xing He Master Fund”), Magnetar SC Fund Ltd (“SC Fund”), Magnetar Capital Master Fund Ltd, (“Master Fund”), Magnetar Systematic Multi-Strategy Master Fund Ltd (“Systematic Master Fund”), Purpose Alternative Credit Fund Ltd (“Purpose Fund”), all Cayman Islands exempted companies; Magnetar Structured Credit Fund, LP, (“Structured Credit Fund”) and Magnetar Constellation Fund II-PRA LP (“PRA LP”), Delaware limited partnerships; Magnetar Lake Credit Fund LLC (“Lake Credit Fund) and Purpose Alternative Credit Fund – T LLC (“Purpose Fund – T”), Delaware limited liability companies; and a Managed Account; collectively (the “Magnetar Funds and Managed Account”). Magnetar Financial serves as the investment adviser to the Magnetar Funds and Managed Account, and as such, Magnetar Financial exercises voting and investment power over the Units held for the Magnetar Funds and Managed Account’s accounts. Magnetar Capital Partners serves as the sole member and parent holding company of Magnetar Financial. Supernova Management is the general partner of Magnetar Capital Partners. The manager of Supernova Management is Mr. Litowitz.</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address of the principal business office of each of Magnetar Financial, Magnetar Capital Partners, Supernova Management, and Mr.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Litowitz is 1603 Orrington Avenue,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Evanston, Illinois 60201.</w:t>
      </w:r>
    </w:p>
    <w:p>
      <w:pPr>
        <w:spacing w:after="0" w:line="1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Place of Organization.</w:t>
      </w:r>
    </w:p>
    <w:p>
      <w:pPr>
        <w:spacing w:after="0" w:line="256" w:lineRule="exact"/>
        <w:rPr>
          <w:sz w:val="20"/>
          <w:szCs w:val="20"/>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Magnetar Financial is a Delaware limited liability company;</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Magnetar Capital Partners is a Delaware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Supernova Management is a Delaware limited liability company; and</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Litowitz is a citizen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222" w:lineRule="exact"/>
        <w:rPr>
          <w:sz w:val="20"/>
          <w:szCs w:val="20"/>
          <w:color w:val="auto"/>
        </w:rPr>
      </w:pPr>
    </w:p>
    <w:p>
      <w:pPr>
        <w:sectPr>
          <w:pgSz w:w="11900" w:h="16838" w:orient="portrait"/>
          <w:cols w:equalWidth="0" w:num="2">
            <w:col w:w="720" w:space="580"/>
            <w:col w:w="9940"/>
          </w:cols>
          <w:pgMar w:left="320" w:top="904" w:right="339" w:bottom="1440" w:gutter="0" w:footer="0" w:header="0"/>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Units</w:t>
      </w:r>
    </w:p>
    <w:p>
      <w:pPr>
        <w:sectPr>
          <w:pgSz w:w="11900" w:h="16838" w:orient="portrait"/>
          <w:cols w:equalWidth="0" w:num="1">
            <w:col w:w="11240"/>
          </w:cols>
          <w:pgMar w:left="320" w:top="904"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700" w:space="600"/>
            <w:col w:w="9940"/>
          </w:cols>
          <w:pgMar w:left="320" w:top="904"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18978W208</w:t>
      </w:r>
    </w:p>
    <w:p>
      <w:pPr>
        <w:sectPr>
          <w:pgSz w:w="11900" w:h="16838" w:orient="portrait"/>
          <w:cols w:equalWidth="0" w:num="1">
            <w:col w:w="11240"/>
          </w:cols>
          <w:pgMar w:left="320" w:top="904"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Person.</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8"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58" w:lineRule="exact"/>
        <w:rPr>
          <w:sz w:val="20"/>
          <w:szCs w:val="20"/>
          <w:color w:val="auto"/>
        </w:rPr>
      </w:pPr>
    </w:p>
    <w:p>
      <w:pPr>
        <w:ind w:left="1300"/>
        <w:spacing w:after="0" w:line="184" w:lineRule="exact"/>
        <w:rPr>
          <w:sz w:val="20"/>
          <w:szCs w:val="20"/>
          <w:color w:val="auto"/>
        </w:rPr>
      </w:pPr>
      <w:r>
        <w:rPr>
          <w:rFonts w:ascii="Arial" w:cs="Arial" w:eastAsia="Arial" w:hAnsi="Arial"/>
          <w:sz w:val="16"/>
          <w:szCs w:val="16"/>
          <w:color w:val="auto"/>
        </w:rPr>
        <w:t xml:space="preserve">(g) </w:t>
      </w:r>
      <w:r>
        <w:rPr>
          <w:rFonts w:ascii="MS PGothic" w:cs="MS PGothic" w:eastAsia="MS PGothic" w:hAnsi="MS PGothic"/>
          <w:sz w:val="16"/>
          <w:szCs w:val="16"/>
          <w:color w:val="auto"/>
        </w:rPr>
        <w:t>☒</w:t>
      </w:r>
      <w:r>
        <w:rPr>
          <w:rFonts w:ascii="Arial" w:cs="Arial" w:eastAsia="Arial" w:hAnsi="Arial"/>
          <w:sz w:val="16"/>
          <w:szCs w:val="16"/>
          <w:color w:val="auto"/>
        </w:rPr>
        <w:t xml:space="preserve"> A parent holding company or control person in accordance with §240.13d–1(b)(1)(ii)(G)</w:t>
      </w:r>
    </w:p>
    <w:p>
      <w:pPr>
        <w:sectPr>
          <w:pgSz w:w="11900" w:h="16838" w:orient="portrait"/>
          <w:cols w:equalWidth="0" w:num="1">
            <w:col w:w="11240"/>
          </w:cols>
          <w:pgMar w:left="320" w:top="904"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11"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41"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As of December 31, 2020, each of Magnetar Financial, Magnetar Capital Partners, Supernova Management and Mr. Litowitz held 2,898,231 Units. The amount consists of (A) 751,284 Units held for the account of Constellation Master Fund; (B) 215,817 Units held for the account of Constellation Fund; (C) 461,674 Units held for the account of PRA LP; (D) 119,655 Units held for the account of Master Fund; and (E) 266,715 Units held for the account of Xing He Master Fund; (F) 297,255 Units held for the account of Structured Credit Fund; (G) 187,475 Units held for the account of Systematic Master Fund; (H) 201,564 Units held for the account of SC Fund; (I) 156,773 Units held for the account of Lake Credit Fund; (J) 97,728 Units held for the account of Purpose Fund; (K) 48,864 Units held for the account of Purpose Fund – T and (L) 93,427 Units held for the account of a Managed Account. The Units held by the Magnetar Funds and Managed Account represent approximately 6.55% of the total number of Units outstanding (calculated pursuant to Rule 13d-3(d)(1)(i)) of the outstanding Units of the Issuer).</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29" w:lineRule="exact"/>
        <w:rPr>
          <w:sz w:val="20"/>
          <w:szCs w:val="20"/>
          <w:color w:val="auto"/>
        </w:rPr>
      </w:pPr>
    </w:p>
    <w:p>
      <w:pPr>
        <w:ind w:right="20" w:firstLine="1304"/>
        <w:spacing w:after="0" w:line="263" w:lineRule="auto"/>
        <w:tabs>
          <w:tab w:leader="none" w:pos="15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2020, each of Reporting Persons were deemed to be the beneficial owner constituting approximately 6.55% of the total number of Units outstanding (based upon the information provided by the Issuer in its Form 10-Q filed with the SEC on November 16, 2020, there were approximately 44,275,000 Units outstanding as of November 16,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Item4(c)</w:t>
            </w:r>
          </w:p>
        </w:tc>
        <w:tc>
          <w:tcPr>
            <w:tcW w:w="4720" w:type="dxa"/>
            <w:vAlign w:val="bottom"/>
          </w:tcPr>
          <w:p>
            <w:pPr>
              <w:ind w:left="440"/>
              <w:spacing w:after="0"/>
              <w:rPr>
                <w:sz w:val="20"/>
                <w:szCs w:val="20"/>
                <w:color w:val="auto"/>
              </w:rPr>
            </w:pPr>
            <w:r>
              <w:rPr>
                <w:rFonts w:ascii="Arial" w:cs="Arial" w:eastAsia="Arial" w:hAnsi="Arial"/>
                <w:sz w:val="18"/>
                <w:szCs w:val="18"/>
                <w:b w:val="1"/>
                <w:bCs w:val="1"/>
                <w:color w:val="auto"/>
              </w:rPr>
              <w:t>Number of Shares of which such person has:</w:t>
            </w:r>
          </w:p>
        </w:tc>
        <w:tc>
          <w:tcPr>
            <w:tcW w:w="104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91"/>
        </w:trPr>
        <w:tc>
          <w:tcPr>
            <w:tcW w:w="11240" w:type="dxa"/>
            <w:vAlign w:val="bottom"/>
            <w:gridSpan w:val="4"/>
          </w:tcPr>
          <w:p>
            <w:pPr>
              <w:spacing w:after="0"/>
              <w:rPr>
                <w:sz w:val="20"/>
                <w:szCs w:val="20"/>
                <w:color w:val="auto"/>
              </w:rPr>
            </w:pPr>
            <w:r>
              <w:rPr>
                <w:rFonts w:ascii="Arial" w:cs="Arial" w:eastAsia="Arial" w:hAnsi="Arial"/>
                <w:sz w:val="18"/>
                <w:szCs w:val="18"/>
                <w:color w:val="auto"/>
              </w:rPr>
              <w:t>Magnetar Financial, Magnetar Capital Partners, Supernova Management, and Mr. Litowitz:</w:t>
            </w:r>
          </w:p>
        </w:tc>
      </w:tr>
      <w:tr>
        <w:trPr>
          <w:trHeight w:val="438"/>
        </w:trPr>
        <w:tc>
          <w:tcPr>
            <w:tcW w:w="8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(i)</w:t>
            </w:r>
          </w:p>
        </w:tc>
        <w:tc>
          <w:tcPr>
            <w:tcW w:w="4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10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24"/>
                <w:szCs w:val="24"/>
                <w:color w:val="auto"/>
              </w:rPr>
            </w:pP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(ii)</w:t>
            </w:r>
          </w:p>
        </w:tc>
        <w:tc>
          <w:tcPr>
            <w:tcW w:w="472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 :</w:t>
            </w:r>
          </w:p>
        </w:tc>
        <w:tc>
          <w:tcPr>
            <w:tcW w:w="5700" w:type="dxa"/>
            <w:vAlign w:val="bottom"/>
            <w:gridSpan w:val="2"/>
          </w:tcPr>
          <w:p>
            <w:pPr>
              <w:ind w:left="620"/>
              <w:spacing w:after="0"/>
              <w:rPr>
                <w:sz w:val="20"/>
                <w:szCs w:val="20"/>
                <w:color w:val="auto"/>
              </w:rPr>
            </w:pPr>
            <w:r>
              <w:rPr>
                <w:rFonts w:ascii="Arial" w:cs="Arial" w:eastAsia="Arial" w:hAnsi="Arial"/>
                <w:sz w:val="18"/>
                <w:szCs w:val="18"/>
                <w:color w:val="auto"/>
              </w:rPr>
              <w:t>2,898,231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(iii)</w:t>
            </w:r>
          </w:p>
        </w:tc>
        <w:tc>
          <w:tcPr>
            <w:tcW w:w="4720" w:type="dxa"/>
            <w:vAlign w:val="bottom"/>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1040" w:type="dxa"/>
            <w:vAlign w:val="bottom"/>
          </w:tcPr>
          <w:p>
            <w:pPr>
              <w:ind w:left="62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18"/>
                <w:szCs w:val="18"/>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18"/>
                <w:szCs w:val="18"/>
                <w:color w:val="auto"/>
              </w:rPr>
              <w:t>(iv)</w:t>
            </w:r>
          </w:p>
        </w:tc>
        <w:tc>
          <w:tcPr>
            <w:tcW w:w="472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5700" w:type="dxa"/>
            <w:vAlign w:val="bottom"/>
            <w:gridSpan w:val="2"/>
          </w:tcPr>
          <w:p>
            <w:pPr>
              <w:ind w:left="620"/>
              <w:spacing w:after="0"/>
              <w:rPr>
                <w:sz w:val="20"/>
                <w:szCs w:val="20"/>
                <w:color w:val="auto"/>
              </w:rPr>
            </w:pPr>
            <w:r>
              <w:rPr>
                <w:rFonts w:ascii="Arial" w:cs="Arial" w:eastAsia="Arial" w:hAnsi="Arial"/>
                <w:sz w:val="18"/>
                <w:szCs w:val="18"/>
                <w:color w:val="auto"/>
              </w:rPr>
              <w:t>2,898,231</w:t>
            </w:r>
          </w:p>
        </w:tc>
      </w:tr>
      <w:tr>
        <w:trPr>
          <w:trHeight w:val="675"/>
        </w:trPr>
        <w:tc>
          <w:tcPr>
            <w:tcW w:w="8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40" w:firstLine="129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160"/>
          </w:cols>
          <w:pgMar w:left="320" w:top="904" w:right="41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Item 6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This Item 7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Item 8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Item 9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600" w:space="700"/>
            <w:col w:w="9860"/>
          </w:cols>
          <w:pgMar w:left="320" w:top="904" w:right="419" w:bottom="1440" w:gutter="0" w:footer="0" w:header="0"/>
          <w:type w:val="continuous"/>
        </w:sectPr>
      </w:pPr>
    </w:p>
    <w:p>
      <w:pPr>
        <w:spacing w:after="0" w:line="41"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By signing below the Reporting Persons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FINANCIAL LLC</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Magnetar Capital Partners LP, its Sole Member</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6"/>
              </w:rPr>
              <w:t>Manager of Supernova Management LLC, the General Partner of</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Supernova Management LLC, its General Partner</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 of Supernova Management LLC</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SUPERNOVA MANAGEMENT LLC</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Alec N. Litowitz</w:t>
            </w:r>
          </w:p>
        </w:tc>
      </w:tr>
      <w:tr>
        <w:trPr>
          <w:trHeight w:val="224"/>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Alec N. Litowitz</w:t>
            </w:r>
          </w:p>
        </w:tc>
      </w:tr>
      <w:tr>
        <w:trPr>
          <w:trHeight w:val="661"/>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center"/>
        <w:ind w:right="-30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w:t>
      </w:r>
    </w:p>
    <w:p>
      <w:pPr>
        <w:spacing w:after="0" w:line="23" w:lineRule="exact"/>
        <w:rPr>
          <w:sz w:val="20"/>
          <w:szCs w:val="20"/>
          <w:color w:val="auto"/>
        </w:rPr>
      </w:pPr>
    </w:p>
    <w:p>
      <w:pPr>
        <w:ind w:left="1140" w:hanging="109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39"/>
          </w:cols>
          <w:pgMar w:left="1120" w:top="908"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80" w:firstLine="1296"/>
        <w:spacing w:after="0" w:line="311" w:lineRule="auto"/>
        <w:rPr>
          <w:sz w:val="20"/>
          <w:szCs w:val="20"/>
          <w:color w:val="auto"/>
        </w:rPr>
      </w:pPr>
      <w:r>
        <w:rPr>
          <w:rFonts w:ascii="Arial" w:cs="Arial" w:eastAsia="Arial" w:hAnsi="Arial"/>
          <w:sz w:val="16"/>
          <w:szCs w:val="16"/>
          <w:color w:val="auto"/>
        </w:rPr>
        <w:t>The undersigned hereby agree that the statement on Schedule 13G with respect to the Units of CM Life Sciences, Inc. dated as of December 31, 2020 is, and any amendments thereto (including amendments on Schedule 13D) signed by each of the undersigned shall be, filed on behalf of each of us pursuant to and in accordance with the previsions of Rule 13d-1(k) under the Securities Exchange Act of 1934, as amended.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FINANCIAL LLC</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Magnetar Capital Partners LP, its Sole Member</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6"/>
              </w:rPr>
              <w:t>Manager of Supernova Management LLC, the General Partner of</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Supernova Management LLC, its General Partner</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 of Supernova Management LLC</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SUPERNOVA MANAGEMENT LLC</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Alec N. Litowitz</w:t>
            </w:r>
          </w:p>
        </w:tc>
      </w:tr>
      <w:tr>
        <w:trPr>
          <w:trHeight w:val="224"/>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Alec N. Litowitz</w:t>
            </w:r>
          </w:p>
        </w:tc>
      </w:tr>
      <w:tr>
        <w:trPr>
          <w:trHeight w:val="661"/>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lvl w:ilvl="1">
      <w:lvlJc w:val="left"/>
      <w:lvlText w:val="(%2)"/>
      <w:numFmt w:val="lowerLetter"/>
      <w:start w:val="2"/>
    </w:lvl>
  </w:abstractNum>
  <w:abstractNum w:abstractNumId="3">
    <w:nsid w:val="216231B"/>
    <w:multiLevelType w:val="hybridMultilevel"/>
    <w:lvl w:ilvl="0">
      <w:lvlJc w:val="left"/>
      <w:lvlText w:val="%1"/>
      <w:numFmt w:val="decimal"/>
      <w:start w:val="1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lvl w:ilvl="1">
      <w:lvlJc w:val="left"/>
      <w:lvlText w:val="(%2)"/>
      <w:numFmt w:val="lowerLetter"/>
      <w:start w:val="2"/>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lvl w:ilvl="1">
      <w:lvlJc w:val="left"/>
      <w:lvlText w:val="(%2)"/>
      <w:numFmt w:val="lowerLetter"/>
      <w:start w:val="2"/>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2"/>
      <w:numFmt w:val="bullet"/>
      <w:start w:val="1"/>
    </w:lvl>
    <w:lvl w:ilvl="1">
      <w:lvlJc w:val="left"/>
      <w:lvlText w:val="(%2)"/>
      <w:numFmt w:val="lowerLetter"/>
      <w:start w:val="2"/>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2021-02-12T05:34:31Z</dcterms:created>
  <dcterms:modified xsi:type="dcterms:W3CDTF">2021-02-12T05:34:31Z</dcterms:modified>
</cp:coreProperties>
</file>