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23.xml.htm"/>
      <w:bookmarkStart w:id="1" w:name="ksform409032026_0809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40,671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83.839</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40,299</w:t>
            </w:r>
            <w:r>
              <w:rPr>
                <w:rFonts w:ascii="Times;serif" w:hAnsi="Times;serif"/>
                <w:color w:val="008000"/>
                <w:position w:val="7"/>
                <w:sz w:val="16"/>
                <w:sz w:val="20"/>
                <w:shd w:fill="FFFFFF" w:val="clear"/>
              </w:rPr>
              <w:t>(4)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$83.71 to $83.84 per share,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reported sale undertaken to satisfy tax withholding liabilities, in addition to the 40,299 shares of Class A Common Stock beneficially owned by the Reporting Person, the Reporting Person held RSUs representing contingent rights to receive up to an aggregate 81,326 shares of the Issuer's Class A Common Stock and options to purchase up to an aggregate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6.25% of the total award vested or vests quarterly, with the first tranche vested on December 1, 2022, subject to the Reporting Person's continued service to the Issuer on each vesting date.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886</Words>
  <Characters>4684</Characters>
  <CharactersWithSpaces>5478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