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CMLS Holdings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and Keith Meister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420" w:right="20" w:hanging="407"/>
        <w:spacing w:after="0" w:line="277"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7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(1)(2)(3)(4)</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 (5)</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(1)(2)(3)(4)</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 (5)</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4" w:lineRule="exact"/>
        <w:rPr>
          <w:sz w:val="20"/>
          <w:szCs w:val="20"/>
          <w:color w:val="auto"/>
        </w:rPr>
      </w:pPr>
    </w:p>
    <w:p>
      <w:pPr>
        <w:ind w:left="800" w:hanging="563"/>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10160</wp:posOffset>
            </wp:positionV>
            <wp:extent cx="6275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-143510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11" w:lineRule="exact"/>
        <w:rPr>
          <w:sz w:val="20"/>
          <w:szCs w:val="20"/>
          <w:color w:val="auto"/>
        </w:rPr>
      </w:pPr>
    </w:p>
    <w:p>
      <w:pPr>
        <w:ind w:left="800" w:hanging="563"/>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19" w:lineRule="exact"/>
        <w:rPr>
          <w:sz w:val="20"/>
          <w:szCs w:val="20"/>
          <w:color w:val="auto"/>
        </w:rPr>
      </w:pPr>
    </w:p>
    <w:p>
      <w:pPr>
        <w:ind w:left="800" w:hanging="56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6626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6" w:lineRule="exact"/>
        <w:rPr>
          <w:sz w:val="20"/>
          <w:szCs w:val="20"/>
          <w:color w:val="auto"/>
        </w:rPr>
      </w:pPr>
    </w:p>
    <w:p>
      <w:pPr>
        <w:ind w:left="800" w:hanging="563"/>
        <w:spacing w:after="0" w:line="184" w:lineRule="exact"/>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50165</wp:posOffset>
            </wp:positionV>
            <wp:extent cx="6626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15" w:lineRule="exact"/>
        <w:rPr>
          <w:sz w:val="20"/>
          <w:szCs w:val="20"/>
          <w:color w:val="auto"/>
        </w:rPr>
      </w:pPr>
    </w:p>
    <w:p>
      <w:pPr>
        <w:ind w:left="800" w:right="6719" w:hanging="563"/>
        <w:spacing w:after="0" w:line="26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6626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-298450</wp:posOffset>
            </wp:positionV>
            <wp:extent cx="6626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17,730,419 (1)(2)(3)(4)</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7.3% (5)</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0" w:hanging="563"/>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22860</wp:posOffset>
            </wp:positionV>
            <wp:extent cx="6626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8" w:lineRule="exact"/>
        <w:rPr>
          <w:sz w:val="20"/>
          <w:szCs w:val="20"/>
          <w:color w:val="auto"/>
        </w:rPr>
      </w:pPr>
    </w:p>
    <w:p>
      <w:pPr>
        <w:ind w:left="800" w:hanging="56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44450</wp:posOffset>
            </wp:positionV>
            <wp:extent cx="6275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-126365</wp:posOffset>
            </wp:positionV>
            <wp:extent cx="6275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92" w:lineRule="exact"/>
        <w:rPr>
          <w:sz w:val="20"/>
          <w:szCs w:val="20"/>
          <w:color w:val="auto"/>
        </w:rPr>
      </w:pPr>
    </w:p>
    <w:p>
      <w:pPr>
        <w:ind w:left="800" w:hanging="563"/>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6626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73" w:lineRule="exact"/>
        <w:rPr>
          <w:sz w:val="20"/>
          <w:szCs w:val="20"/>
          <w:color w:val="auto"/>
        </w:rPr>
      </w:pPr>
    </w:p>
    <w:p>
      <w:pPr>
        <w:ind w:left="800" w:hanging="563"/>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6626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80" w:lineRule="exact"/>
        <w:rPr>
          <w:sz w:val="20"/>
          <w:szCs w:val="20"/>
          <w:color w:val="auto"/>
        </w:rPr>
      </w:pPr>
    </w:p>
    <w:p>
      <w:pPr>
        <w:ind w:left="800" w:hanging="563"/>
        <w:spacing w:after="0" w:line="184" w:lineRule="exact"/>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67310</wp:posOffset>
            </wp:positionV>
            <wp:extent cx="6626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69" w:lineRule="exact"/>
        <w:rPr>
          <w:sz w:val="20"/>
          <w:szCs w:val="20"/>
          <w:color w:val="auto"/>
        </w:rPr>
      </w:pPr>
    </w:p>
    <w:p>
      <w:pPr>
        <w:ind w:left="800" w:right="6719" w:hanging="563"/>
        <w:spacing w:after="0" w:line="316"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-6350</wp:posOffset>
            </wp:positionV>
            <wp:extent cx="6626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-314960</wp:posOffset>
            </wp:positionV>
            <wp:extent cx="6626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22,730,419 (1)(2)(3)(6)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570039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7879"/>
          </w:cols>
          <w:pgMar w:left="320" w:top="908" w:right="1440" w:bottom="1440" w:gutter="0" w:footer="0" w:header="0"/>
          <w:type w:val="continuous"/>
        </w:sectPr>
      </w:pPr>
    </w:p>
    <w:p>
      <w:pPr>
        <w:ind w:left="2260" w:right="5999" w:hanging="565"/>
        <w:spacing w:after="0" w:line="298" w:lineRule="auto"/>
        <w:tabs>
          <w:tab w:leader="none" w:pos="2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Shared Dispositive Power 22,730,419 (1)(2)(3)(6)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453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22,730,419 (1)(2)(3)(4)(6)</w:t>
      </w:r>
    </w:p>
    <w:p>
      <w:pPr>
        <w:spacing w:after="0" w:line="151" w:lineRule="exact"/>
        <w:rPr>
          <w:rFonts w:ascii="Arial" w:cs="Arial" w:eastAsia="Arial" w:hAnsi="Arial"/>
          <w:sz w:val="18"/>
          <w:szCs w:val="18"/>
          <w:color w:val="auto"/>
        </w:rPr>
      </w:pPr>
    </w:p>
    <w:p>
      <w:pPr>
        <w:ind w:left="800" w:hanging="563"/>
        <w:spacing w:after="0" w:line="184" w:lineRule="exact"/>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(11) Excludes Certain Units (See Instructions) </w:t>
      </w:r>
      <w:r>
        <w:rPr>
          <w:rFonts w:ascii="MS PGothic" w:cs="MS PGothic" w:eastAsia="MS PGothic" w:hAnsi="MS PGothic"/>
          <w:sz w:val="16"/>
          <w:szCs w:val="16"/>
          <w:color w:val="auto"/>
        </w:rPr>
        <w:t>☐</w:t>
      </w:r>
    </w:p>
    <w:p>
      <w:pPr>
        <w:spacing w:after="0" w:line="294" w:lineRule="exact"/>
        <w:rPr>
          <w:rFonts w:ascii="Arial" w:cs="Arial" w:eastAsia="Arial" w:hAnsi="Arial"/>
          <w:sz w:val="16"/>
          <w:szCs w:val="16"/>
          <w:color w:val="auto"/>
        </w:rPr>
      </w:pPr>
    </w:p>
    <w:p>
      <w:pPr>
        <w:ind w:left="800" w:right="54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9.4% (5)</w:t>
      </w:r>
    </w:p>
    <w:p>
      <w:pPr>
        <w:spacing w:after="0" w:line="183" w:lineRule="exact"/>
        <w:rPr>
          <w:rFonts w:ascii="Arial" w:cs="Arial" w:eastAsia="Arial" w:hAnsi="Arial"/>
          <w:sz w:val="18"/>
          <w:szCs w:val="18"/>
          <w:color w:val="auto"/>
        </w:rPr>
      </w:pPr>
    </w:p>
    <w:p>
      <w:pPr>
        <w:ind w:left="800" w:right="6159" w:hanging="563"/>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6626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-439420</wp:posOffset>
            </wp:positionV>
            <wp:extent cx="6626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-859155</wp:posOffset>
            </wp:positionV>
            <wp:extent cx="6626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-1142365</wp:posOffset>
            </wp:positionV>
            <wp:extent cx="6626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00" w:hanging="563"/>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22860</wp:posOffset>
            </wp:positionV>
            <wp:extent cx="6626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58" w:lineRule="exact"/>
        <w:rPr>
          <w:sz w:val="20"/>
          <w:szCs w:val="20"/>
          <w:color w:val="auto"/>
        </w:rPr>
      </w:pPr>
    </w:p>
    <w:p>
      <w:pPr>
        <w:ind w:left="800" w:hanging="563"/>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1360" w:hanging="556"/>
        <w:spacing w:after="0" w:line="207" w:lineRule="exact"/>
        <w:tabs>
          <w:tab w:leader="none" w:pos="13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44450</wp:posOffset>
            </wp:positionV>
            <wp:extent cx="62750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-126365</wp:posOffset>
            </wp:positionV>
            <wp:extent cx="62750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292" w:lineRule="exact"/>
        <w:rPr>
          <w:sz w:val="20"/>
          <w:szCs w:val="20"/>
          <w:color w:val="auto"/>
        </w:rPr>
      </w:pPr>
    </w:p>
    <w:p>
      <w:pPr>
        <w:ind w:left="800" w:hanging="563"/>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6626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73" w:lineRule="exact"/>
        <w:rPr>
          <w:sz w:val="20"/>
          <w:szCs w:val="20"/>
          <w:color w:val="auto"/>
        </w:rPr>
      </w:pPr>
    </w:p>
    <w:p>
      <w:pPr>
        <w:ind w:left="800" w:hanging="563"/>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6626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80" w:lineRule="exact"/>
        <w:rPr>
          <w:sz w:val="20"/>
          <w:szCs w:val="20"/>
          <w:color w:val="auto"/>
        </w:rPr>
      </w:pPr>
    </w:p>
    <w:p>
      <w:pPr>
        <w:ind w:left="800" w:hanging="563"/>
        <w:spacing w:after="0" w:line="184" w:lineRule="exact"/>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Check if disclosure of legal proceedings is required pursuant to Items 2(d) or 2(e):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67310</wp:posOffset>
            </wp:positionV>
            <wp:extent cx="6626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-103505</wp:posOffset>
            </wp:positionV>
            <wp:extent cx="6626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69" w:lineRule="exact"/>
        <w:rPr>
          <w:sz w:val="20"/>
          <w:szCs w:val="20"/>
          <w:color w:val="auto"/>
        </w:rPr>
      </w:pPr>
    </w:p>
    <w:p>
      <w:pPr>
        <w:ind w:left="800" w:right="7820" w:hanging="563"/>
        <w:spacing w:after="0" w:line="316"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-6350</wp:posOffset>
            </wp:positionV>
            <wp:extent cx="6626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-314960</wp:posOffset>
            </wp:positionV>
            <wp:extent cx="6626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12"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Units</w:t>
      </w:r>
      <w:r>
        <w:rPr>
          <w:sz w:val="20"/>
          <w:szCs w:val="20"/>
          <w:color w:val="auto"/>
        </w:rPr>
        <w:tab/>
      </w:r>
      <w:r>
        <w:rPr>
          <w:rFonts w:ascii="Arial" w:cs="Arial" w:eastAsia="Arial" w:hAnsi="Arial"/>
          <w:sz w:val="13"/>
          <w:szCs w:val="13"/>
          <w:color w:val="auto"/>
        </w:rPr>
        <w:t>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color w:val="auto"/>
        </w:rPr>
        <w:t>Each</w:t>
      </w:r>
      <w:r>
        <w:rPr>
          <w:sz w:val="20"/>
          <w:szCs w:val="20"/>
          <w:color w:val="auto"/>
        </w:rPr>
        <w:tab/>
      </w:r>
      <w:r>
        <w:rPr>
          <w:rFonts w:ascii="Arial" w:cs="Arial" w:eastAsia="Arial" w:hAnsi="Arial"/>
          <w:sz w:val="13"/>
          <w:szCs w:val="13"/>
          <w:color w:val="auto"/>
        </w:rPr>
        <w:t>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4,500,000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4,500,000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7003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1780" w:space="480"/>
            <w:col w:w="8980"/>
          </w:cols>
          <w:pgMar w:left="320" w:top="908" w:right="339" w:bottom="1440" w:gutter="0" w:footer="0" w:header="0"/>
          <w:type w:val="continuous"/>
        </w:sectPr>
      </w:pPr>
    </w:p>
    <w:p>
      <w:pPr>
        <w:ind w:left="2260" w:right="7100" w:hanging="565"/>
        <w:spacing w:after="0" w:line="298" w:lineRule="auto"/>
        <w:tabs>
          <w:tab w:leader="none" w:pos="2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Shared Dispositive Power 17,730,419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-6350</wp:posOffset>
            </wp:positionV>
            <wp:extent cx="570039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ind w:left="800" w:right="5640" w:hanging="563"/>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22,230,419 (1)(2)(3)(4)(7)</w:t>
      </w:r>
    </w:p>
    <w:p>
      <w:pPr>
        <w:spacing w:after="0" w:line="151" w:lineRule="exact"/>
        <w:rPr>
          <w:rFonts w:ascii="Arial" w:cs="Arial" w:eastAsia="Arial" w:hAnsi="Arial"/>
          <w:sz w:val="18"/>
          <w:szCs w:val="18"/>
          <w:color w:val="auto"/>
        </w:rPr>
      </w:pPr>
    </w:p>
    <w:p>
      <w:pPr>
        <w:ind w:left="800" w:hanging="563"/>
        <w:spacing w:after="0" w:line="207" w:lineRule="exact"/>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800" w:hanging="563"/>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9.2% (5)</w:t>
      </w:r>
    </w:p>
    <w:p>
      <w:pPr>
        <w:spacing w:after="0" w:line="224" w:lineRule="exact"/>
        <w:rPr>
          <w:rFonts w:ascii="Arial" w:cs="Arial" w:eastAsia="Arial" w:hAnsi="Arial"/>
          <w:sz w:val="18"/>
          <w:szCs w:val="18"/>
          <w:color w:val="auto"/>
        </w:rPr>
      </w:pPr>
    </w:p>
    <w:p>
      <w:pPr>
        <w:ind w:left="800" w:right="7260" w:hanging="563"/>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 HC, IN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10,993,750 shares of Class A common stock of Sema4 Holdings Corp. (the “</w:t>
      </w:r>
      <w:r>
        <w:rPr>
          <w:rFonts w:ascii="Arial" w:cs="Arial" w:eastAsia="Arial" w:hAnsi="Arial"/>
          <w:sz w:val="17"/>
          <w:szCs w:val="17"/>
          <w:u w:val="single" w:color="auto"/>
          <w:color w:val="auto"/>
        </w:rPr>
        <w:t>Issuer</w:t>
      </w:r>
      <w:r>
        <w:rPr>
          <w:rFonts w:ascii="Arial" w:cs="Arial" w:eastAsia="Arial" w:hAnsi="Arial"/>
          <w:sz w:val="17"/>
          <w:szCs w:val="17"/>
          <w:color w:val="auto"/>
        </w:rPr>
        <w:t>”),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340" w:hanging="332"/>
        <w:spacing w:after="0" w:line="311"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6,736,669 shares of Common Stock issuable upon the exercise of 6,736,669 private placement warrants of the Issuer. On September 3, 2021, each private placement warrant became exercisable to purchase one share of Common Stock at a price of $11.50 per share, subject to adjustment, as described in the definitive proxy statement of the Issuer (File No. 001-39482) filed with the U.S. Securities Exchange Commission on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-873125</wp:posOffset>
            </wp:positionV>
            <wp:extent cx="6626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-1292860</wp:posOffset>
            </wp:positionV>
            <wp:extent cx="6626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-1713230</wp:posOffset>
            </wp:positionV>
            <wp:extent cx="6626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-1995805</wp:posOffset>
            </wp:positionV>
            <wp:extent cx="6626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jc w:val="both"/>
        <w:ind w:left="340" w:hanging="332"/>
        <w:spacing w:after="0" w:line="25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p>
      <w:pPr>
        <w:spacing w:after="0" w:line="187"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242,578,824 shares of Common Stock outstanding as of December 31, 2021, as disclosed in the Agreement and Plan of Merger and Reorganization, dated as of January 14, 2022, by and among the Issuer, Orion Merger Sub I Inc., Orion Merger Sub II, LLC, GeneDx, Inc., GeneDx Holding 2, Inc. and OPKO Health, Inc., filed as Exhibit 2.1 to the Issuers’ current report on Form 8-K, filed with the SEC on January 18, 2022.</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of Common Stock to be acquired pursuant to the Subscription Agreements described in Item 4 below are not included in the number of shares reported as beneficially owned herein.</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Casdin Partners Master Fund, LP is the record holder of the shares reported herein.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shares reflected as beneficially owned by Mr. Meister consist of 4,500,000 shares of Common Stock. Such securities are owned by investment funds advised by Corvex Management, L.P., and may be deemed to be indirectly beneficially owned by Keith Meister by virtue of Mr. Meister’s control of the general partner of Corvex Management, L.P.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amendment no. 1 (the “</w:t>
      </w:r>
      <w:r>
        <w:rPr>
          <w:rFonts w:ascii="Arial" w:cs="Arial" w:eastAsia="Arial" w:hAnsi="Arial"/>
          <w:sz w:val="17"/>
          <w:szCs w:val="17"/>
          <w:u w:val="single" w:color="auto"/>
          <w:color w:val="auto"/>
        </w:rPr>
        <w:t>Amendment</w:t>
      </w:r>
      <w:r>
        <w:rPr>
          <w:rFonts w:ascii="Arial" w:cs="Arial" w:eastAsia="Arial" w:hAnsi="Arial"/>
          <w:sz w:val="17"/>
          <w:szCs w:val="17"/>
          <w:color w:val="auto"/>
        </w:rPr>
        <w:t>”) supplements the information set forth in the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August 2, 2021, by CMLS Holdings LLC, Keith Meister, Eli Casdin and the other Reporting Persons named therein, relating to the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Sema4 Holdings Corp. (the “</w:t>
      </w:r>
      <w:r>
        <w:rPr>
          <w:rFonts w:ascii="Arial" w:cs="Arial" w:eastAsia="Arial" w:hAnsi="Arial"/>
          <w:sz w:val="17"/>
          <w:szCs w:val="17"/>
          <w:u w:val="single" w:color="auto"/>
          <w:color w:val="auto"/>
        </w:rPr>
        <w:t>Issuer</w:t>
      </w:r>
      <w:r>
        <w:rPr>
          <w:rFonts w:ascii="Arial" w:cs="Arial" w:eastAsia="Arial" w:hAnsi="Arial"/>
          <w:sz w:val="17"/>
          <w:szCs w:val="17"/>
          <w:color w:val="auto"/>
        </w:rPr>
        <w:t>”). Capitalized terms used but not defined herein shall have the meanings ascribed to them in the Schedule 13D.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set forth in response to each separate Item below shall be deemed to be a response to all Items where such information is relevant. Items 4, 6 and 7 to the Schedule 13D are supplementally amended as follows, and Item 5 to the Schedule 13D is amended and restated as follows.</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14, 2022, the Issuer entered into an Agreement and Plan of Merger and Reorganization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GeneDx, Inc. (“</w:t>
      </w:r>
      <w:r>
        <w:rPr>
          <w:rFonts w:ascii="Arial" w:cs="Arial" w:eastAsia="Arial" w:hAnsi="Arial"/>
          <w:sz w:val="17"/>
          <w:szCs w:val="17"/>
          <w:u w:val="single" w:color="auto"/>
          <w:color w:val="auto"/>
        </w:rPr>
        <w:t>GeneDx</w:t>
      </w:r>
      <w:r>
        <w:rPr>
          <w:rFonts w:ascii="Arial" w:cs="Arial" w:eastAsia="Arial" w:hAnsi="Arial"/>
          <w:sz w:val="17"/>
          <w:szCs w:val="17"/>
          <w:color w:val="auto"/>
        </w:rPr>
        <w:t>”), a wholly-owned subsidiary of OPKO Health, Inc. (“</w:t>
      </w:r>
      <w:r>
        <w:rPr>
          <w:rFonts w:ascii="Arial" w:cs="Arial" w:eastAsia="Arial" w:hAnsi="Arial"/>
          <w:sz w:val="17"/>
          <w:szCs w:val="17"/>
          <w:u w:val="single" w:color="auto"/>
          <w:color w:val="auto"/>
        </w:rPr>
        <w:t>OPKO</w:t>
      </w:r>
      <w:r>
        <w:rPr>
          <w:rFonts w:ascii="Arial" w:cs="Arial" w:eastAsia="Arial" w:hAnsi="Arial"/>
          <w:sz w:val="17"/>
          <w:szCs w:val="17"/>
          <w:color w:val="auto"/>
        </w:rPr>
        <w:t>”), OPKO and the other parties thereto, pursuant to which the Issuer will acquire GeneDx. Concurrently with the execution of the Merger Agreement, the Issuer entered into subscription agreements (collectively, the “</w:t>
      </w:r>
      <w:r>
        <w:rPr>
          <w:rFonts w:ascii="Arial" w:cs="Arial" w:eastAsia="Arial" w:hAnsi="Arial"/>
          <w:sz w:val="17"/>
          <w:szCs w:val="17"/>
          <w:u w:val="single" w:color="auto"/>
          <w:color w:val="auto"/>
        </w:rPr>
        <w:t>Subscription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with certain institutional investors (collectively, the “</w:t>
      </w:r>
      <w:r>
        <w:rPr>
          <w:rFonts w:ascii="Arial" w:cs="Arial" w:eastAsia="Arial" w:hAnsi="Arial"/>
          <w:sz w:val="17"/>
          <w:szCs w:val="17"/>
          <w:u w:val="single" w:color="auto"/>
          <w:color w:val="auto"/>
        </w:rPr>
        <w:t>PIPE Investors</w:t>
      </w:r>
      <w:r>
        <w:rPr>
          <w:rFonts w:ascii="Arial" w:cs="Arial" w:eastAsia="Arial" w:hAnsi="Arial"/>
          <w:sz w:val="17"/>
          <w:szCs w:val="17"/>
          <w:color w:val="auto"/>
        </w:rPr>
        <w:t>”) governing the issuance and sale of 50 million shares of Common Stock (the “</w:t>
      </w:r>
      <w:r>
        <w:rPr>
          <w:rFonts w:ascii="Arial" w:cs="Arial" w:eastAsia="Arial" w:hAnsi="Arial"/>
          <w:sz w:val="17"/>
          <w:szCs w:val="17"/>
          <w:u w:val="single" w:color="auto"/>
          <w:color w:val="auto"/>
        </w:rPr>
        <w:t>PIPE Shares</w:t>
      </w:r>
      <w:r>
        <w:rPr>
          <w:rFonts w:ascii="Arial" w:cs="Arial" w:eastAsia="Arial" w:hAnsi="Arial"/>
          <w:sz w:val="17"/>
          <w:szCs w:val="17"/>
          <w:color w:val="auto"/>
        </w:rPr>
        <w:t>”) at $4.00 per share, for an aggregate gross purchase price of $200 million. Casdin Partners Master Fund, LP, an investment fund advised by Casdin Capital, LLC, of which Mr. Casdin is the managing member, executed a Subscription Agreement with respect to 11,437,500 PIPE Shares and investments funds advised by Corvex Management LP, the general partner of which is controlled by Mr. Meister, executed Subscription Agreements with respect to an aggregate of 11,437,500 PIPE Shares.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and on the terms and subject to the conditions of, the Subscription Agreements, the Issuer agreed to issue and sell the PIPE Shares to the PIPE Investors, in private placements to close substantially concurrently with the closing of the transactions contemplated by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of the Acquisition (the “</w:t>
      </w:r>
      <w:r>
        <w:rPr>
          <w:rFonts w:ascii="Arial" w:cs="Arial" w:eastAsia="Arial" w:hAnsi="Arial"/>
          <w:sz w:val="16"/>
          <w:szCs w:val="16"/>
          <w:u w:val="single" w:color="auto"/>
          <w:color w:val="auto"/>
        </w:rPr>
        <w:t>Closing Date</w:t>
      </w:r>
      <w:r>
        <w:rPr>
          <w:rFonts w:ascii="Arial" w:cs="Arial" w:eastAsia="Arial" w:hAnsi="Arial"/>
          <w:sz w:val="16"/>
          <w:szCs w:val="16"/>
          <w:color w:val="auto"/>
        </w:rPr>
        <w:t>”) or October 14,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or become incapable of being satisfied on or prior to the earlier of the Closing Date or the Outside Date, and, as a result thereof, the transactions contemplated by the Subscription Agreements are not consummated at the closing of the PIPE Investment, and (d) the Outside Date. Each PIPE Investor may, by written notice to the Issuer, extend the Outside Date beyond October 14, 2022.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on January 14, 2022, the Issuer and OPKO entered into Support Agreements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with certain stockholders of the Issuer, including Casdin Partners Master Fund LP and Corvex Management LP on behalf of the investment funds it advises that currently own Common Stock.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the terms and subject to the conditions set forth in the Support Agreements, Casdin Partners Master Fund LP, Corvex Management LP and the other signing stockholders have agreed to, among other things: (a) vote at any meeting of the stockholders of the Issuer all of their shares of Common Stock held of record: (i) to approve the issuance of the stock consideration to be issued pursuant to Merger Agreement and the issuance of PIPE Shares pursuant to the Subscription Agreements; (ii) to approve the appointment of the certain designees to the Issuer’s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(iii) to approve an amendment to the Issuer’s current Third Amended and Restated Certificate of Incorporation to increase the authorized shares of Common Stock from 380,000,000 to 1,000,000,000; (iv) to approve any other proposal included in the proxy statement related to the Merger Agreement that is recommended by the Board as necessary to consummate the transactions contemplated by the Merger Agreement; (v) to approve any proposal that is recommended by the Board to adjourn the stockholder meeting related to the Merger Agreement to a later date, if there are not sufficient affirmative votes (in person or by proxy) to obtain the requested approvals on the date on which such meeting is held; and (vi) against any and all other proposals that could reasonably be expected to delay or impair the ability of the Issuer to consummate the transactions contemplated by the Merger Agreement; (b) provide, as contemplated therein, a proxy to the Issuer to vote such shares accordingly (subject to the condition that a proxy statement has been filed with the SEC and provided to the stockholders of the Issuer); (c) be bound by certain other covenants and agreements; and (d) be bound by certain transfer restrictions with respect to all or a percentage of their shares of Common Stock prior to the meeting.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Effective as of January 14, 2022, Keith Meister was appointed to the Board as a Class III director of the Issuer, whose term expires at the Issuer’s 2024 annual meeting of stockholders.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Subscription Agreements and the Support Agreements above do not purport to be complete, and are qualified in their entirety by reference to the full text of the Subscription Agreements and the Support Agreements, forms of which are filed as Exhibit 1 and Exhibit 2, respectively, to this Amendment.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transaction was to acquire securities of the Issuer for investment purposes. Except as set forth in this Item 4, the Reporting Persons have no present plans or proposals that relate to, or that would result in, any of the actions specified in clauses (a) through (j) of Item 4 of Schedule 13D under the Act. Mr. Casdin and Mr. Meister currently serve as a directors of the Issuer and, in connection with such roles, may consider such activities referred to in clauses (a) through (j). The Reporting Persons do, however, reserve the right in the future to adopt such plans or proposals subject to compliance with applicable regulatory requirements.</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the Securities of the Issuer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the facing pages of this Schedule 13D with respect to the shared beneficial ownership of Common Stock by the Reporting Persons is incorporated by reference into this Item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2, 3 and 4 is hereby incorporated by reference into this Item 5.</w:t>
      </w:r>
    </w:p>
    <w:p>
      <w:pPr>
        <w:spacing w:after="0" w:line="225" w:lineRule="exact"/>
        <w:rPr>
          <w:sz w:val="20"/>
          <w:szCs w:val="20"/>
          <w:color w:val="auto"/>
        </w:rPr>
      </w:pPr>
    </w:p>
    <w:p>
      <w:pPr>
        <w:ind w:firstLine="8"/>
        <w:spacing w:after="0" w:line="277" w:lineRule="auto"/>
        <w:tabs>
          <w:tab w:leader="none" w:pos="2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shares of Common Stock and the percentage of total outstanding shares of Common Stock beneficially owned by the Reporting Persons is set forth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References to percentage ownerships of shares of Common Stock in this Statement are based upon the 242,578,824 shares of Common Stock stated to be outstanding as of December 31, 2021 in the Merger Agreement, filed as Exhibit 2.1 to the Issuer’s current report on Form 8-K, filed with the SEC on January 18, 2022. The filing of this Statement shall not be construed as an admission that a Reporting Person beneficially owns those shares held by any other Reporting Person.</w:t>
      </w:r>
    </w:p>
    <w:p>
      <w:pPr>
        <w:spacing w:after="0" w:line="187" w:lineRule="exact"/>
        <w:rPr>
          <w:sz w:val="20"/>
          <w:szCs w:val="20"/>
          <w:color w:val="auto"/>
        </w:rPr>
      </w:pPr>
    </w:p>
    <w:p>
      <w:pPr>
        <w:jc w:val="both"/>
        <w:ind w:firstLine="8"/>
        <w:spacing w:after="0" w:line="259" w:lineRule="auto"/>
        <w:tabs>
          <w:tab w:leader="none" w:pos="2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 Casdin has shared power to vote or to direct the vote and shared power to dispose or to direct the disposition of the 22,730,419 shares of Common Stock reported in (a) above. Keith Meister has the sole power to vote or to direct the vote and sole power to dispose or to direct the disposition of 4,500,000 shares of Common Stock reported in (a) above and shared power to vote or direct the vote and shared power to dispose or to direct the disposition of 17,730,419 shares of Common Stock reported in (a) above.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with respect to the shares of Common Stock to be acquired in connection with the Subscription Agreements, the Reporting Persons have not effected any transactions in the Issuer’s Common Stock during the past 60 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Common Stock beneficially owned by the Reporting Persons.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above is hereby incorporated by reference into this Item 6.</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0" w:lineRule="exact"/>
        <w:rPr>
          <w:sz w:val="20"/>
          <w:szCs w:val="20"/>
          <w:color w:val="auto"/>
        </w:rPr>
      </w:pPr>
    </w:p>
    <w:p>
      <w:pPr>
        <w:ind w:left="1140" w:hanging="671"/>
        <w:spacing w:after="0" w:line="258" w:lineRule="auto"/>
        <w:tabs>
          <w:tab w:leader="none" w:pos="1140" w:val="left"/>
        </w:tabs>
        <w:numPr>
          <w:ilvl w:val="0"/>
          <w:numId w:val="46"/>
        </w:numPr>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Form of Subscription Agreement (incorporated by reference to Exhibit 10.1 of the Issuer’s current report on Form 8-K, filed with the SEC</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on January 18, 2022).</w:t>
        </w:r>
      </w:hyperlink>
    </w:p>
    <w:p>
      <w:pPr>
        <w:spacing w:after="0" w:line="1" w:lineRule="exact"/>
        <w:rPr>
          <w:rFonts w:ascii="Arial" w:cs="Arial" w:eastAsia="Arial" w:hAnsi="Arial"/>
          <w:sz w:val="18"/>
          <w:szCs w:val="18"/>
          <w:color w:val="auto"/>
        </w:rPr>
      </w:pPr>
    </w:p>
    <w:p>
      <w:pPr>
        <w:ind w:left="1140" w:hanging="671"/>
        <w:spacing w:after="0" w:line="260" w:lineRule="auto"/>
        <w:tabs>
          <w:tab w:leader="none" w:pos="1140" w:val="left"/>
        </w:tabs>
        <w:numPr>
          <w:ilvl w:val="0"/>
          <w:numId w:val="47"/>
        </w:numPr>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Support Agreement (incorporated by reference to Exhibit 10.3 of the Issuer’s current report on Form 8-K, filed with the SEC on</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January 18, 2022).</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January 19, 2022</w:t>
            </w:r>
          </w:p>
        </w:tc>
        <w:tc>
          <w:tcPr>
            <w:tcW w:w="31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CMLS HOLDINGS LLC</w:t>
            </w:r>
          </w:p>
        </w:tc>
      </w:tr>
      <w:tr>
        <w:trPr>
          <w:trHeight w:val="439"/>
        </w:trPr>
        <w:tc>
          <w:tcPr>
            <w:tcW w:w="3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3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January 19, 2022</w:t>
            </w:r>
          </w:p>
        </w:tc>
        <w:tc>
          <w:tcPr>
            <w:tcW w:w="31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C-LSH LLC</w:t>
            </w:r>
          </w:p>
        </w:tc>
      </w:tr>
      <w:tr>
        <w:trPr>
          <w:trHeight w:val="439"/>
        </w:trPr>
        <w:tc>
          <w:tcPr>
            <w:tcW w:w="3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Casdin</w:t>
            </w:r>
          </w:p>
        </w:tc>
      </w:tr>
      <w:tr>
        <w:trPr>
          <w:trHeight w:val="202"/>
        </w:trPr>
        <w:tc>
          <w:tcPr>
            <w:tcW w:w="3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Eli Casdin</w:t>
            </w:r>
          </w:p>
        </w:tc>
      </w:tr>
      <w:tr>
        <w:trPr>
          <w:trHeight w:val="230"/>
        </w:trPr>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January 19, 2022</w:t>
            </w:r>
          </w:p>
        </w:tc>
        <w:tc>
          <w:tcPr>
            <w:tcW w:w="31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M-LSH LLC</w:t>
            </w:r>
          </w:p>
        </w:tc>
      </w:tr>
      <w:tr>
        <w:trPr>
          <w:trHeight w:val="439"/>
        </w:trPr>
        <w:tc>
          <w:tcPr>
            <w:tcW w:w="3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Meister</w:t>
            </w:r>
          </w:p>
        </w:tc>
      </w:tr>
      <w:tr>
        <w:trPr>
          <w:trHeight w:val="202"/>
        </w:trPr>
        <w:tc>
          <w:tcPr>
            <w:tcW w:w="3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Keith A. Meister</w:t>
            </w:r>
          </w:p>
        </w:tc>
      </w:tr>
      <w:tr>
        <w:trPr>
          <w:trHeight w:val="230"/>
        </w:trPr>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January 19, 2022</w:t>
            </w:r>
          </w:p>
        </w:tc>
        <w:tc>
          <w:tcPr>
            <w:tcW w:w="314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Casdin</w:t>
            </w:r>
          </w:p>
        </w:tc>
      </w:tr>
      <w:tr>
        <w:trPr>
          <w:trHeight w:val="230"/>
        </w:trPr>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Eli Casdin</w:t>
            </w:r>
          </w:p>
        </w:tc>
      </w:tr>
      <w:tr>
        <w:trPr>
          <w:trHeight w:val="425"/>
        </w:trPr>
        <w:tc>
          <w:tcPr>
            <w:tcW w:w="3600" w:type="dxa"/>
            <w:vAlign w:val="bottom"/>
          </w:tcPr>
          <w:p>
            <w:pPr>
              <w:spacing w:after="0"/>
              <w:rPr>
                <w:sz w:val="20"/>
                <w:szCs w:val="20"/>
                <w:color w:val="auto"/>
              </w:rPr>
            </w:pPr>
            <w:r>
              <w:rPr>
                <w:rFonts w:ascii="Arial" w:cs="Arial" w:eastAsia="Arial" w:hAnsi="Arial"/>
                <w:sz w:val="18"/>
                <w:szCs w:val="18"/>
                <w:color w:val="auto"/>
              </w:rPr>
              <w:t>Date: January 19, 2022</w:t>
            </w:r>
          </w:p>
        </w:tc>
        <w:tc>
          <w:tcPr>
            <w:tcW w:w="314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A. Meister</w:t>
            </w:r>
          </w:p>
        </w:tc>
      </w:tr>
      <w:tr>
        <w:trPr>
          <w:trHeight w:val="230"/>
        </w:trPr>
        <w:tc>
          <w:tcPr>
            <w:tcW w:w="3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Keith A. Meister</w:t>
            </w:r>
          </w:p>
        </w:tc>
      </w:tr>
      <w:tr>
        <w:trPr>
          <w:trHeight w:val="641"/>
        </w:trPr>
        <w:tc>
          <w:tcPr>
            <w:tcW w:w="3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7" w:lineRule="exact"/>
        <w:rPr>
          <w:sz w:val="20"/>
          <w:szCs w:val="20"/>
          <w:color w:val="auto"/>
        </w:rPr>
      </w:pPr>
    </w:p>
    <w:p>
      <w:pPr>
        <w:ind w:left="460" w:right="20" w:hanging="267"/>
        <w:spacing w:after="0" w:line="258" w:lineRule="auto"/>
        <w:tabs>
          <w:tab w:leader="none" w:pos="460" w:val="left"/>
        </w:tabs>
        <w:numPr>
          <w:ilvl w:val="0"/>
          <w:numId w:val="48"/>
        </w:numPr>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Form of Subscription Agreement (incorporated by reference to Exhibit 10.1 of the Issuer’s current report on Form 8-K, filed with the SEC 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January 18, 2022).</w:t>
        </w:r>
      </w:hyperlink>
    </w:p>
    <w:p>
      <w:pPr>
        <w:ind w:left="460" w:hanging="267"/>
        <w:spacing w:after="0" w:line="260" w:lineRule="auto"/>
        <w:tabs>
          <w:tab w:leader="none" w:pos="460" w:val="left"/>
        </w:tabs>
        <w:numPr>
          <w:ilvl w:val="0"/>
          <w:numId w:val="49"/>
        </w:numPr>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Support Agreement (incorporated by reference to Exhibit 10.3 of the Issuer’s current report on Form 8-K, filed with the SEC on January 18,</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2022).</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2"/>
      <w:numFmt w:val="bullet"/>
      <w:start w:val="1"/>
    </w:lvl>
    <w:lvl w:ilvl="1">
      <w:lvlJc w:val="left"/>
      <w:lvlText w:val="(%2)"/>
      <w:numFmt w:val="lowerLetter"/>
      <w:start w:val="1"/>
    </w:lvl>
  </w:abstractNum>
  <w:abstractNum w:abstractNumId="3">
    <w:nsid w:val="189A769B"/>
    <w:multiLevelType w:val="hybridMultilevel"/>
    <w:lvl w:ilvl="0">
      <w:lvlJc w:val="left"/>
      <w:lvlText w:val="3"/>
      <w:numFmt w:val="bullet"/>
      <w:start w:val="1"/>
    </w:lvl>
  </w:abstractNum>
  <w:abstractNum w:abstractNumId="4">
    <w:nsid w:val="54E49EB4"/>
    <w:multiLevelType w:val="hybridMultilevel"/>
    <w:lvl w:ilvl="0">
      <w:lvlJc w:val="left"/>
      <w:lvlText w:val="4"/>
      <w:numFmt w:val="bullet"/>
      <w:start w:val="1"/>
    </w:lvl>
  </w:abstractNum>
  <w:abstractNum w:abstractNumId="5">
    <w:nsid w:val="71F32454"/>
    <w:multiLevelType w:val="hybridMultilevel"/>
    <w:lvl w:ilvl="0">
      <w:lvlJc w:val="left"/>
      <w:lvlText w:val="5"/>
      <w:numFmt w:val="bullet"/>
      <w:start w:val="1"/>
    </w:lvl>
  </w:abstractNum>
  <w:abstractNum w:abstractNumId="6">
    <w:nsid w:val="2CA88611"/>
    <w:multiLevelType w:val="hybridMultilevel"/>
    <w:lvl w:ilvl="0">
      <w:lvlJc w:val="left"/>
      <w:lvlText w:val="6"/>
      <w:numFmt w:val="bullet"/>
      <w:start w:val="1"/>
    </w:lvl>
  </w:abstractNum>
  <w:abstractNum w:abstractNumId="7">
    <w:nsid w:val="836C40E"/>
    <w:multiLevelType w:val="hybridMultilevel"/>
    <w:lvl w:ilvl="0">
      <w:lvlJc w:val="left"/>
      <w:lvlText w:val="%1"/>
      <w:numFmt w:val="decimal"/>
      <w:start w:val="10"/>
    </w:lvl>
  </w:abstractNum>
  <w:abstractNum w:abstractNumId="8">
    <w:nsid w:val="2901D82"/>
    <w:multiLevelType w:val="hybridMultilevel"/>
    <w:lvl w:ilvl="0">
      <w:lvlJc w:val="left"/>
      <w:lvlText w:val="%1"/>
      <w:numFmt w:val="decimal"/>
      <w:start w:val="11"/>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2"/>
      <w:numFmt w:val="bullet"/>
      <w:start w:val="1"/>
    </w:lvl>
    <w:lvl w:ilvl="1">
      <w:lvlJc w:val="left"/>
      <w:lvlText w:val="(%2)"/>
      <w:numFmt w:val="lowerLetter"/>
      <w:start w:val="1"/>
    </w:lvl>
  </w:abstractNum>
  <w:abstractNum w:abstractNumId="11">
    <w:nsid w:val="1E7FF521"/>
    <w:multiLevelType w:val="hybridMultilevel"/>
    <w:lvl w:ilvl="0">
      <w:lvlJc w:val="left"/>
      <w:lvlText w:val="3"/>
      <w:numFmt w:val="bullet"/>
      <w:start w:val="1"/>
    </w:lvl>
  </w:abstractNum>
  <w:abstractNum w:abstractNumId="12">
    <w:nsid w:val="7C3DBD3D"/>
    <w:multiLevelType w:val="hybridMultilevel"/>
    <w:lvl w:ilvl="0">
      <w:lvlJc w:val="left"/>
      <w:lvlText w:val="4"/>
      <w:numFmt w:val="bullet"/>
      <w:start w:val="1"/>
    </w:lvl>
  </w:abstractNum>
  <w:abstractNum w:abstractNumId="13">
    <w:nsid w:val="737B8DDC"/>
    <w:multiLevelType w:val="hybridMultilevel"/>
    <w:lvl w:ilvl="0">
      <w:lvlJc w:val="left"/>
      <w:lvlText w:val="5"/>
      <w:numFmt w:val="bullet"/>
      <w:start w:val="1"/>
    </w:lvl>
  </w:abstractNum>
  <w:abstractNum w:abstractNumId="14">
    <w:nsid w:val="6CEAF087"/>
    <w:multiLevelType w:val="hybridMultilevel"/>
    <w:lvl w:ilvl="0">
      <w:lvlJc w:val="left"/>
      <w:lvlText w:val="6"/>
      <w:numFmt w:val="bullet"/>
      <w:start w:val="1"/>
    </w:lvl>
  </w:abstractNum>
  <w:abstractNum w:abstractNumId="15">
    <w:nsid w:val="22221A70"/>
    <w:multiLevelType w:val="hybridMultilevel"/>
    <w:lvl w:ilvl="0">
      <w:lvlJc w:val="left"/>
      <w:lvlText w:val="%1"/>
      <w:numFmt w:val="decimal"/>
      <w:start w:val="10"/>
    </w:lvl>
  </w:abstractNum>
  <w:abstractNum w:abstractNumId="16">
    <w:nsid w:val="4516DDE9"/>
    <w:multiLevelType w:val="hybridMultilevel"/>
    <w:lvl w:ilvl="0">
      <w:lvlJc w:val="left"/>
      <w:lvlText w:val="%1"/>
      <w:numFmt w:val="decimal"/>
      <w:start w:val="11"/>
    </w:lvl>
  </w:abstractNum>
  <w:abstractNum w:abstractNumId="17">
    <w:nsid w:val="3006C83E"/>
    <w:multiLevelType w:val="hybridMultilevel"/>
    <w:lvl w:ilvl="0">
      <w:lvlJc w:val="left"/>
      <w:lvlText w:val="1"/>
      <w:numFmt w:val="bullet"/>
      <w:start w:val="1"/>
    </w:lvl>
  </w:abstractNum>
  <w:abstractNum w:abstractNumId="18">
    <w:nsid w:val="614FD4A1"/>
    <w:multiLevelType w:val="hybridMultilevel"/>
    <w:lvl w:ilvl="0">
      <w:lvlJc w:val="left"/>
      <w:lvlText w:val="2"/>
      <w:numFmt w:val="bullet"/>
      <w:start w:val="1"/>
    </w:lvl>
    <w:lvl w:ilvl="1">
      <w:lvlJc w:val="left"/>
      <w:lvlText w:val="(%2)"/>
      <w:numFmt w:val="lowerLetter"/>
      <w:start w:val="1"/>
    </w:lvl>
  </w:abstractNum>
  <w:abstractNum w:abstractNumId="19">
    <w:nsid w:val="419AC241"/>
    <w:multiLevelType w:val="hybridMultilevel"/>
    <w:lvl w:ilvl="0">
      <w:lvlJc w:val="left"/>
      <w:lvlText w:val="3"/>
      <w:numFmt w:val="bullet"/>
      <w:start w:val="1"/>
    </w:lvl>
  </w:abstractNum>
  <w:abstractNum w:abstractNumId="20">
    <w:nsid w:val="5577F8E1"/>
    <w:multiLevelType w:val="hybridMultilevel"/>
    <w:lvl w:ilvl="0">
      <w:lvlJc w:val="left"/>
      <w:lvlText w:val="4"/>
      <w:numFmt w:val="bullet"/>
      <w:start w:val="1"/>
    </w:lvl>
  </w:abstractNum>
  <w:abstractNum w:abstractNumId="21">
    <w:nsid w:val="440BADFC"/>
    <w:multiLevelType w:val="hybridMultilevel"/>
    <w:lvl w:ilvl="0">
      <w:lvlJc w:val="left"/>
      <w:lvlText w:val="5"/>
      <w:numFmt w:val="bullet"/>
      <w:start w:val="1"/>
    </w:lvl>
  </w:abstractNum>
  <w:abstractNum w:abstractNumId="22">
    <w:nsid w:val="5072367"/>
    <w:multiLevelType w:val="hybridMultilevel"/>
    <w:lvl w:ilvl="0">
      <w:lvlJc w:val="left"/>
      <w:lvlText w:val="6"/>
      <w:numFmt w:val="bullet"/>
      <w:start w:val="1"/>
    </w:lvl>
  </w:abstractNum>
  <w:abstractNum w:abstractNumId="23">
    <w:nsid w:val="3804823E"/>
    <w:multiLevelType w:val="hybridMultilevel"/>
    <w:lvl w:ilvl="0">
      <w:lvlJc w:val="left"/>
      <w:lvlText w:val="%1"/>
      <w:numFmt w:val="decimal"/>
      <w:start w:val="10"/>
    </w:lvl>
  </w:abstractNum>
  <w:abstractNum w:abstractNumId="24">
    <w:nsid w:val="77465F01"/>
    <w:multiLevelType w:val="hybridMultilevel"/>
    <w:lvl w:ilvl="0">
      <w:lvlJc w:val="left"/>
      <w:lvlText w:val="%1"/>
      <w:numFmt w:val="decimal"/>
      <w:start w:val="11"/>
    </w:lvl>
  </w:abstractNum>
  <w:abstractNum w:abstractNumId="25">
    <w:nsid w:val="7724C67E"/>
    <w:multiLevelType w:val="hybridMultilevel"/>
    <w:lvl w:ilvl="0">
      <w:lvlJc w:val="left"/>
      <w:lvlText w:val="1"/>
      <w:numFmt w:val="bullet"/>
      <w:start w:val="1"/>
    </w:lvl>
  </w:abstractNum>
  <w:abstractNum w:abstractNumId="26">
    <w:nsid w:val="5C482A97"/>
    <w:multiLevelType w:val="hybridMultilevel"/>
    <w:lvl w:ilvl="0">
      <w:lvlJc w:val="left"/>
      <w:lvlText w:val="2"/>
      <w:numFmt w:val="bullet"/>
      <w:start w:val="1"/>
    </w:lvl>
    <w:lvl w:ilvl="1">
      <w:lvlJc w:val="left"/>
      <w:lvlText w:val="(%2)"/>
      <w:numFmt w:val="lowerLetter"/>
      <w:start w:val="1"/>
    </w:lvl>
  </w:abstractNum>
  <w:abstractNum w:abstractNumId="27">
    <w:nsid w:val="2463B9EA"/>
    <w:multiLevelType w:val="hybridMultilevel"/>
    <w:lvl w:ilvl="0">
      <w:lvlJc w:val="left"/>
      <w:lvlText w:val="3"/>
      <w:numFmt w:val="bullet"/>
      <w:start w:val="1"/>
    </w:lvl>
  </w:abstractNum>
  <w:abstractNum w:abstractNumId="28">
    <w:nsid w:val="5E884ADC"/>
    <w:multiLevelType w:val="hybridMultilevel"/>
    <w:lvl w:ilvl="0">
      <w:lvlJc w:val="left"/>
      <w:lvlText w:val="4"/>
      <w:numFmt w:val="bullet"/>
      <w:start w:val="1"/>
    </w:lvl>
  </w:abstractNum>
  <w:abstractNum w:abstractNumId="29">
    <w:nsid w:val="51EAD36B"/>
    <w:multiLevelType w:val="hybridMultilevel"/>
    <w:lvl w:ilvl="0">
      <w:lvlJc w:val="left"/>
      <w:lvlText w:val="5"/>
      <w:numFmt w:val="bullet"/>
      <w:start w:val="1"/>
    </w:lvl>
  </w:abstractNum>
  <w:abstractNum w:abstractNumId="30">
    <w:nsid w:val="2D517796"/>
    <w:multiLevelType w:val="hybridMultilevel"/>
    <w:lvl w:ilvl="0">
      <w:lvlJc w:val="left"/>
      <w:lvlText w:val="6"/>
      <w:numFmt w:val="bullet"/>
      <w:start w:val="1"/>
    </w:lvl>
  </w:abstractNum>
  <w:abstractNum w:abstractNumId="31">
    <w:nsid w:val="580BD78F"/>
    <w:multiLevelType w:val="hybridMultilevel"/>
    <w:lvl w:ilvl="0">
      <w:lvlJc w:val="left"/>
      <w:lvlText w:val="%1"/>
      <w:numFmt w:val="decimal"/>
      <w:start w:val="10"/>
    </w:lvl>
  </w:abstractNum>
  <w:abstractNum w:abstractNumId="32">
    <w:nsid w:val="153EA438"/>
    <w:multiLevelType w:val="hybridMultilevel"/>
    <w:lvl w:ilvl="0">
      <w:lvlJc w:val="left"/>
      <w:lvlText w:val="%1"/>
      <w:numFmt w:val="decimal"/>
      <w:start w:val="11"/>
    </w:lvl>
  </w:abstractNum>
  <w:abstractNum w:abstractNumId="33">
    <w:nsid w:val="3855585C"/>
    <w:multiLevelType w:val="hybridMultilevel"/>
    <w:lvl w:ilvl="0">
      <w:lvlJc w:val="left"/>
      <w:lvlText w:val="1"/>
      <w:numFmt w:val="bullet"/>
      <w:start w:val="1"/>
    </w:lvl>
  </w:abstractNum>
  <w:abstractNum w:abstractNumId="34">
    <w:nsid w:val="70A64E2A"/>
    <w:multiLevelType w:val="hybridMultilevel"/>
    <w:lvl w:ilvl="0">
      <w:lvlJc w:val="left"/>
      <w:lvlText w:val="2"/>
      <w:numFmt w:val="bullet"/>
      <w:start w:val="1"/>
    </w:lvl>
    <w:lvl w:ilvl="1">
      <w:lvlJc w:val="left"/>
      <w:lvlText w:val="(%2)"/>
      <w:numFmt w:val="lowerLetter"/>
      <w:start w:val="1"/>
    </w:lvl>
  </w:abstractNum>
  <w:abstractNum w:abstractNumId="35">
    <w:nsid w:val="6A2342EC"/>
    <w:multiLevelType w:val="hybridMultilevel"/>
    <w:lvl w:ilvl="0">
      <w:lvlJc w:val="left"/>
      <w:lvlText w:val="3"/>
      <w:numFmt w:val="bullet"/>
      <w:start w:val="1"/>
    </w:lvl>
  </w:abstractNum>
  <w:abstractNum w:abstractNumId="36">
    <w:nsid w:val="2A487CB0"/>
    <w:multiLevelType w:val="hybridMultilevel"/>
    <w:lvl w:ilvl="0">
      <w:lvlJc w:val="left"/>
      <w:lvlText w:val="4"/>
      <w:numFmt w:val="bullet"/>
      <w:start w:val="1"/>
    </w:lvl>
  </w:abstractNum>
  <w:abstractNum w:abstractNumId="37">
    <w:nsid w:val="1D4ED43B"/>
    <w:multiLevelType w:val="hybridMultilevel"/>
    <w:lvl w:ilvl="0">
      <w:lvlJc w:val="left"/>
      <w:lvlText w:val="5"/>
      <w:numFmt w:val="bullet"/>
      <w:start w:val="1"/>
    </w:lvl>
  </w:abstractNum>
  <w:abstractNum w:abstractNumId="38">
    <w:nsid w:val="725A06FB"/>
    <w:multiLevelType w:val="hybridMultilevel"/>
    <w:lvl w:ilvl="0">
      <w:lvlJc w:val="left"/>
      <w:lvlText w:val="6"/>
      <w:numFmt w:val="bullet"/>
      <w:start w:val="1"/>
    </w:lvl>
  </w:abstractNum>
  <w:abstractNum w:abstractNumId="39">
    <w:nsid w:val="2CD89A32"/>
    <w:multiLevelType w:val="hybridMultilevel"/>
    <w:lvl w:ilvl="0">
      <w:lvlJc w:val="left"/>
      <w:lvlText w:val="%1"/>
      <w:numFmt w:val="decimal"/>
      <w:start w:val="10"/>
    </w:lvl>
  </w:abstractNum>
  <w:abstractNum w:abstractNumId="40">
    <w:nsid w:val="57E4CCAF"/>
    <w:multiLevelType w:val="hybridMultilevel"/>
    <w:lvl w:ilvl="0">
      <w:lvlJc w:val="left"/>
      <w:lvlText w:val="%1"/>
      <w:numFmt w:val="decimal"/>
      <w:start w:val="1"/>
    </w:lvl>
    <w:lvl w:ilvl="1">
      <w:lvlJc w:val="left"/>
      <w:lvlText w:val="%2"/>
      <w:numFmt w:val="decimal"/>
      <w:start w:val="11"/>
    </w:lvl>
  </w:abstractNum>
  <w:abstractNum w:abstractNumId="41">
    <w:nsid w:val="7A6D8D3C"/>
    <w:multiLevelType w:val="hybridMultilevel"/>
    <w:lvl w:ilvl="0">
      <w:lvlJc w:val="left"/>
      <w:lvlText w:val="(%1)"/>
      <w:numFmt w:val="decimal"/>
      <w:start w:val="1"/>
    </w:lvl>
    <w:lvl w:ilvl="1">
      <w:lvlJc w:val="left"/>
      <w:lvlText w:val="%2"/>
      <w:numFmt w:val="decimal"/>
      <w:start w:val="1"/>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bullet"/>
      <w:start w:val="1"/>
    </w:lvl>
  </w:abstractNum>
  <w:abstractNum w:abstractNumId="46">
    <w:nsid w:val="7644A45C"/>
    <w:multiLevelType w:val="hybridMultilevel"/>
    <w:lvl w:ilvl="0">
      <w:lvlJc w:val="left"/>
      <w:lvlText w:val="2"/>
      <w:numFmt w:val="bullet"/>
      <w:start w:val="1"/>
    </w:lvl>
  </w:abstractNum>
  <w:abstractNum w:abstractNumId="47">
    <w:nsid w:val="32FFF902"/>
    <w:multiLevelType w:val="hybridMultilevel"/>
    <w:lvl w:ilvl="0">
      <w:lvlJc w:val="left"/>
      <w:lvlText w:val="1"/>
      <w:numFmt w:val="bullet"/>
      <w:start w:val="1"/>
    </w:lvl>
  </w:abstractNum>
  <w:abstractNum w:abstractNumId="48">
    <w:nsid w:val="684A481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15" Type="http://schemas.openxmlformats.org/officeDocument/2006/relationships/hyperlink" Target="http://www.sec.gov/Archives/edgar/data/1818331/000181833122000010/exhibit101-formofsubscript.htm" TargetMode="External"/><Relationship Id="rId116" Type="http://schemas.openxmlformats.org/officeDocument/2006/relationships/hyperlink" Target="http://www.sec.gov/Archives/edgar/data/1818331/000181833122000010/exhibit103-formofstock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2022-01-19T15:29:25Z</dcterms:created>
  <dcterms:modified xsi:type="dcterms:W3CDTF">2022-01-19T15:29:25Z</dcterms:modified>
</cp:coreProperties>
</file>