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389255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SECURITIES AND EXCHANGE COMMISSION</w:t>
      </w:r>
    </w:p>
    <w:p>
      <w:pPr>
        <w:spacing w:after="0" w:line="2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SCHEDULE 13D/A</w:t>
      </w:r>
    </w:p>
    <w:p>
      <w:pPr>
        <w:spacing w:after="0" w:line="21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3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(Amendment No. 9*)</w:t>
      </w:r>
    </w:p>
    <w:p>
      <w:pPr>
        <w:spacing w:after="0" w:line="17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GeneDx Holdings,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1685290</wp:posOffset>
            </wp:positionH>
            <wp:positionV relativeFrom="paragraph">
              <wp:posOffset>27940</wp:posOffset>
            </wp:positionV>
            <wp:extent cx="37719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771900" cy="8255"/>
                    </a:xfrm>
                    <a:prstGeom prst="rect">
                      <a:avLst/>
                    </a:prstGeom>
                    <a:noFill/>
                  </pic:spPr>
                </pic:pic>
              </a:graphicData>
            </a:graphic>
          </wp:anchor>
        </w:drawing>
      </w:r>
    </w:p>
    <w:p>
      <w:pPr>
        <w:spacing w:after="0" w:line="3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u w:val="single" w:color="auto"/>
          <w:color w:val="auto"/>
        </w:rPr>
        <w:t>Class A Common Stock, par value $0.0001 per share</w:t>
      </w:r>
    </w:p>
    <w:p>
      <w:pPr>
        <w:spacing w:after="0" w:line="3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(Title of Class of Securities)</w:t>
      </w:r>
    </w:p>
    <w:p>
      <w:pPr>
        <w:spacing w:after="0" w:line="21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81663L200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19685</wp:posOffset>
            </wp:positionV>
            <wp:extent cx="10629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1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(CUSIP Number)</w:t>
      </w:r>
    </w:p>
    <w:p>
      <w:pPr>
        <w:spacing w:after="0" w:line="21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Steven D. Rubin</w:t>
      </w:r>
    </w:p>
    <w:p>
      <w:pPr>
        <w:spacing w:after="0" w:line="3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Executive Vice President - Administration</w:t>
      </w:r>
    </w:p>
    <w:p>
      <w:pPr>
        <w:spacing w:after="0" w:line="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OPKO Health, Inc.</w:t>
      </w:r>
    </w:p>
    <w:p>
      <w:pPr>
        <w:spacing w:after="0" w:line="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4400 Biscayne Boulevard</w:t>
      </w:r>
    </w:p>
    <w:p>
      <w:pPr>
        <w:spacing w:after="0" w:line="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Miami, Florida 33137</w:t>
      </w:r>
    </w:p>
    <w:p>
      <w:pPr>
        <w:spacing w:after="0" w:line="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Telephone: (305) 575-4100</w:t>
      </w:r>
    </w:p>
    <w:p>
      <w:pPr>
        <w:spacing w:after="0" w:line="21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(Name, address and telephone number of person authorized to receive notices and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1290955</wp:posOffset>
            </wp:positionH>
            <wp:positionV relativeFrom="paragraph">
              <wp:posOffset>-125095</wp:posOffset>
            </wp:positionV>
            <wp:extent cx="45605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560570" cy="8890"/>
                    </a:xfrm>
                    <a:prstGeom prst="rect">
                      <a:avLst/>
                    </a:prstGeom>
                    <a:noFill/>
                  </pic:spPr>
                </pic:pic>
              </a:graphicData>
            </a:graphic>
          </wp:anchor>
        </w:drawing>
      </w:r>
    </w:p>
    <w:p>
      <w:pPr>
        <w:spacing w:after="0" w:line="1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communications)</w:t>
      </w:r>
    </w:p>
    <w:p>
      <w:pPr>
        <w:spacing w:after="0" w:line="200" w:lineRule="exact"/>
        <w:rPr>
          <w:sz w:val="24"/>
          <w:szCs w:val="24"/>
          <w:color w:val="auto"/>
        </w:rPr>
      </w:pPr>
    </w:p>
    <w:p>
      <w:pPr>
        <w:spacing w:after="0" w:line="219" w:lineRule="exact"/>
        <w:rPr>
          <w:sz w:val="24"/>
          <w:szCs w:val="24"/>
          <w:color w:val="auto"/>
        </w:rPr>
      </w:pPr>
    </w:p>
    <w:p>
      <w:pPr>
        <w:ind w:left="4880"/>
        <w:spacing w:after="0"/>
        <w:rPr>
          <w:sz w:val="20"/>
          <w:szCs w:val="20"/>
          <w:color w:val="auto"/>
        </w:rPr>
      </w:pPr>
      <w:r>
        <w:rPr>
          <w:rFonts w:ascii="Times New Roman" w:cs="Times New Roman" w:eastAsia="Times New Roman" w:hAnsi="Times New Roman"/>
          <w:sz w:val="18"/>
          <w:szCs w:val="18"/>
          <w:b w:val="1"/>
          <w:bCs w:val="1"/>
          <w:color w:val="auto"/>
        </w:rPr>
        <w:t>November 18,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2293620</wp:posOffset>
            </wp:positionH>
            <wp:positionV relativeFrom="paragraph">
              <wp:posOffset>19685</wp:posOffset>
            </wp:positionV>
            <wp:extent cx="25628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1"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(Date of event which requires filing of this</w:t>
      </w:r>
    </w:p>
    <w:p>
      <w:pPr>
        <w:spacing w:after="0" w:line="2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statement)</w:t>
      </w:r>
    </w:p>
    <w:p>
      <w:pPr>
        <w:spacing w:after="0" w:line="207" w:lineRule="exact"/>
        <w:rPr>
          <w:sz w:val="24"/>
          <w:szCs w:val="24"/>
          <w:color w:val="auto"/>
        </w:rPr>
      </w:pPr>
    </w:p>
    <w:p>
      <w:pPr>
        <w:ind w:right="180"/>
        <w:spacing w:after="0" w:line="239"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which is the subject of this Schedule 13D, and is filing this schedule because of Rule 13d-1(e), Rule 13d-1(f) or Rule 13d-1(g), check the following box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p>
      <w:pPr>
        <w:spacing w:after="0" w:line="166" w:lineRule="exact"/>
        <w:rPr>
          <w:sz w:val="24"/>
          <w:szCs w:val="24"/>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Note: </w:t>
      </w:r>
      <w:r>
        <w:rPr>
          <w:rFonts w:ascii="Times New Roman" w:cs="Times New Roman" w:eastAsia="Times New Roman" w:hAnsi="Times New Roman"/>
          <w:sz w:val="18"/>
          <w:szCs w:val="18"/>
          <w:color w:val="auto"/>
        </w:rPr>
        <w:t>Schedules filed in paper format shall include a signed original and five copies of the schedule, including all exhibits. See Rule 13d-7(b) for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parties to whom copies are to be sent.</w:t>
      </w:r>
    </w:p>
    <w:p>
      <w:pPr>
        <w:spacing w:after="0" w:line="159" w:lineRule="exact"/>
        <w:rPr>
          <w:sz w:val="24"/>
          <w:szCs w:val="24"/>
          <w:color w:val="auto"/>
        </w:rPr>
      </w:pPr>
    </w:p>
    <w:p>
      <w:pPr>
        <w:ind w:left="460" w:right="200" w:hanging="452"/>
        <w:spacing w:after="0" w:line="282" w:lineRule="auto"/>
        <w:tabs>
          <w:tab w:leader="none" w:pos="4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purpose of Section 18 of the Securities Exchange Act of 1934 (“</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xml:space="preserve">”) or otherwise subject to the liabilities of that section of the Act but shall be subject to all other provisions of the Act (however, see the </w:t>
      </w:r>
      <w:r>
        <w:rPr>
          <w:rFonts w:ascii="Times New Roman" w:cs="Times New Roman" w:eastAsia="Times New Roman" w:hAnsi="Times New Roman"/>
          <w:sz w:val="18"/>
          <w:szCs w:val="18"/>
          <w:i w:val="1"/>
          <w:iCs w:val="1"/>
          <w:color w:val="auto"/>
        </w:rPr>
        <w:t>Notes</w:t>
      </w:r>
      <w:r>
        <w:rPr>
          <w:rFonts w:ascii="Times New Roman" w:cs="Times New Roman" w:eastAsia="Times New Roman" w:hAnsi="Times New Roman"/>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611505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891" w:right="399" w:bottom="1440" w:gutter="0" w:footer="0" w:header="0"/>
        </w:sectPr>
      </w:pPr>
    </w:p>
    <w:bookmarkStart w:id="1" w:name="page2"/>
    <w:bookmarkEnd w:id="1"/>
    <w:p>
      <w:pPr>
        <w:spacing w:after="0"/>
        <w:tabs>
          <w:tab w:leader="none" w:pos="5100" w:val="left"/>
          <w:tab w:leader="none" w:pos="10300" w:val="left"/>
        </w:tabs>
        <w:rPr>
          <w:sz w:val="20"/>
          <w:szCs w:val="20"/>
          <w:color w:val="auto"/>
        </w:rPr>
      </w:pPr>
      <w:r>
        <w:rPr>
          <w:rFonts w:ascii="Times New Roman" w:cs="Times New Roman" w:eastAsia="Times New Roman" w:hAnsi="Times New Roman"/>
          <w:sz w:val="18"/>
          <w:szCs w:val="18"/>
          <w:color w:val="auto"/>
        </w:rPr>
        <w:t>CUSIP No. 81663L200</w:t>
      </w:r>
      <w:r>
        <w:rPr>
          <w:sz w:val="20"/>
          <w:szCs w:val="20"/>
          <w:color w:val="auto"/>
        </w:rPr>
        <w:tab/>
      </w:r>
      <w:r>
        <w:rPr>
          <w:rFonts w:ascii="Times New Roman" w:cs="Times New Roman" w:eastAsia="Times New Roman" w:hAnsi="Times New Roman"/>
          <w:sz w:val="18"/>
          <w:szCs w:val="18"/>
          <w:color w:val="auto"/>
        </w:rPr>
        <w:t>Schedule 13D</w:t>
      </w:r>
      <w:r>
        <w:rPr>
          <w:sz w:val="20"/>
          <w:szCs w:val="20"/>
          <w:color w:val="auto"/>
        </w:rPr>
        <w:tab/>
      </w:r>
      <w:r>
        <w:rPr>
          <w:rFonts w:ascii="Times New Roman" w:cs="Times New Roman" w:eastAsia="Times New Roman" w:hAnsi="Times New Roman"/>
          <w:sz w:val="17"/>
          <w:szCs w:val="17"/>
          <w:color w:val="auto"/>
        </w:rPr>
        <w:t>PAGE 2 of 5</w:t>
      </w:r>
    </w:p>
    <w:p>
      <w:pPr>
        <w:spacing w:after="0" w:line="200" w:lineRule="exact"/>
        <w:rPr>
          <w:sz w:val="20"/>
          <w:szCs w:val="20"/>
          <w:color w:val="auto"/>
        </w:rPr>
      </w:pPr>
    </w:p>
    <w:p>
      <w:pPr>
        <w:spacing w:after="0" w:line="255" w:lineRule="exact"/>
        <w:rPr>
          <w:sz w:val="20"/>
          <w:szCs w:val="20"/>
          <w:color w:val="auto"/>
        </w:rPr>
      </w:pPr>
    </w:p>
    <w:p>
      <w:pPr>
        <w:ind w:left="700" w:hanging="553"/>
        <w:spacing w:after="0"/>
        <w:tabs>
          <w:tab w:leader="none" w:pos="70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NAME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-129540</wp:posOffset>
            </wp:positionV>
            <wp:extent cx="7134225" cy="56172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4225" cy="5617210"/>
                    </a:xfrm>
                    <a:prstGeom prst="rect">
                      <a:avLst/>
                    </a:prstGeom>
                    <a:noFill/>
                  </pic:spPr>
                </pic:pic>
              </a:graphicData>
            </a:graphic>
          </wp:anchor>
        </w:drawing>
      </w:r>
    </w:p>
    <w:p>
      <w:pPr>
        <w:spacing w:after="0" w:line="20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OPKO Health, Inc.</w:t>
      </w:r>
    </w:p>
    <w:p>
      <w:pPr>
        <w:spacing w:after="0" w:line="27" w:lineRule="exact"/>
        <w:rPr>
          <w:sz w:val="20"/>
          <w:szCs w:val="20"/>
          <w:color w:val="auto"/>
        </w:rPr>
      </w:pPr>
    </w:p>
    <w:p>
      <w:pPr>
        <w:ind w:left="700" w:hanging="553"/>
        <w:spacing w:after="0"/>
        <w:tabs>
          <w:tab w:leader="none" w:pos="70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CHECK THE APPROPRIATE BOX IF A MEMBER OF A GROUP</w:t>
      </w:r>
    </w:p>
    <w:p>
      <w:pPr>
        <w:spacing w:after="0" w:line="180" w:lineRule="exact"/>
        <w:rPr>
          <w:sz w:val="20"/>
          <w:szCs w:val="20"/>
          <w:color w:val="auto"/>
        </w:rPr>
      </w:pPr>
    </w:p>
    <w:p>
      <w:pPr>
        <w:ind w:left="700"/>
        <w:spacing w:after="0" w:line="207" w:lineRule="exact"/>
        <w:tabs>
          <w:tab w:leader="none" w:pos="1500"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83" w:lineRule="exact"/>
        <w:rPr>
          <w:sz w:val="20"/>
          <w:szCs w:val="20"/>
          <w:color w:val="auto"/>
        </w:rPr>
      </w:pPr>
    </w:p>
    <w:p>
      <w:pPr>
        <w:ind w:left="700" w:hanging="553"/>
        <w:spacing w:after="0"/>
        <w:tabs>
          <w:tab w:leader="none" w:pos="70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 USE ONLY</w:t>
      </w:r>
    </w:p>
    <w:p>
      <w:pPr>
        <w:spacing w:after="0" w:line="219" w:lineRule="exact"/>
        <w:rPr>
          <w:sz w:val="20"/>
          <w:szCs w:val="20"/>
          <w:color w:val="auto"/>
        </w:rPr>
      </w:pPr>
    </w:p>
    <w:p>
      <w:pPr>
        <w:ind w:left="700" w:hanging="553"/>
        <w:spacing w:after="0"/>
        <w:tabs>
          <w:tab w:leader="none" w:pos="70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SOURCE OF FUNDS</w:t>
      </w:r>
    </w:p>
    <w:p>
      <w:pPr>
        <w:spacing w:after="0" w:line="22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OO</w:t>
      </w:r>
    </w:p>
    <w:p>
      <w:pPr>
        <w:spacing w:after="0" w:line="27" w:lineRule="exact"/>
        <w:rPr>
          <w:sz w:val="20"/>
          <w:szCs w:val="20"/>
          <w:color w:val="auto"/>
        </w:rPr>
      </w:pPr>
    </w:p>
    <w:p>
      <w:pPr>
        <w:ind w:left="700" w:hanging="553"/>
        <w:spacing w:after="0" w:line="207" w:lineRule="exact"/>
        <w:tabs>
          <w:tab w:leader="none" w:pos="70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CHECK BOX IF DISCLOSURE OF LEGAL PROCEEDINGS IS REQUIRED PURSUANT TO ITEM 2(d) or 2(e) </w:t>
      </w:r>
      <w:r>
        <w:rPr>
          <w:rFonts w:ascii="MS PGothic" w:cs="MS PGothic" w:eastAsia="MS PGothic" w:hAnsi="MS PGothic"/>
          <w:sz w:val="18"/>
          <w:szCs w:val="18"/>
          <w:color w:val="auto"/>
        </w:rPr>
        <w:t>☒</w:t>
      </w:r>
    </w:p>
    <w:p>
      <w:pPr>
        <w:spacing w:after="0" w:line="234" w:lineRule="exact"/>
        <w:rPr>
          <w:sz w:val="20"/>
          <w:szCs w:val="20"/>
          <w:color w:val="auto"/>
        </w:rPr>
      </w:pPr>
    </w:p>
    <w:p>
      <w:pPr>
        <w:ind w:left="700" w:hanging="553"/>
        <w:spacing w:after="0"/>
        <w:tabs>
          <w:tab w:leader="none" w:pos="70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CITIZENSHIP OR PLACE OF ORGANIZATION</w:t>
      </w:r>
    </w:p>
    <w:p>
      <w:pPr>
        <w:spacing w:after="0" w:line="225" w:lineRule="exact"/>
        <w:rPr>
          <w:rFonts w:ascii="Times New Roman" w:cs="Times New Roman" w:eastAsia="Times New Roman" w:hAnsi="Times New Roman"/>
          <w:sz w:val="18"/>
          <w:szCs w:val="18"/>
          <w:b w:val="1"/>
          <w:bCs w:val="1"/>
          <w:color w:val="auto"/>
        </w:rPr>
      </w:pPr>
    </w:p>
    <w:p>
      <w:pPr>
        <w:ind w:left="7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Delaware</w:t>
      </w:r>
    </w:p>
    <w:p>
      <w:pPr>
        <w:spacing w:after="0" w:line="27" w:lineRule="exact"/>
        <w:rPr>
          <w:rFonts w:ascii="Times New Roman" w:cs="Times New Roman" w:eastAsia="Times New Roman" w:hAnsi="Times New Roman"/>
          <w:sz w:val="18"/>
          <w:szCs w:val="18"/>
          <w:b w:val="1"/>
          <w:bCs w:val="1"/>
          <w:color w:val="auto"/>
        </w:rPr>
      </w:pPr>
    </w:p>
    <w:p>
      <w:pPr>
        <w:ind w:left="18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7</w:t>
      </w:r>
      <w:r>
        <w:rPr>
          <w:rFonts w:ascii="Times New Roman" w:cs="Times New Roman" w:eastAsia="Times New Roman" w:hAnsi="Times New Roman"/>
          <w:sz w:val="17"/>
          <w:szCs w:val="17"/>
          <w:color w:val="auto"/>
        </w:rPr>
        <w:t>SOLE VOTING POWER</w:t>
      </w:r>
    </w:p>
    <w:p>
      <w:pPr>
        <w:spacing w:after="0" w:line="220" w:lineRule="exact"/>
        <w:rPr>
          <w:sz w:val="20"/>
          <w:szCs w:val="20"/>
          <w:color w:val="auto"/>
        </w:rPr>
      </w:pPr>
    </w:p>
    <w:tbl>
      <w:tblPr>
        <w:tblLayout w:type="fixed"/>
        <w:tblInd w:w="220" w:type="dxa"/>
        <w:tblCellMar>
          <w:top w:w="0" w:type="dxa"/>
          <w:left w:w="0" w:type="dxa"/>
          <w:bottom w:w="0" w:type="dxa"/>
          <w:right w:w="0" w:type="dxa"/>
        </w:tblCellMar>
      </w:tblPr>
      <w:tr>
        <w:trPr>
          <w:trHeight w:val="234"/>
        </w:trPr>
        <w:tc>
          <w:tcPr>
            <w:tcW w:w="14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NUMBER OF</w:t>
            </w:r>
          </w:p>
        </w:tc>
        <w:tc>
          <w:tcPr>
            <w:tcW w:w="580" w:type="dxa"/>
            <w:vAlign w:val="bottom"/>
            <w:tcBorders>
              <w:bottom w:val="single" w:sz="8" w:color="auto"/>
            </w:tcBorders>
          </w:tcPr>
          <w:p>
            <w:pPr>
              <w:spacing w:after="0"/>
              <w:rPr>
                <w:sz w:val="20"/>
                <w:szCs w:val="20"/>
                <w:color w:val="auto"/>
              </w:rPr>
            </w:pPr>
          </w:p>
        </w:tc>
        <w:tc>
          <w:tcPr>
            <w:tcW w:w="8980" w:type="dxa"/>
            <w:vAlign w:val="bottom"/>
            <w:tcBorders>
              <w:bottom w:val="single" w:sz="8" w:color="auto"/>
            </w:tcBorders>
          </w:tcPr>
          <w:p>
            <w:pPr>
              <w:jc w:val="right"/>
              <w:ind w:right="7190"/>
              <w:spacing w:after="0"/>
              <w:rPr>
                <w:sz w:val="20"/>
                <w:szCs w:val="20"/>
                <w:color w:val="auto"/>
              </w:rPr>
            </w:pPr>
            <w:r>
              <w:rPr>
                <w:rFonts w:ascii="Times New Roman" w:cs="Times New Roman" w:eastAsia="Times New Roman" w:hAnsi="Times New Roman"/>
                <w:sz w:val="18"/>
                <w:szCs w:val="18"/>
                <w:color w:val="auto"/>
              </w:rPr>
              <w:t>1,370,841</w:t>
            </w:r>
          </w:p>
        </w:tc>
      </w:tr>
      <w:tr>
        <w:trPr>
          <w:trHeight w:val="191"/>
        </w:trPr>
        <w:tc>
          <w:tcPr>
            <w:tcW w:w="1460" w:type="dxa"/>
            <w:vAlign w:val="bottom"/>
          </w:tcPr>
          <w:p>
            <w:pPr>
              <w:jc w:val="center"/>
              <w:ind w:right="110"/>
              <w:spacing w:after="0" w:line="191" w:lineRule="exact"/>
              <w:rPr>
                <w:sz w:val="20"/>
                <w:szCs w:val="20"/>
                <w:color w:val="auto"/>
              </w:rPr>
            </w:pPr>
            <w:r>
              <w:rPr>
                <w:rFonts w:ascii="Times New Roman" w:cs="Times New Roman" w:eastAsia="Times New Roman" w:hAnsi="Times New Roman"/>
                <w:sz w:val="18"/>
                <w:szCs w:val="18"/>
                <w:color w:val="auto"/>
              </w:rPr>
              <w:t>SHARES</w:t>
            </w:r>
          </w:p>
        </w:tc>
        <w:tc>
          <w:tcPr>
            <w:tcW w:w="580" w:type="dxa"/>
            <w:vAlign w:val="bottom"/>
          </w:tcPr>
          <w:p>
            <w:pPr>
              <w:ind w:left="140"/>
              <w:spacing w:after="0" w:line="191" w:lineRule="exact"/>
              <w:rPr>
                <w:sz w:val="20"/>
                <w:szCs w:val="20"/>
                <w:color w:val="auto"/>
              </w:rPr>
            </w:pPr>
            <w:r>
              <w:rPr>
                <w:rFonts w:ascii="Times New Roman" w:cs="Times New Roman" w:eastAsia="Times New Roman" w:hAnsi="Times New Roman"/>
                <w:sz w:val="18"/>
                <w:szCs w:val="18"/>
                <w:b w:val="1"/>
                <w:bCs w:val="1"/>
                <w:color w:val="auto"/>
              </w:rPr>
              <w:t>8</w:t>
            </w:r>
          </w:p>
        </w:tc>
        <w:tc>
          <w:tcPr>
            <w:tcW w:w="8980" w:type="dxa"/>
            <w:vAlign w:val="bottom"/>
          </w:tcPr>
          <w:p>
            <w:pPr>
              <w:ind w:left="260"/>
              <w:spacing w:after="0" w:line="191" w:lineRule="exact"/>
              <w:rPr>
                <w:sz w:val="20"/>
                <w:szCs w:val="20"/>
                <w:color w:val="auto"/>
              </w:rPr>
            </w:pPr>
            <w:r>
              <w:rPr>
                <w:rFonts w:ascii="Times New Roman" w:cs="Times New Roman" w:eastAsia="Times New Roman" w:hAnsi="Times New Roman"/>
                <w:sz w:val="18"/>
                <w:szCs w:val="18"/>
                <w:color w:val="auto"/>
              </w:rPr>
              <w:t>SHARED VOTING POWER</w:t>
            </w:r>
          </w:p>
        </w:tc>
      </w:tr>
      <w:tr>
        <w:trPr>
          <w:trHeight w:val="216"/>
        </w:trPr>
        <w:tc>
          <w:tcPr>
            <w:tcW w:w="14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7"/>
              </w:rPr>
              <w:t>BENEFICIALLY</w:t>
            </w:r>
          </w:p>
        </w:tc>
        <w:tc>
          <w:tcPr>
            <w:tcW w:w="580" w:type="dxa"/>
            <w:vAlign w:val="bottom"/>
          </w:tcPr>
          <w:p>
            <w:pPr>
              <w:spacing w:after="0"/>
              <w:rPr>
                <w:sz w:val="18"/>
                <w:szCs w:val="18"/>
                <w:color w:val="auto"/>
              </w:rPr>
            </w:pPr>
          </w:p>
        </w:tc>
        <w:tc>
          <w:tcPr>
            <w:tcW w:w="8980" w:type="dxa"/>
            <w:vAlign w:val="bottom"/>
          </w:tcPr>
          <w:p>
            <w:pPr>
              <w:spacing w:after="0"/>
              <w:rPr>
                <w:sz w:val="18"/>
                <w:szCs w:val="18"/>
                <w:color w:val="auto"/>
              </w:rPr>
            </w:pPr>
          </w:p>
        </w:tc>
      </w:tr>
      <w:tr>
        <w:trPr>
          <w:trHeight w:val="234"/>
        </w:trPr>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580" w:type="dxa"/>
            <w:vAlign w:val="bottom"/>
            <w:tcBorders>
              <w:bottom w:val="single" w:sz="8" w:color="auto"/>
            </w:tcBorders>
          </w:tcPr>
          <w:p>
            <w:pPr>
              <w:spacing w:after="0"/>
              <w:rPr>
                <w:sz w:val="20"/>
                <w:szCs w:val="20"/>
                <w:color w:val="auto"/>
              </w:rPr>
            </w:pPr>
          </w:p>
        </w:tc>
        <w:tc>
          <w:tcPr>
            <w:tcW w:w="8980" w:type="dxa"/>
            <w:vAlign w:val="bottom"/>
            <w:tcBorders>
              <w:bottom w:val="single" w:sz="8" w:color="auto"/>
            </w:tcBorders>
          </w:tcPr>
          <w:p>
            <w:pPr>
              <w:jc w:val="right"/>
              <w:ind w:right="7190"/>
              <w:spacing w:after="0"/>
              <w:rPr>
                <w:sz w:val="20"/>
                <w:szCs w:val="20"/>
                <w:color w:val="auto"/>
              </w:rPr>
            </w:pPr>
            <w:r>
              <w:rPr>
                <w:rFonts w:ascii="Times New Roman" w:cs="Times New Roman" w:eastAsia="Times New Roman" w:hAnsi="Times New Roman"/>
                <w:sz w:val="18"/>
                <w:szCs w:val="18"/>
                <w:color w:val="auto"/>
              </w:rPr>
              <w:t>-</w:t>
            </w:r>
          </w:p>
        </w:tc>
      </w:tr>
      <w:tr>
        <w:trPr>
          <w:trHeight w:val="191"/>
        </w:trPr>
        <w:tc>
          <w:tcPr>
            <w:tcW w:w="146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7"/>
              </w:rPr>
              <w:t>EACH</w:t>
            </w:r>
          </w:p>
        </w:tc>
        <w:tc>
          <w:tcPr>
            <w:tcW w:w="580" w:type="dxa"/>
            <w:vAlign w:val="bottom"/>
          </w:tcPr>
          <w:p>
            <w:pPr>
              <w:ind w:left="140"/>
              <w:spacing w:after="0" w:line="191" w:lineRule="exact"/>
              <w:rPr>
                <w:sz w:val="20"/>
                <w:szCs w:val="20"/>
                <w:color w:val="auto"/>
              </w:rPr>
            </w:pPr>
            <w:r>
              <w:rPr>
                <w:rFonts w:ascii="Times New Roman" w:cs="Times New Roman" w:eastAsia="Times New Roman" w:hAnsi="Times New Roman"/>
                <w:sz w:val="18"/>
                <w:szCs w:val="18"/>
                <w:b w:val="1"/>
                <w:bCs w:val="1"/>
                <w:color w:val="auto"/>
              </w:rPr>
              <w:t>9</w:t>
            </w:r>
          </w:p>
        </w:tc>
        <w:tc>
          <w:tcPr>
            <w:tcW w:w="8980" w:type="dxa"/>
            <w:vAlign w:val="bottom"/>
          </w:tcPr>
          <w:p>
            <w:pPr>
              <w:ind w:left="260"/>
              <w:spacing w:after="0" w:line="191" w:lineRule="exact"/>
              <w:rPr>
                <w:sz w:val="20"/>
                <w:szCs w:val="20"/>
                <w:color w:val="auto"/>
              </w:rPr>
            </w:pPr>
            <w:r>
              <w:rPr>
                <w:rFonts w:ascii="Times New Roman" w:cs="Times New Roman" w:eastAsia="Times New Roman" w:hAnsi="Times New Roman"/>
                <w:sz w:val="18"/>
                <w:szCs w:val="18"/>
                <w:color w:val="auto"/>
              </w:rPr>
              <w:t>SOLE DISPOSITIVE POWER</w:t>
            </w:r>
          </w:p>
        </w:tc>
      </w:tr>
      <w:tr>
        <w:trPr>
          <w:trHeight w:val="216"/>
        </w:trPr>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580" w:type="dxa"/>
            <w:vAlign w:val="bottom"/>
          </w:tcPr>
          <w:p>
            <w:pPr>
              <w:spacing w:after="0"/>
              <w:rPr>
                <w:sz w:val="18"/>
                <w:szCs w:val="18"/>
                <w:color w:val="auto"/>
              </w:rPr>
            </w:pPr>
          </w:p>
        </w:tc>
        <w:tc>
          <w:tcPr>
            <w:tcW w:w="8980" w:type="dxa"/>
            <w:vAlign w:val="bottom"/>
          </w:tcPr>
          <w:p>
            <w:pPr>
              <w:spacing w:after="0"/>
              <w:rPr>
                <w:sz w:val="18"/>
                <w:szCs w:val="18"/>
                <w:color w:val="auto"/>
              </w:rPr>
            </w:pPr>
          </w:p>
        </w:tc>
      </w:tr>
      <w:tr>
        <w:trPr>
          <w:trHeight w:val="216"/>
        </w:trPr>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580" w:type="dxa"/>
            <w:vAlign w:val="bottom"/>
          </w:tcPr>
          <w:p>
            <w:pPr>
              <w:spacing w:after="0"/>
              <w:rPr>
                <w:sz w:val="18"/>
                <w:szCs w:val="18"/>
                <w:color w:val="auto"/>
              </w:rPr>
            </w:pPr>
          </w:p>
        </w:tc>
        <w:tc>
          <w:tcPr>
            <w:tcW w:w="8980" w:type="dxa"/>
            <w:vAlign w:val="bottom"/>
          </w:tcPr>
          <w:p>
            <w:pPr>
              <w:spacing w:after="0"/>
              <w:rPr>
                <w:sz w:val="18"/>
                <w:szCs w:val="18"/>
                <w:color w:val="auto"/>
              </w:rPr>
            </w:pPr>
          </w:p>
        </w:tc>
      </w:tr>
      <w:tr>
        <w:trPr>
          <w:trHeight w:val="234"/>
        </w:trPr>
        <w:tc>
          <w:tcPr>
            <w:tcW w:w="14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7"/>
              </w:rPr>
              <w:t>WITH</w:t>
            </w:r>
          </w:p>
        </w:tc>
        <w:tc>
          <w:tcPr>
            <w:tcW w:w="580" w:type="dxa"/>
            <w:vAlign w:val="bottom"/>
            <w:tcBorders>
              <w:bottom w:val="single" w:sz="8" w:color="auto"/>
            </w:tcBorders>
          </w:tcPr>
          <w:p>
            <w:pPr>
              <w:spacing w:after="0"/>
              <w:rPr>
                <w:sz w:val="20"/>
                <w:szCs w:val="20"/>
                <w:color w:val="auto"/>
              </w:rPr>
            </w:pPr>
          </w:p>
        </w:tc>
        <w:tc>
          <w:tcPr>
            <w:tcW w:w="898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1,370,841 Shares</w:t>
            </w:r>
          </w:p>
        </w:tc>
      </w:tr>
      <w:tr>
        <w:trPr>
          <w:trHeight w:val="232"/>
        </w:trPr>
        <w:tc>
          <w:tcPr>
            <w:tcW w:w="1460" w:type="dxa"/>
            <w:vAlign w:val="bottom"/>
          </w:tcPr>
          <w:p>
            <w:pPr>
              <w:spacing w:after="0"/>
              <w:rPr>
                <w:sz w:val="20"/>
                <w:szCs w:val="20"/>
                <w:color w:val="auto"/>
              </w:rPr>
            </w:pPr>
          </w:p>
        </w:tc>
        <w:tc>
          <w:tcPr>
            <w:tcW w:w="5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10</w:t>
            </w:r>
          </w:p>
        </w:tc>
        <w:tc>
          <w:tcPr>
            <w:tcW w:w="89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SHARED DISPOSITIVE POWER</w:t>
            </w:r>
          </w:p>
        </w:tc>
      </w:tr>
    </w:tbl>
    <w:p>
      <w:pPr>
        <w:spacing w:after="0" w:line="17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720" w:hanging="573"/>
        <w:spacing w:after="0"/>
        <w:tabs>
          <w:tab w:leader="none" w:pos="72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AGGREGATE AMOUNT BENEFICIALLY OWNED BY EACH REPORTING PERSON</w:t>
      </w:r>
    </w:p>
    <w:p>
      <w:pPr>
        <w:spacing w:after="0" w:line="22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1,370,841 Shares</w:t>
      </w:r>
    </w:p>
    <w:p>
      <w:pPr>
        <w:spacing w:after="0" w:line="27" w:lineRule="exact"/>
        <w:rPr>
          <w:sz w:val="20"/>
          <w:szCs w:val="20"/>
          <w:color w:val="auto"/>
        </w:rPr>
      </w:pPr>
    </w:p>
    <w:p>
      <w:pPr>
        <w:ind w:left="720" w:hanging="573"/>
        <w:spacing w:after="0" w:line="207" w:lineRule="exact"/>
        <w:tabs>
          <w:tab w:leader="none" w:pos="720" w:val="left"/>
        </w:tabs>
        <w:numPr>
          <w:ilvl w:val="1"/>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CHECK BOX IF THE AGGREGATE AMOUNT IN ROW (11) EXCLUDES CERTAIN SHARES (See Instructions) </w:t>
      </w:r>
      <w:r>
        <w:rPr>
          <w:rFonts w:ascii="MS PGothic" w:cs="MS PGothic" w:eastAsia="MS PGothic" w:hAnsi="MS PGothic"/>
          <w:sz w:val="18"/>
          <w:szCs w:val="18"/>
          <w:color w:val="auto"/>
        </w:rPr>
        <w:t>☐</w:t>
      </w:r>
    </w:p>
    <w:p>
      <w:pPr>
        <w:spacing w:after="0" w:line="233" w:lineRule="exact"/>
        <w:rPr>
          <w:rFonts w:ascii="Times New Roman" w:cs="Times New Roman" w:eastAsia="Times New Roman" w:hAnsi="Times New Roman"/>
          <w:sz w:val="18"/>
          <w:szCs w:val="18"/>
          <w:b w:val="1"/>
          <w:bCs w:val="1"/>
          <w:color w:val="auto"/>
        </w:rPr>
      </w:pPr>
    </w:p>
    <w:p>
      <w:pPr>
        <w:ind w:left="720" w:hanging="573"/>
        <w:spacing w:after="0"/>
        <w:tabs>
          <w:tab w:leader="none" w:pos="720" w:val="left"/>
        </w:tabs>
        <w:numPr>
          <w:ilvl w:val="1"/>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PERCENT OF CLASS REPRESENTED BY AMOUNT IN ROW (11)</w:t>
      </w:r>
    </w:p>
    <w:p>
      <w:pPr>
        <w:spacing w:after="0" w:line="141" w:lineRule="exact"/>
        <w:rPr>
          <w:rFonts w:ascii="Times New Roman" w:cs="Times New Roman" w:eastAsia="Times New Roman" w:hAnsi="Times New Roman"/>
          <w:sz w:val="18"/>
          <w:szCs w:val="18"/>
          <w:b w:val="1"/>
          <w:bCs w:val="1"/>
          <w:color w:val="auto"/>
        </w:rPr>
      </w:pPr>
    </w:p>
    <w:p>
      <w:pPr>
        <w:ind w:left="7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4.99%</w:t>
      </w:r>
      <w:r>
        <w:rPr>
          <w:rFonts w:ascii="Times New Roman" w:cs="Times New Roman" w:eastAsia="Times New Roman" w:hAnsi="Times New Roman"/>
          <w:sz w:val="29"/>
          <w:szCs w:val="29"/>
          <w:color w:val="auto"/>
          <w:vertAlign w:val="superscript"/>
        </w:rPr>
        <w:t>(1)</w:t>
      </w:r>
    </w:p>
    <w:p>
      <w:pPr>
        <w:ind w:left="720" w:right="8020" w:hanging="573"/>
        <w:spacing w:after="0" w:line="497" w:lineRule="auto"/>
        <w:tabs>
          <w:tab w:leader="none" w:pos="720" w:val="left"/>
        </w:tabs>
        <w:numPr>
          <w:ilvl w:val="1"/>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TYPE OF REPORTING PERSON CO</w:t>
      </w:r>
    </w:p>
    <w:p>
      <w:pPr>
        <w:ind w:left="340" w:right="20" w:hanging="332"/>
        <w:spacing w:after="0" w:line="195" w:lineRule="auto"/>
        <w:tabs>
          <w:tab w:leader="none" w:pos="340" w:val="left"/>
        </w:tabs>
        <w:numPr>
          <w:ilvl w:val="0"/>
          <w:numId w:val="1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Based on 27,471,397 shares of GeneDx Common Stock of the Issuer outstanding on October 22, 2024, as set forth in the Issuer’s Form 10-Q filed with the SEC on October 29,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361315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 w:name="page3"/>
    <w:bookmarkEnd w:id="2"/>
    <w:p>
      <w:pPr>
        <w:spacing w:after="0"/>
        <w:tabs>
          <w:tab w:leader="none" w:pos="5100" w:val="left"/>
          <w:tab w:leader="none" w:pos="10300" w:val="left"/>
        </w:tabs>
        <w:rPr>
          <w:sz w:val="20"/>
          <w:szCs w:val="20"/>
          <w:color w:val="auto"/>
        </w:rPr>
      </w:pPr>
      <w:r>
        <w:rPr>
          <w:rFonts w:ascii="Times New Roman" w:cs="Times New Roman" w:eastAsia="Times New Roman" w:hAnsi="Times New Roman"/>
          <w:sz w:val="18"/>
          <w:szCs w:val="18"/>
          <w:color w:val="auto"/>
        </w:rPr>
        <w:t>CUSIP No. 81663L200</w:t>
      </w:r>
      <w:r>
        <w:rPr>
          <w:sz w:val="20"/>
          <w:szCs w:val="20"/>
          <w:color w:val="auto"/>
        </w:rPr>
        <w:tab/>
      </w:r>
      <w:r>
        <w:rPr>
          <w:rFonts w:ascii="Times New Roman" w:cs="Times New Roman" w:eastAsia="Times New Roman" w:hAnsi="Times New Roman"/>
          <w:sz w:val="18"/>
          <w:szCs w:val="18"/>
          <w:color w:val="auto"/>
        </w:rPr>
        <w:t>Schedule 13D</w:t>
      </w:r>
      <w:r>
        <w:rPr>
          <w:sz w:val="20"/>
          <w:szCs w:val="20"/>
          <w:color w:val="auto"/>
        </w:rPr>
        <w:tab/>
      </w:r>
      <w:r>
        <w:rPr>
          <w:rFonts w:ascii="Times New Roman" w:cs="Times New Roman" w:eastAsia="Times New Roman" w:hAnsi="Times New Roman"/>
          <w:sz w:val="17"/>
          <w:szCs w:val="17"/>
          <w:color w:val="auto"/>
        </w:rPr>
        <w:t>PAGE 3 of 5</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ind w:right="20" w:firstLine="486"/>
        <w:spacing w:after="0" w:line="253" w:lineRule="auto"/>
        <w:rPr>
          <w:sz w:val="20"/>
          <w:szCs w:val="20"/>
          <w:color w:val="auto"/>
        </w:rPr>
      </w:pPr>
      <w:r>
        <w:rPr>
          <w:rFonts w:ascii="Times New Roman" w:cs="Times New Roman" w:eastAsia="Times New Roman" w:hAnsi="Times New Roman"/>
          <w:sz w:val="18"/>
          <w:szCs w:val="18"/>
          <w:color w:val="auto"/>
        </w:rPr>
        <w:t>This Amendment No. 9 (the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to Schedule 13D is being filed with the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on behalf of OPKO Health, Inc., a Delaware corporation (“</w:t>
      </w:r>
      <w:r>
        <w:rPr>
          <w:rFonts w:ascii="Times New Roman" w:cs="Times New Roman" w:eastAsia="Times New Roman" w:hAnsi="Times New Roman"/>
          <w:sz w:val="18"/>
          <w:szCs w:val="18"/>
          <w:u w:val="single" w:color="auto"/>
          <w:color w:val="auto"/>
        </w:rPr>
        <w:t>OPKO</w:t>
      </w:r>
      <w:r>
        <w:rPr>
          <w:rFonts w:ascii="Times New Roman" w:cs="Times New Roman" w:eastAsia="Times New Roman" w:hAnsi="Times New Roman"/>
          <w:sz w:val="18"/>
          <w:szCs w:val="18"/>
          <w:color w:val="auto"/>
        </w:rPr>
        <w:t>”) and relates to the Class A common stock, par value $0.0001 per share (“</w:t>
      </w:r>
      <w:r>
        <w:rPr>
          <w:rFonts w:ascii="Times New Roman" w:cs="Times New Roman" w:eastAsia="Times New Roman" w:hAnsi="Times New Roman"/>
          <w:sz w:val="18"/>
          <w:szCs w:val="18"/>
          <w:u w:val="single" w:color="auto"/>
          <w:color w:val="auto"/>
        </w:rPr>
        <w:t>GeneDx Common Stock</w:t>
      </w:r>
      <w:r>
        <w:rPr>
          <w:rFonts w:ascii="Times New Roman" w:cs="Times New Roman" w:eastAsia="Times New Roman" w:hAnsi="Times New Roman"/>
          <w:sz w:val="18"/>
          <w:szCs w:val="18"/>
          <w:color w:val="auto"/>
        </w:rPr>
        <w:t>”), of GeneDx Holdings Corp., a Delaware corporation (“</w:t>
      </w:r>
      <w:r>
        <w:rPr>
          <w:rFonts w:ascii="Times New Roman" w:cs="Times New Roman" w:eastAsia="Times New Roman" w:hAnsi="Times New Roman"/>
          <w:sz w:val="18"/>
          <w:szCs w:val="18"/>
          <w:u w:val="single" w:color="auto"/>
          <w:color w:val="auto"/>
        </w:rPr>
        <w:t>GeneDx</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u w:val="single" w:color="auto"/>
          <w:color w:val="auto"/>
        </w:rPr>
        <w:t>Issuer</w:t>
      </w:r>
      <w:r>
        <w:rPr>
          <w:rFonts w:ascii="Times New Roman" w:cs="Times New Roman" w:eastAsia="Times New Roman" w:hAnsi="Times New Roman"/>
          <w:sz w:val="18"/>
          <w:szCs w:val="18"/>
          <w:color w:val="auto"/>
        </w:rPr>
        <w:t>”) and amends and supplements the initial statement on Schedule 13D filed by OPKO with the SEC on May 9, 2022, as amended by Amendment No. 1 to Schedule 13D filed with the SEC on February 3, 2023, as amended by Amendment No. 2 filed with the SEC on April 20, 2023, as amended by Amendment No. 3 filed with the SEC on July 5, 2024, as amended by Amendment No. 4 filed with the SEC on July 26, 2024, as amended by Amendment No. 5 filed with the SEC on August 12, 2024, as amended by Amendment No,</w:t>
      </w:r>
    </w:p>
    <w:p>
      <w:pPr>
        <w:spacing w:after="0" w:line="5"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6 filed with the SEC on August 23, 2024, as amended by Amendment No, 7 filed with the SEC on September 18, 2024; as amended by Amendment No. 8 filed with the SEC on November 8, 2024 (the “</w:t>
      </w:r>
      <w:r>
        <w:rPr>
          <w:rFonts w:ascii="Times New Roman" w:cs="Times New Roman" w:eastAsia="Times New Roman" w:hAnsi="Times New Roman"/>
          <w:sz w:val="18"/>
          <w:szCs w:val="18"/>
          <w:u w:val="single" w:color="auto"/>
          <w:color w:val="auto"/>
        </w:rPr>
        <w:t>Schedule 13D</w:t>
      </w:r>
      <w:r>
        <w:rPr>
          <w:rFonts w:ascii="Times New Roman" w:cs="Times New Roman" w:eastAsia="Times New Roman" w:hAnsi="Times New Roman"/>
          <w:sz w:val="18"/>
          <w:szCs w:val="18"/>
          <w:color w:val="auto"/>
        </w:rPr>
        <w:t>”). Capitalized terms used but not defined in this Amendment No. 9 shall have the same meanings ascribed to them in the Schedule 13D.</w:t>
      </w:r>
    </w:p>
    <w:p>
      <w:pPr>
        <w:spacing w:after="0" w:line="182" w:lineRule="exact"/>
        <w:rPr>
          <w:sz w:val="20"/>
          <w:szCs w:val="20"/>
          <w:color w:val="auto"/>
        </w:rPr>
      </w:pPr>
    </w:p>
    <w:p>
      <w:pPr>
        <w:ind w:left="20"/>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Purpose of Transaction.</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Item 4 is amended by adding the following paragraph to the end of the item:</w:t>
      </w:r>
    </w:p>
    <w:p>
      <w:pPr>
        <w:spacing w:after="0" w:line="229" w:lineRule="exact"/>
        <w:rPr>
          <w:sz w:val="20"/>
          <w:szCs w:val="20"/>
          <w:color w:val="auto"/>
        </w:rPr>
      </w:pPr>
    </w:p>
    <w:p>
      <w:pPr>
        <w:ind w:right="60" w:firstLine="486"/>
        <w:spacing w:after="0" w:line="282" w:lineRule="auto"/>
        <w:rPr>
          <w:sz w:val="20"/>
          <w:szCs w:val="20"/>
          <w:color w:val="auto"/>
        </w:rPr>
      </w:pPr>
      <w:r>
        <w:rPr>
          <w:rFonts w:ascii="Times New Roman" w:cs="Times New Roman" w:eastAsia="Times New Roman" w:hAnsi="Times New Roman"/>
          <w:sz w:val="18"/>
          <w:szCs w:val="18"/>
          <w:color w:val="auto"/>
        </w:rPr>
        <w:t>In a series of transactions between November 11, 2024 and November 20, 2024, OPKO sold a total of 375,833 shares of GeneDx Common Stock on the open market at prices ranging from $68.20 to $82.00 per share for an aggregate sale price of approximately $28,254,209.</w:t>
      </w:r>
    </w:p>
    <w:p>
      <w:pPr>
        <w:spacing w:after="0" w:line="158" w:lineRule="exact"/>
        <w:rPr>
          <w:sz w:val="20"/>
          <w:szCs w:val="20"/>
          <w:color w:val="auto"/>
        </w:rPr>
      </w:pPr>
    </w:p>
    <w:p>
      <w:pPr>
        <w:ind w:left="20"/>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Interest in Securities of the Issuer.</w:t>
      </w:r>
    </w:p>
    <w:p>
      <w:pPr>
        <w:spacing w:after="0" w:line="22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Item 5 is deleted in its entirety and replaced with the following text:</w:t>
      </w:r>
    </w:p>
    <w:p>
      <w:pPr>
        <w:spacing w:after="0" w:line="229" w:lineRule="exact"/>
        <w:rPr>
          <w:sz w:val="20"/>
          <w:szCs w:val="20"/>
          <w:color w:val="auto"/>
        </w:rPr>
      </w:pPr>
    </w:p>
    <w:p>
      <w:pPr>
        <w:ind w:left="1120" w:hanging="644"/>
        <w:spacing w:after="0"/>
        <w:tabs>
          <w:tab w:leader="none" w:pos="11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beneficial ownership of GeneDx Common Stock is as set forth in the table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Outstanding Shares</w:t>
            </w:r>
          </w:p>
        </w:tc>
        <w:tc>
          <w:tcPr>
            <w:tcW w:w="60" w:type="dxa"/>
            <w:vAlign w:val="bottom"/>
          </w:tcPr>
          <w:p>
            <w:pPr>
              <w:spacing w:after="0"/>
              <w:rPr>
                <w:sz w:val="18"/>
                <w:szCs w:val="18"/>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Percentage of Outstanding</w:t>
            </w:r>
          </w:p>
        </w:tc>
      </w:tr>
      <w:tr>
        <w:trPr>
          <w:trHeight w:val="238"/>
        </w:trPr>
        <w:tc>
          <w:tcPr>
            <w:tcW w:w="960" w:type="dxa"/>
            <w:vAlign w:val="bottom"/>
          </w:tcPr>
          <w:p>
            <w:pPr>
              <w:spacing w:after="0"/>
              <w:rPr>
                <w:sz w:val="20"/>
                <w:szCs w:val="20"/>
                <w:color w:val="auto"/>
              </w:rPr>
            </w:pPr>
          </w:p>
        </w:tc>
        <w:tc>
          <w:tcPr>
            <w:tcW w:w="3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 and Title of Beneficial Owner</w:t>
            </w:r>
          </w:p>
        </w:tc>
        <w:tc>
          <w:tcPr>
            <w:tcW w:w="80" w:type="dxa"/>
            <w:vAlign w:val="bottom"/>
          </w:tcPr>
          <w:p>
            <w:pPr>
              <w:spacing w:after="0"/>
              <w:rPr>
                <w:sz w:val="20"/>
                <w:szCs w:val="20"/>
                <w:color w:val="auto"/>
              </w:rPr>
            </w:pPr>
          </w:p>
        </w:tc>
        <w:tc>
          <w:tcPr>
            <w:tcW w:w="2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Beneficially Owned</w:t>
            </w:r>
          </w:p>
        </w:tc>
        <w:tc>
          <w:tcPr>
            <w:tcW w:w="60" w:type="dxa"/>
            <w:vAlign w:val="bottom"/>
          </w:tcPr>
          <w:p>
            <w:pPr>
              <w:spacing w:after="0"/>
              <w:rPr>
                <w:sz w:val="20"/>
                <w:szCs w:val="20"/>
                <w:color w:val="auto"/>
              </w:rPr>
            </w:pPr>
          </w:p>
        </w:tc>
        <w:tc>
          <w:tcPr>
            <w:tcW w:w="2220" w:type="dxa"/>
            <w:vAlign w:val="bottom"/>
            <w:tcBorders>
              <w:bottom w:val="single" w:sz="8" w:color="auto"/>
            </w:tcBorders>
          </w:tcPr>
          <w:p>
            <w:pPr>
              <w:jc w:val="center"/>
              <w:spacing w:after="0" w:line="239" w:lineRule="exact"/>
              <w:rPr>
                <w:sz w:val="20"/>
                <w:szCs w:val="20"/>
                <w:color w:val="auto"/>
              </w:rPr>
            </w:pPr>
            <w:r>
              <w:rPr>
                <w:rFonts w:ascii="Times New Roman" w:cs="Times New Roman" w:eastAsia="Times New Roman" w:hAnsi="Times New Roman"/>
                <w:sz w:val="17"/>
                <w:szCs w:val="17"/>
                <w:b w:val="1"/>
                <w:bCs w:val="1"/>
                <w:color w:val="auto"/>
              </w:rPr>
              <w:t xml:space="preserve">Common Shares </w:t>
            </w:r>
            <w:r>
              <w:rPr>
                <w:rFonts w:ascii="Times New Roman" w:cs="Times New Roman" w:eastAsia="Times New Roman" w:hAnsi="Times New Roman"/>
                <w:sz w:val="27"/>
                <w:szCs w:val="27"/>
                <w:b w:val="1"/>
                <w:bCs w:val="1"/>
                <w:color w:val="auto"/>
                <w:vertAlign w:val="superscript"/>
              </w:rPr>
              <w:t>(1)</w:t>
            </w:r>
          </w:p>
        </w:tc>
      </w:tr>
      <w:tr>
        <w:trPr>
          <w:trHeight w:val="191"/>
        </w:trPr>
        <w:tc>
          <w:tcPr>
            <w:tcW w:w="960" w:type="dxa"/>
            <w:vAlign w:val="bottom"/>
          </w:tcPr>
          <w:p>
            <w:pPr>
              <w:spacing w:after="0"/>
              <w:rPr>
                <w:sz w:val="16"/>
                <w:szCs w:val="16"/>
                <w:color w:val="auto"/>
              </w:rPr>
            </w:pPr>
          </w:p>
        </w:tc>
        <w:tc>
          <w:tcPr>
            <w:tcW w:w="39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OPKO Health, Inc.</w:t>
            </w:r>
          </w:p>
        </w:tc>
        <w:tc>
          <w:tcPr>
            <w:tcW w:w="80" w:type="dxa"/>
            <w:vAlign w:val="bottom"/>
          </w:tcPr>
          <w:p>
            <w:pPr>
              <w:spacing w:after="0"/>
              <w:rPr>
                <w:sz w:val="16"/>
                <w:szCs w:val="16"/>
                <w:color w:val="auto"/>
              </w:rPr>
            </w:pPr>
          </w:p>
        </w:tc>
        <w:tc>
          <w:tcPr>
            <w:tcW w:w="29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1,370,841</w:t>
            </w:r>
          </w:p>
        </w:tc>
        <w:tc>
          <w:tcPr>
            <w:tcW w:w="60" w:type="dxa"/>
            <w:vAlign w:val="bottom"/>
          </w:tcPr>
          <w:p>
            <w:pPr>
              <w:spacing w:after="0"/>
              <w:rPr>
                <w:sz w:val="16"/>
                <w:szCs w:val="16"/>
                <w:color w:val="auto"/>
              </w:rPr>
            </w:pPr>
          </w:p>
        </w:tc>
        <w:tc>
          <w:tcPr>
            <w:tcW w:w="22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4.99%</w:t>
            </w:r>
          </w:p>
        </w:tc>
      </w:tr>
      <w:tr>
        <w:trPr>
          <w:trHeight w:val="228"/>
        </w:trPr>
        <w:tc>
          <w:tcPr>
            <w:tcW w:w="4940" w:type="dxa"/>
            <w:vAlign w:val="bottom"/>
            <w:gridSpan w:val="2"/>
          </w:tcPr>
          <w:p>
            <w:pPr>
              <w:jc w:val="right"/>
              <w:ind w:right="3590"/>
              <w:spacing w:after="0"/>
              <w:rPr>
                <w:sz w:val="20"/>
                <w:szCs w:val="20"/>
                <w:color w:val="auto"/>
              </w:rPr>
            </w:pPr>
            <w:r>
              <w:rPr>
                <w:rFonts w:ascii="Times New Roman" w:cs="Times New Roman" w:eastAsia="Times New Roman" w:hAnsi="Times New Roman"/>
                <w:sz w:val="18"/>
                <w:szCs w:val="18"/>
                <w:color w:val="auto"/>
                <w:w w:val="98"/>
              </w:rPr>
              <w:t>______________</w:t>
            </w:r>
          </w:p>
        </w:tc>
        <w:tc>
          <w:tcPr>
            <w:tcW w:w="8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20" w:type="dxa"/>
            <w:vAlign w:val="bottom"/>
          </w:tcPr>
          <w:p>
            <w:pPr>
              <w:spacing w:after="0"/>
              <w:rPr>
                <w:sz w:val="19"/>
                <w:szCs w:val="19"/>
                <w:color w:val="auto"/>
              </w:rPr>
            </w:pPr>
          </w:p>
        </w:tc>
      </w:tr>
    </w:tbl>
    <w:p>
      <w:pPr>
        <w:ind w:left="440" w:hanging="270"/>
        <w:spacing w:after="0"/>
        <w:tabs>
          <w:tab w:leader="none" w:pos="440"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Based on 27,471,397shares of GeneDx Common Stock of the Issuer outstanding on October 22, 2024, as set forth in the Issuer’s Form 10-Q filed with the SEC on October 29, 2024.</w:t>
      </w:r>
    </w:p>
    <w:p>
      <w:pPr>
        <w:spacing w:after="0" w:line="191" w:lineRule="exact"/>
        <w:rPr>
          <w:rFonts w:ascii="Times New Roman" w:cs="Times New Roman" w:eastAsia="Times New Roman" w:hAnsi="Times New Roman"/>
          <w:sz w:val="12"/>
          <w:szCs w:val="12"/>
          <w:color w:val="auto"/>
        </w:rPr>
      </w:pPr>
    </w:p>
    <w:p>
      <w:pPr>
        <w:ind w:left="1160" w:hanging="666"/>
        <w:spacing w:after="0"/>
        <w:tabs>
          <w:tab w:leader="none" w:pos="11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Items 7-10, inclusive, set forth on the cover page to this Amendment are hereby incorporated by reference in this Item 5.</w:t>
      </w:r>
    </w:p>
    <w:p>
      <w:pPr>
        <w:spacing w:after="0" w:line="225" w:lineRule="exact"/>
        <w:rPr>
          <w:rFonts w:ascii="Times New Roman" w:cs="Times New Roman" w:eastAsia="Times New Roman" w:hAnsi="Times New Roman"/>
          <w:sz w:val="18"/>
          <w:szCs w:val="18"/>
          <w:color w:val="auto"/>
        </w:rPr>
      </w:pPr>
    </w:p>
    <w:p>
      <w:pPr>
        <w:ind w:left="1140" w:hanging="646"/>
        <w:spacing w:after="0" w:line="258" w:lineRule="auto"/>
        <w:tabs>
          <w:tab w:leader="none" w:pos="1142"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last 60 days prior to the filing of this Amendment No. 9, OPKO sold a total of 800,833 shares of GeneDx Common Stock on the open market at prices ranging from $68.20 to $82.00 per share for an aggregate sale price of approximately $61,105,000. Sales of GeneDx Common Stock prior to November 11, 2024 were previously reported in Amendment No. 4, Amendment No. 5, Amendment No. 6, Amendment No. 7, and Amendment No.8. The following table sets forth the information with regard to GeneDx Common Stock sold by OPKO on the open market in the last 60 days.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rPr>
              <w:t>Shares of</w:t>
            </w: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1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Weighted</w:t>
            </w:r>
          </w:p>
        </w:tc>
      </w:tr>
      <w:tr>
        <w:trPr>
          <w:trHeight w:val="216"/>
        </w:trPr>
        <w:tc>
          <w:tcPr>
            <w:tcW w:w="1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rPr>
              <w:t>Common</w:t>
            </w:r>
          </w:p>
        </w:tc>
        <w:tc>
          <w:tcPr>
            <w:tcW w:w="16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Aggregate Sale</w:t>
            </w:r>
          </w:p>
        </w:tc>
        <w:tc>
          <w:tcPr>
            <w:tcW w:w="61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Price Per</w:t>
            </w:r>
          </w:p>
        </w:tc>
      </w:tr>
      <w:tr>
        <w:trPr>
          <w:trHeight w:val="234"/>
        </w:trPr>
        <w:tc>
          <w:tcPr>
            <w:tcW w:w="1140" w:type="dxa"/>
            <w:vAlign w:val="bottom"/>
          </w:tcPr>
          <w:p>
            <w:pPr>
              <w:spacing w:after="0"/>
              <w:rPr>
                <w:sz w:val="20"/>
                <w:szCs w:val="20"/>
                <w:color w:val="auto"/>
              </w:rPr>
            </w:pPr>
          </w:p>
        </w:tc>
        <w:tc>
          <w:tcPr>
            <w:tcW w:w="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Date</w:t>
            </w:r>
          </w:p>
        </w:tc>
        <w:tc>
          <w:tcPr>
            <w:tcW w:w="380" w:type="dxa"/>
            <w:vAlign w:val="bottom"/>
          </w:tcPr>
          <w:p>
            <w:pPr>
              <w:spacing w:after="0"/>
              <w:rPr>
                <w:sz w:val="20"/>
                <w:szCs w:val="20"/>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7"/>
              </w:rPr>
              <w:t>Stock</w:t>
            </w:r>
          </w:p>
        </w:tc>
        <w:tc>
          <w:tcPr>
            <w:tcW w:w="360" w:type="dxa"/>
            <w:vAlign w:val="bottom"/>
          </w:tcPr>
          <w:p>
            <w:pPr>
              <w:spacing w:after="0"/>
              <w:rPr>
                <w:sz w:val="20"/>
                <w:szCs w:val="20"/>
                <w:color w:val="auto"/>
              </w:rPr>
            </w:pPr>
          </w:p>
        </w:tc>
        <w:tc>
          <w:tcPr>
            <w:tcW w:w="12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Price</w:t>
            </w:r>
          </w:p>
        </w:tc>
        <w:tc>
          <w:tcPr>
            <w:tcW w:w="280" w:type="dxa"/>
            <w:vAlign w:val="bottom"/>
          </w:tcPr>
          <w:p>
            <w:pPr>
              <w:spacing w:after="0"/>
              <w:rPr>
                <w:sz w:val="20"/>
                <w:szCs w:val="20"/>
                <w:color w:val="auto"/>
              </w:rPr>
            </w:pPr>
          </w:p>
        </w:tc>
        <w:tc>
          <w:tcPr>
            <w:tcW w:w="5900" w:type="dxa"/>
            <w:vAlign w:val="bottom"/>
            <w:gridSpan w:val="2"/>
          </w:tcPr>
          <w:p>
            <w:pPr>
              <w:jc w:val="right"/>
              <w:ind w:right="5460"/>
              <w:spacing w:after="0"/>
              <w:rPr>
                <w:sz w:val="20"/>
                <w:szCs w:val="20"/>
                <w:color w:val="auto"/>
              </w:rPr>
            </w:pPr>
            <w:r>
              <w:rPr>
                <w:rFonts w:ascii="Times New Roman" w:cs="Times New Roman" w:eastAsia="Times New Roman" w:hAnsi="Times New Roman"/>
                <w:sz w:val="18"/>
                <w:szCs w:val="18"/>
                <w:color w:val="auto"/>
              </w:rPr>
              <w:t>Share</w:t>
            </w:r>
          </w:p>
        </w:tc>
      </w:tr>
      <w:tr>
        <w:trPr>
          <w:trHeight w:val="191"/>
        </w:trPr>
        <w:tc>
          <w:tcPr>
            <w:tcW w:w="1140" w:type="dxa"/>
            <w:vAlign w:val="bottom"/>
          </w:tcPr>
          <w:p>
            <w:pPr>
              <w:spacing w:after="0"/>
              <w:rPr>
                <w:sz w:val="16"/>
                <w:szCs w:val="16"/>
                <w:color w:val="auto"/>
              </w:rPr>
            </w:pPr>
          </w:p>
        </w:tc>
        <w:tc>
          <w:tcPr>
            <w:tcW w:w="6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11/4/24</w:t>
            </w:r>
          </w:p>
        </w:tc>
        <w:tc>
          <w:tcPr>
            <w:tcW w:w="380" w:type="dxa"/>
            <w:vAlign w:val="bottom"/>
          </w:tcPr>
          <w:p>
            <w:pPr>
              <w:spacing w:after="0"/>
              <w:rPr>
                <w:sz w:val="16"/>
                <w:szCs w:val="16"/>
                <w:color w:val="auto"/>
              </w:rPr>
            </w:pPr>
          </w:p>
        </w:tc>
        <w:tc>
          <w:tcPr>
            <w:tcW w:w="8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25,000</w:t>
            </w:r>
          </w:p>
        </w:tc>
        <w:tc>
          <w:tcPr>
            <w:tcW w:w="380" w:type="dxa"/>
            <w:vAlign w:val="bottom"/>
          </w:tcPr>
          <w:p>
            <w:pPr>
              <w:spacing w:after="0"/>
              <w:rPr>
                <w:sz w:val="16"/>
                <w:szCs w:val="16"/>
                <w:color w:val="auto"/>
              </w:rPr>
            </w:pPr>
          </w:p>
        </w:tc>
        <w:tc>
          <w:tcPr>
            <w:tcW w:w="3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1,902,415</w:t>
            </w:r>
          </w:p>
        </w:tc>
        <w:tc>
          <w:tcPr>
            <w:tcW w:w="380" w:type="dxa"/>
            <w:vAlign w:val="bottom"/>
          </w:tcPr>
          <w:p>
            <w:pPr>
              <w:spacing w:after="0"/>
              <w:rPr>
                <w:sz w:val="16"/>
                <w:szCs w:val="16"/>
                <w:color w:val="auto"/>
              </w:rPr>
            </w:pPr>
          </w:p>
        </w:tc>
        <w:tc>
          <w:tcPr>
            <w:tcW w:w="280" w:type="dxa"/>
            <w:vAlign w:val="bottom"/>
            <w:tcBorders>
              <w:top w:val="single" w:sz="8" w:color="auto"/>
            </w:tcBorders>
          </w:tcPr>
          <w:p>
            <w:pPr>
              <w:ind w:left="18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76.0966</w:t>
            </w:r>
          </w:p>
        </w:tc>
        <w:tc>
          <w:tcPr>
            <w:tcW w:w="5160" w:type="dxa"/>
            <w:vAlign w:val="bottom"/>
          </w:tcPr>
          <w:p>
            <w:pPr>
              <w:spacing w:after="0"/>
              <w:rPr>
                <w:sz w:val="16"/>
                <w:szCs w:val="16"/>
                <w:color w:val="auto"/>
              </w:rPr>
            </w:pPr>
          </w:p>
        </w:tc>
      </w:tr>
      <w:tr>
        <w:trPr>
          <w:trHeight w:val="216"/>
        </w:trPr>
        <w:tc>
          <w:tcPr>
            <w:tcW w:w="114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11/5/24</w:t>
            </w:r>
          </w:p>
        </w:tc>
        <w:tc>
          <w:tcPr>
            <w:tcW w:w="164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75,000</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5,699,171</w:t>
            </w:r>
          </w:p>
        </w:tc>
        <w:tc>
          <w:tcPr>
            <w:tcW w:w="28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5900" w:type="dxa"/>
            <w:vAlign w:val="bottom"/>
            <w:gridSpan w:val="2"/>
          </w:tcPr>
          <w:p>
            <w:pPr>
              <w:jc w:val="right"/>
              <w:ind w:right="5160"/>
              <w:spacing w:after="0"/>
              <w:rPr>
                <w:sz w:val="20"/>
                <w:szCs w:val="20"/>
                <w:color w:val="auto"/>
              </w:rPr>
            </w:pPr>
            <w:r>
              <w:rPr>
                <w:rFonts w:ascii="Times New Roman" w:cs="Times New Roman" w:eastAsia="Times New Roman" w:hAnsi="Times New Roman"/>
                <w:sz w:val="18"/>
                <w:szCs w:val="18"/>
                <w:color w:val="auto"/>
              </w:rPr>
              <w:t>75,9889</w:t>
            </w:r>
          </w:p>
        </w:tc>
      </w:tr>
      <w:tr>
        <w:trPr>
          <w:trHeight w:val="216"/>
        </w:trPr>
        <w:tc>
          <w:tcPr>
            <w:tcW w:w="114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11/6/24</w:t>
            </w:r>
          </w:p>
        </w:tc>
        <w:tc>
          <w:tcPr>
            <w:tcW w:w="164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150,000</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11,510,776</w:t>
            </w:r>
          </w:p>
        </w:tc>
        <w:tc>
          <w:tcPr>
            <w:tcW w:w="28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5900" w:type="dxa"/>
            <w:vAlign w:val="bottom"/>
            <w:gridSpan w:val="2"/>
          </w:tcPr>
          <w:p>
            <w:pPr>
              <w:jc w:val="right"/>
              <w:ind w:right="5160"/>
              <w:spacing w:after="0"/>
              <w:rPr>
                <w:sz w:val="20"/>
                <w:szCs w:val="20"/>
                <w:color w:val="auto"/>
              </w:rPr>
            </w:pPr>
            <w:r>
              <w:rPr>
                <w:rFonts w:ascii="Times New Roman" w:cs="Times New Roman" w:eastAsia="Times New Roman" w:hAnsi="Times New Roman"/>
                <w:sz w:val="18"/>
                <w:szCs w:val="18"/>
                <w:color w:val="auto"/>
              </w:rPr>
              <w:t>76.7385</w:t>
            </w:r>
          </w:p>
        </w:tc>
      </w:tr>
      <w:tr>
        <w:trPr>
          <w:trHeight w:val="216"/>
        </w:trPr>
        <w:tc>
          <w:tcPr>
            <w:tcW w:w="114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11/7/24</w:t>
            </w:r>
          </w:p>
        </w:tc>
        <w:tc>
          <w:tcPr>
            <w:tcW w:w="164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50,000</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3,861,068</w:t>
            </w:r>
          </w:p>
        </w:tc>
        <w:tc>
          <w:tcPr>
            <w:tcW w:w="28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5900" w:type="dxa"/>
            <w:vAlign w:val="bottom"/>
            <w:gridSpan w:val="2"/>
          </w:tcPr>
          <w:p>
            <w:pPr>
              <w:jc w:val="right"/>
              <w:ind w:right="5160"/>
              <w:spacing w:after="0"/>
              <w:rPr>
                <w:sz w:val="20"/>
                <w:szCs w:val="20"/>
                <w:color w:val="auto"/>
              </w:rPr>
            </w:pPr>
            <w:r>
              <w:rPr>
                <w:rFonts w:ascii="Times New Roman" w:cs="Times New Roman" w:eastAsia="Times New Roman" w:hAnsi="Times New Roman"/>
                <w:sz w:val="18"/>
                <w:szCs w:val="18"/>
                <w:color w:val="auto"/>
              </w:rPr>
              <w:t>77.2214</w:t>
            </w:r>
          </w:p>
        </w:tc>
      </w:tr>
      <w:tr>
        <w:trPr>
          <w:trHeight w:val="216"/>
        </w:trPr>
        <w:tc>
          <w:tcPr>
            <w:tcW w:w="114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11/8/24</w:t>
            </w:r>
          </w:p>
        </w:tc>
        <w:tc>
          <w:tcPr>
            <w:tcW w:w="16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125,000*</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9,877,361</w:t>
            </w:r>
          </w:p>
        </w:tc>
        <w:tc>
          <w:tcPr>
            <w:tcW w:w="28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5900" w:type="dxa"/>
            <w:vAlign w:val="bottom"/>
            <w:gridSpan w:val="2"/>
          </w:tcPr>
          <w:p>
            <w:pPr>
              <w:jc w:val="right"/>
              <w:ind w:right="5160"/>
              <w:spacing w:after="0"/>
              <w:rPr>
                <w:sz w:val="20"/>
                <w:szCs w:val="20"/>
                <w:color w:val="auto"/>
              </w:rPr>
            </w:pPr>
            <w:r>
              <w:rPr>
                <w:rFonts w:ascii="Times New Roman" w:cs="Times New Roman" w:eastAsia="Times New Roman" w:hAnsi="Times New Roman"/>
                <w:sz w:val="18"/>
                <w:szCs w:val="18"/>
                <w:color w:val="auto"/>
              </w:rPr>
              <w:t>79.0189</w:t>
            </w:r>
          </w:p>
        </w:tc>
      </w:tr>
      <w:tr>
        <w:trPr>
          <w:trHeight w:val="216"/>
        </w:trPr>
        <w:tc>
          <w:tcPr>
            <w:tcW w:w="114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11/11/24</w:t>
            </w:r>
          </w:p>
        </w:tc>
        <w:tc>
          <w:tcPr>
            <w:tcW w:w="164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100,000</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7,576,946</w:t>
            </w:r>
          </w:p>
        </w:tc>
        <w:tc>
          <w:tcPr>
            <w:tcW w:w="28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5900" w:type="dxa"/>
            <w:vAlign w:val="bottom"/>
            <w:gridSpan w:val="2"/>
          </w:tcPr>
          <w:p>
            <w:pPr>
              <w:jc w:val="right"/>
              <w:ind w:right="5160"/>
              <w:spacing w:after="0"/>
              <w:rPr>
                <w:sz w:val="20"/>
                <w:szCs w:val="20"/>
                <w:color w:val="auto"/>
              </w:rPr>
            </w:pPr>
            <w:r>
              <w:rPr>
                <w:rFonts w:ascii="Times New Roman" w:cs="Times New Roman" w:eastAsia="Times New Roman" w:hAnsi="Times New Roman"/>
                <w:sz w:val="18"/>
                <w:szCs w:val="18"/>
                <w:color w:val="auto"/>
              </w:rPr>
              <w:t>75.7695</w:t>
            </w:r>
          </w:p>
        </w:tc>
      </w:tr>
      <w:tr>
        <w:trPr>
          <w:trHeight w:val="216"/>
        </w:trPr>
        <w:tc>
          <w:tcPr>
            <w:tcW w:w="114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11/13/24</w:t>
            </w:r>
          </w:p>
        </w:tc>
        <w:tc>
          <w:tcPr>
            <w:tcW w:w="164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125,000</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10,020,291</w:t>
            </w:r>
          </w:p>
        </w:tc>
        <w:tc>
          <w:tcPr>
            <w:tcW w:w="28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5900" w:type="dxa"/>
            <w:vAlign w:val="bottom"/>
            <w:gridSpan w:val="2"/>
          </w:tcPr>
          <w:p>
            <w:pPr>
              <w:jc w:val="right"/>
              <w:ind w:right="5160"/>
              <w:spacing w:after="0"/>
              <w:rPr>
                <w:sz w:val="20"/>
                <w:szCs w:val="20"/>
                <w:color w:val="auto"/>
              </w:rPr>
            </w:pPr>
            <w:r>
              <w:rPr>
                <w:rFonts w:ascii="Times New Roman" w:cs="Times New Roman" w:eastAsia="Times New Roman" w:hAnsi="Times New Roman"/>
                <w:sz w:val="18"/>
                <w:szCs w:val="18"/>
                <w:color w:val="auto"/>
              </w:rPr>
              <w:t>80.1623</w:t>
            </w:r>
          </w:p>
        </w:tc>
      </w:tr>
      <w:tr>
        <w:trPr>
          <w:trHeight w:val="216"/>
        </w:trPr>
        <w:tc>
          <w:tcPr>
            <w:tcW w:w="114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11/18/24</w:t>
            </w:r>
          </w:p>
        </w:tc>
        <w:tc>
          <w:tcPr>
            <w:tcW w:w="164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50,000</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3,586,620</w:t>
            </w:r>
          </w:p>
        </w:tc>
        <w:tc>
          <w:tcPr>
            <w:tcW w:w="28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5900" w:type="dxa"/>
            <w:vAlign w:val="bottom"/>
            <w:gridSpan w:val="2"/>
          </w:tcPr>
          <w:p>
            <w:pPr>
              <w:jc w:val="right"/>
              <w:ind w:right="5160"/>
              <w:spacing w:after="0"/>
              <w:rPr>
                <w:sz w:val="20"/>
                <w:szCs w:val="20"/>
                <w:color w:val="auto"/>
              </w:rPr>
            </w:pPr>
            <w:r>
              <w:rPr>
                <w:rFonts w:ascii="Times New Roman" w:cs="Times New Roman" w:eastAsia="Times New Roman" w:hAnsi="Times New Roman"/>
                <w:sz w:val="18"/>
                <w:szCs w:val="18"/>
                <w:color w:val="auto"/>
              </w:rPr>
              <w:t>71.7324</w:t>
            </w:r>
          </w:p>
        </w:tc>
      </w:tr>
      <w:tr>
        <w:trPr>
          <w:trHeight w:val="216"/>
        </w:trPr>
        <w:tc>
          <w:tcPr>
            <w:tcW w:w="114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11/19/24</w:t>
            </w:r>
          </w:p>
        </w:tc>
        <w:tc>
          <w:tcPr>
            <w:tcW w:w="164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40,833</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2,913,787</w:t>
            </w:r>
          </w:p>
        </w:tc>
        <w:tc>
          <w:tcPr>
            <w:tcW w:w="28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5900" w:type="dxa"/>
            <w:vAlign w:val="bottom"/>
            <w:gridSpan w:val="2"/>
          </w:tcPr>
          <w:p>
            <w:pPr>
              <w:jc w:val="right"/>
              <w:ind w:right="5160"/>
              <w:spacing w:after="0"/>
              <w:rPr>
                <w:sz w:val="20"/>
                <w:szCs w:val="20"/>
                <w:color w:val="auto"/>
              </w:rPr>
            </w:pPr>
            <w:r>
              <w:rPr>
                <w:rFonts w:ascii="Times New Roman" w:cs="Times New Roman" w:eastAsia="Times New Roman" w:hAnsi="Times New Roman"/>
                <w:sz w:val="18"/>
                <w:szCs w:val="18"/>
                <w:color w:val="auto"/>
              </w:rPr>
              <w:t>71.3586</w:t>
            </w:r>
          </w:p>
        </w:tc>
      </w:tr>
      <w:tr>
        <w:trPr>
          <w:trHeight w:val="234"/>
        </w:trPr>
        <w:tc>
          <w:tcPr>
            <w:tcW w:w="1140" w:type="dxa"/>
            <w:vAlign w:val="bottom"/>
          </w:tcPr>
          <w:p>
            <w:pPr>
              <w:spacing w:after="0"/>
              <w:rPr>
                <w:sz w:val="20"/>
                <w:szCs w:val="20"/>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11/20/24</w:t>
            </w:r>
          </w:p>
        </w:tc>
        <w:tc>
          <w:tcPr>
            <w:tcW w:w="164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60,000</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4,156,566</w:t>
            </w:r>
          </w:p>
        </w:tc>
        <w:tc>
          <w:tcPr>
            <w:tcW w:w="28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5900" w:type="dxa"/>
            <w:vAlign w:val="bottom"/>
            <w:gridSpan w:val="2"/>
          </w:tcPr>
          <w:p>
            <w:pPr>
              <w:jc w:val="right"/>
              <w:ind w:right="5160"/>
              <w:spacing w:after="0"/>
              <w:rPr>
                <w:sz w:val="20"/>
                <w:szCs w:val="20"/>
                <w:color w:val="auto"/>
              </w:rPr>
            </w:pPr>
            <w:r>
              <w:rPr>
                <w:rFonts w:ascii="Times New Roman" w:cs="Times New Roman" w:eastAsia="Times New Roman" w:hAnsi="Times New Roman"/>
                <w:sz w:val="18"/>
                <w:szCs w:val="18"/>
                <w:color w:val="auto"/>
              </w:rPr>
              <w:t>69.2761</w:t>
            </w:r>
          </w:p>
        </w:tc>
      </w:tr>
      <w:tr>
        <w:trPr>
          <w:trHeight w:val="358"/>
        </w:trPr>
        <w:tc>
          <w:tcPr>
            <w:tcW w:w="1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5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64" w:right="339" w:bottom="1440" w:gutter="0" w:footer="0" w:header="0"/>
        </w:sectPr>
      </w:pPr>
    </w:p>
    <w:bookmarkStart w:id="3" w:name="page4"/>
    <w:bookmarkEnd w:id="3"/>
    <w:p>
      <w:pPr>
        <w:spacing w:after="0"/>
        <w:tabs>
          <w:tab w:leader="none" w:pos="5100" w:val="left"/>
          <w:tab w:leader="none" w:pos="10300" w:val="left"/>
        </w:tabs>
        <w:rPr>
          <w:sz w:val="20"/>
          <w:szCs w:val="20"/>
          <w:color w:val="auto"/>
        </w:rPr>
      </w:pPr>
      <w:r>
        <w:rPr>
          <w:rFonts w:ascii="Times New Roman" w:cs="Times New Roman" w:eastAsia="Times New Roman" w:hAnsi="Times New Roman"/>
          <w:sz w:val="18"/>
          <w:szCs w:val="18"/>
          <w:color w:val="auto"/>
        </w:rPr>
        <w:t>CUSIP No. 81663L200</w:t>
      </w:r>
      <w:r>
        <w:rPr>
          <w:sz w:val="20"/>
          <w:szCs w:val="20"/>
          <w:color w:val="auto"/>
        </w:rPr>
        <w:tab/>
      </w:r>
      <w:r>
        <w:rPr>
          <w:rFonts w:ascii="Times New Roman" w:cs="Times New Roman" w:eastAsia="Times New Roman" w:hAnsi="Times New Roman"/>
          <w:sz w:val="18"/>
          <w:szCs w:val="18"/>
          <w:color w:val="auto"/>
        </w:rPr>
        <w:t>Schedule 13D</w:t>
      </w:r>
      <w:r>
        <w:rPr>
          <w:sz w:val="20"/>
          <w:szCs w:val="20"/>
          <w:color w:val="auto"/>
        </w:rPr>
        <w:tab/>
      </w:r>
      <w:r>
        <w:rPr>
          <w:rFonts w:ascii="Times New Roman" w:cs="Times New Roman" w:eastAsia="Times New Roman" w:hAnsi="Times New Roman"/>
          <w:sz w:val="17"/>
          <w:szCs w:val="17"/>
          <w:color w:val="auto"/>
        </w:rPr>
        <w:t>PAGE 4 of 5</w:t>
      </w:r>
    </w:p>
    <w:p>
      <w:pPr>
        <w:spacing w:after="0" w:line="225" w:lineRule="exact"/>
        <w:rPr>
          <w:sz w:val="20"/>
          <w:szCs w:val="20"/>
          <w:color w:val="auto"/>
        </w:rPr>
      </w:pPr>
    </w:p>
    <w:p>
      <w:pPr>
        <w:ind w:left="340" w:right="140" w:hanging="332"/>
        <w:spacing w:after="0" w:line="195" w:lineRule="auto"/>
        <w:tabs>
          <w:tab w:leader="none" w:pos="340" w:val="left"/>
        </w:tabs>
        <w:numPr>
          <w:ilvl w:val="0"/>
          <w:numId w:val="1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Amendment No.8 erroneously reported 10,000 shares sold on November 8, 2024, which resulted in the incorrect aggregate number of shares reported purchased since the filing of Amendment No. 7 and and the last 60 days prior to the filing of Amendment No. 8.</w:t>
      </w:r>
    </w:p>
    <w:p>
      <w:pPr>
        <w:spacing w:after="0" w:line="199" w:lineRule="exact"/>
        <w:rPr>
          <w:rFonts w:ascii="Times New Roman" w:cs="Times New Roman" w:eastAsia="Times New Roman" w:hAnsi="Times New Roman"/>
          <w:sz w:val="30"/>
          <w:szCs w:val="30"/>
          <w:color w:val="auto"/>
          <w:vertAlign w:val="superscript"/>
        </w:rPr>
      </w:pPr>
    </w:p>
    <w:p>
      <w:pPr>
        <w:ind w:left="1140" w:right="200" w:hanging="646"/>
        <w:spacing w:after="0" w:line="282" w:lineRule="auto"/>
        <w:tabs>
          <w:tab w:leader="none" w:pos="1151"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described herein, no other person is known by OPKO to have the right to receive or the power to direct the receipt of dividends from, or the proceeds from the sale of, any shares of the Issuer beneficially owned by them.</w:t>
      </w:r>
    </w:p>
    <w:p>
      <w:pPr>
        <w:spacing w:after="0" w:line="161" w:lineRule="exact"/>
        <w:rPr>
          <w:rFonts w:ascii="Times New Roman" w:cs="Times New Roman" w:eastAsia="Times New Roman" w:hAnsi="Times New Roman"/>
          <w:sz w:val="18"/>
          <w:szCs w:val="18"/>
          <w:color w:val="auto"/>
        </w:rPr>
      </w:pPr>
    </w:p>
    <w:p>
      <w:pPr>
        <w:ind w:left="1120" w:hanging="644"/>
        <w:spacing w:after="0"/>
        <w:tabs>
          <w:tab w:leader="none" w:pos="11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November 20, 2024, OPKO ceased to be the beneficial owner of more than 5% of the common stock of GeneDx.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 w:name="page5"/>
    <w:bookmarkEnd w:id="4"/>
    <w:p>
      <w:pPr>
        <w:spacing w:after="0"/>
        <w:tabs>
          <w:tab w:leader="none" w:pos="5100" w:val="left"/>
          <w:tab w:leader="none" w:pos="10300" w:val="left"/>
        </w:tabs>
        <w:rPr>
          <w:sz w:val="20"/>
          <w:szCs w:val="20"/>
          <w:color w:val="auto"/>
        </w:rPr>
      </w:pPr>
      <w:r>
        <w:rPr>
          <w:rFonts w:ascii="Times New Roman" w:cs="Times New Roman" w:eastAsia="Times New Roman" w:hAnsi="Times New Roman"/>
          <w:sz w:val="18"/>
          <w:szCs w:val="18"/>
          <w:color w:val="auto"/>
        </w:rPr>
        <w:t>CUSIP No. 81663L200</w:t>
      </w:r>
      <w:r>
        <w:rPr>
          <w:sz w:val="20"/>
          <w:szCs w:val="20"/>
          <w:color w:val="auto"/>
        </w:rPr>
        <w:tab/>
      </w:r>
      <w:r>
        <w:rPr>
          <w:rFonts w:ascii="Times New Roman" w:cs="Times New Roman" w:eastAsia="Times New Roman" w:hAnsi="Times New Roman"/>
          <w:sz w:val="18"/>
          <w:szCs w:val="18"/>
          <w:color w:val="auto"/>
        </w:rPr>
        <w:t>Schedule 13D</w:t>
      </w:r>
      <w:r>
        <w:rPr>
          <w:sz w:val="20"/>
          <w:szCs w:val="20"/>
          <w:color w:val="auto"/>
        </w:rPr>
        <w:tab/>
      </w:r>
      <w:r>
        <w:rPr>
          <w:rFonts w:ascii="Times New Roman" w:cs="Times New Roman" w:eastAsia="Times New Roman" w:hAnsi="Times New Roman"/>
          <w:sz w:val="17"/>
          <w:szCs w:val="17"/>
          <w:color w:val="auto"/>
        </w:rPr>
        <w:t>PAGE 5 of 5</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4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7500" w:type="dxa"/>
            <w:vAlign w:val="bottom"/>
            <w:gridSpan w:val="2"/>
          </w:tcPr>
          <w:p>
            <w:pPr>
              <w:ind w:left="1500"/>
              <w:spacing w:after="0"/>
              <w:rPr>
                <w:sz w:val="20"/>
                <w:szCs w:val="20"/>
                <w:color w:val="auto"/>
              </w:rPr>
            </w:pPr>
            <w:r>
              <w:rPr>
                <w:rFonts w:ascii="Times New Roman" w:cs="Times New Roman" w:eastAsia="Times New Roman" w:hAnsi="Times New Roman"/>
                <w:sz w:val="18"/>
                <w:szCs w:val="18"/>
                <w:color w:val="auto"/>
              </w:rPr>
              <w:t>OPKO Health, Inc.</w:t>
            </w:r>
          </w:p>
        </w:tc>
      </w:tr>
      <w:tr>
        <w:trPr>
          <w:trHeight w:val="432"/>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Dated:</w:t>
            </w:r>
          </w:p>
        </w:tc>
        <w:tc>
          <w:tcPr>
            <w:tcW w:w="3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November 20, 2024</w:t>
            </w:r>
          </w:p>
        </w:tc>
        <w:tc>
          <w:tcPr>
            <w:tcW w:w="250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By:</w:t>
            </w:r>
          </w:p>
        </w:tc>
        <w:tc>
          <w:tcPr>
            <w:tcW w:w="5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Steven D. Rubin</w:t>
            </w:r>
          </w:p>
        </w:tc>
      </w:tr>
      <w:tr>
        <w:trPr>
          <w:trHeight w:val="191"/>
        </w:trPr>
        <w:tc>
          <w:tcPr>
            <w:tcW w:w="64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2500" w:type="dxa"/>
            <w:vAlign w:val="bottom"/>
          </w:tcPr>
          <w:p>
            <w:pPr>
              <w:ind w:left="152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Steven D. Rubin</w:t>
            </w:r>
          </w:p>
        </w:tc>
      </w:tr>
      <w:tr>
        <w:trPr>
          <w:trHeight w:val="234"/>
        </w:trPr>
        <w:tc>
          <w:tcPr>
            <w:tcW w:w="64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250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Title:</w:t>
            </w: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 Administration</w:t>
            </w:r>
          </w:p>
        </w:tc>
      </w:tr>
    </w:tbl>
    <w:p>
      <w:pPr>
        <w:spacing w:after="0" w:line="1" w:lineRule="exact"/>
        <w:rPr>
          <w:sz w:val="20"/>
          <w:szCs w:val="20"/>
          <w:color w:val="auto"/>
        </w:rPr>
      </w:pPr>
    </w:p>
    <w:sectPr>
      <w:pgSz w:w="11900" w:h="16838" w:orient="portrait"/>
      <w:cols w:equalWidth="0" w:num="1">
        <w:col w:w="11240"/>
      </w:cols>
      <w:pgMar w:left="320" w:top="58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1"/>
      <w:numFmt w:val="bullet"/>
      <w:start w:val="1"/>
    </w:lvl>
  </w:abstractNum>
  <w:abstractNum w:abstractNumId="2">
    <w:nsid w:val="515F007C"/>
    <w:multiLevelType w:val="hybridMultilevel"/>
    <w:lvl w:ilvl="0">
      <w:lvlJc w:val="left"/>
      <w:lvlText w:val="2"/>
      <w:numFmt w:val="bullet"/>
      <w:start w:val="1"/>
    </w:lvl>
  </w:abstractNum>
  <w:abstractNum w:abstractNumId="3">
    <w:nsid w:val="5BD062C2"/>
    <w:multiLevelType w:val="hybridMultilevel"/>
    <w:lvl w:ilvl="0">
      <w:lvlJc w:val="left"/>
      <w:lvlText w:val="3"/>
      <w:numFmt w:val="bullet"/>
      <w:start w:val="1"/>
    </w:lvl>
  </w:abstractNum>
  <w:abstractNum w:abstractNumId="4">
    <w:nsid w:val="12200854"/>
    <w:multiLevelType w:val="hybridMultilevel"/>
    <w:lvl w:ilvl="0">
      <w:lvlJc w:val="left"/>
      <w:lvlText w:val="4"/>
      <w:numFmt w:val="bullet"/>
      <w:start w:val="1"/>
    </w:lvl>
  </w:abstractNum>
  <w:abstractNum w:abstractNumId="5">
    <w:nsid w:val="4DB127F8"/>
    <w:multiLevelType w:val="hybridMultilevel"/>
    <w:lvl w:ilvl="0">
      <w:lvlJc w:val="left"/>
      <w:lvlText w:val="5"/>
      <w:numFmt w:val="bullet"/>
      <w:start w:val="1"/>
    </w:lvl>
  </w:abstractNum>
  <w:abstractNum w:abstractNumId="6">
    <w:nsid w:val="216231B"/>
    <w:multiLevelType w:val="hybridMultilevel"/>
    <w:lvl w:ilvl="0">
      <w:lvlJc w:val="left"/>
      <w:lvlText w:val="6"/>
      <w:numFmt w:val="bullet"/>
      <w:start w:val="1"/>
    </w:lvl>
  </w:abstractNum>
  <w:abstractNum w:abstractNumId="7">
    <w:nsid w:val="1F16E9E8"/>
    <w:multiLevelType w:val="hybridMultilevel"/>
    <w:lvl w:ilvl="0">
      <w:lvlJc w:val="left"/>
      <w:lvlText w:val="%1"/>
      <w:numFmt w:val="decimal"/>
      <w:start w:val="11"/>
    </w:lvl>
  </w:abstractNum>
  <w:abstractNum w:abstractNumId="8">
    <w:nsid w:val="1190CDE7"/>
    <w:multiLevelType w:val="hybridMultilevel"/>
    <w:lvl w:ilvl="0">
      <w:lvlJc w:val="left"/>
      <w:lvlText w:val="%1"/>
      <w:numFmt w:val="decimal"/>
      <w:start w:val="1"/>
    </w:lvl>
    <w:lvl w:ilvl="1">
      <w:lvlJc w:val="left"/>
      <w:lvlText w:val="%2"/>
      <w:numFmt w:val="decimal"/>
      <w:start w:val="12"/>
    </w:lvl>
  </w:abstractNum>
  <w:abstractNum w:abstractNumId="9">
    <w:nsid w:val="66EF438D"/>
    <w:multiLevelType w:val="hybridMultilevel"/>
    <w:lvl w:ilvl="0">
      <w:lvlJc w:val="left"/>
      <w:lvlText w:val="(%1)"/>
      <w:numFmt w:val="decimal"/>
      <w:start w:val="1"/>
    </w:lvl>
    <w:lvl w:ilvl="1">
      <w:lvlJc w:val="left"/>
      <w:lvlText w:val="%2"/>
      <w:numFmt w:val="decimal"/>
      <w:start w:val="1"/>
    </w:lvl>
  </w:abstractNum>
  <w:abstractNum w:abstractNumId="10">
    <w:nsid w:val="140E0F76"/>
    <w:multiLevelType w:val="hybridMultilevel"/>
    <w:lvl w:ilvl="0">
      <w:lvlJc w:val="left"/>
      <w:lvlText w:val="(%1)"/>
      <w:numFmt w:val="lowerLetter"/>
      <w:start w:val="1"/>
    </w:lvl>
  </w:abstractNum>
  <w:abstractNum w:abstractNumId="11">
    <w:nsid w:val="3352255A"/>
    <w:multiLevelType w:val="hybridMultilevel"/>
    <w:lvl w:ilvl="0">
      <w:lvlJc w:val="left"/>
      <w:lvlText w:val="(%1)"/>
      <w:numFmt w:val="decimal"/>
      <w:start w:val="1"/>
    </w:lvl>
    <w:lvl w:ilvl="1">
      <w:lvlJc w:val="left"/>
      <w:lvlText w:val="(%2)"/>
      <w:numFmt w:val="lowerLetter"/>
      <w:start w:val="2"/>
    </w:lvl>
  </w:abstractNum>
  <w:abstractNum w:abstractNumId="12">
    <w:nsid w:val="109CF92E"/>
    <w:multiLevelType w:val="hybridMultilevel"/>
    <w:lvl w:ilvl="0">
      <w:lvlJc w:val="left"/>
      <w:lvlText w:val="*"/>
      <w:numFmt w:val="bullet"/>
      <w:start w:val="1"/>
    </w:lvl>
    <w:lvl w:ilvl="1">
      <w:lvlJc w:val="left"/>
      <w:lvlText w:val="%2"/>
      <w:numFmt w:val="lowerLetter"/>
      <w:start w:val="1"/>
    </w:lvl>
    <w:lvl w:ilvl="2">
      <w:lvlJc w:val="left"/>
      <w:lvlText w:val="(%3)"/>
      <w:numFmt w:val="lowerLetter"/>
      <w:start w:val="4"/>
    </w:lvl>
  </w:abstractNum>
  <w:abstractNum w:abstractNumId="13">
    <w:nsid w:val="DED7263"/>
    <w:multiLevelType w:val="hybridMultilevel"/>
    <w:lvl w:ilvl="0">
      <w:lvlJc w:val="left"/>
      <w:lvlText w:val="*"/>
      <w:numFmt w:val="bullet"/>
      <w:start w:val="1"/>
    </w:lvl>
    <w:lvl w:ilvl="1">
      <w:lvlJc w:val="left"/>
      <w:lvlText w:val="(%2)"/>
      <w:numFmt w:val="lowerLetter"/>
      <w:start w:val="5"/>
    </w:lvl>
    <w:lvl w:ilvl="2">
      <w:lvlJc w:val="left"/>
      <w:lvlText w:val="%3"/>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2024-11-20T20:43:13Z</dcterms:created>
  <dcterms:modified xsi:type="dcterms:W3CDTF">2024-11-20T20:43:13Z</dcterms:modified>
</cp:coreProperties>
</file>