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03/26/2025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80" w:type="dxa"/>
            <w:vAlign w:val="bottom"/>
            <w:gridSpan w:val="6"/>
          </w:tcPr>
          <w:p>
            <w:pPr>
              <w:jc w:val="right"/>
              <w:ind w:right="175"/>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40" w:type="dxa"/>
            <w:vAlign w:val="bottom"/>
            <w:gridSpan w:val="3"/>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03/26/2025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8"/>
              </w:rPr>
              <w:t>16,250</w:t>
            </w:r>
          </w:p>
        </w:tc>
        <w:tc>
          <w:tcPr>
            <w:tcW w:w="66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55"/>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24,742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03/26/2025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8,418</w:t>
            </w:r>
          </w:p>
        </w:tc>
        <w:tc>
          <w:tcPr>
            <w:tcW w:w="66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95.6577</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16,324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03/26/2025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rPr>
              <w:t>328</w:t>
            </w:r>
          </w:p>
        </w:tc>
        <w:tc>
          <w:tcPr>
            <w:tcW w:w="66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94.4037</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15,996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16,250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03/26/2025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4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16,250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48,750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restricted stock units each vests annually, commencing on March 26, 2025, until fully vested, subject to the Reporting Person's continued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03/28/2025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2025-03-28T15:48:47Z</dcterms:created>
  <dcterms:modified xsi:type="dcterms:W3CDTF">2025-03-28T15:48:47Z</dcterms:modified>
</cp:coreProperties>
</file>