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July 21, 2021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001-39482</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85-1966622</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40" w:space="720"/>
            <w:col w:w="2800" w:space="720"/>
            <w:col w:w="2460"/>
          </w:cols>
          <w:pgMar w:left="320" w:top="675"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Corvex Management LP</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10065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474-6745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675" w:right="339" w:bottom="1440" w:gutter="0" w:footer="0" w:header="0"/>
          <w:type w:val="continuous"/>
        </w:sectPr>
      </w:pPr>
    </w:p>
    <w:p>
      <w:pPr>
        <w:spacing w:after="0" w:line="234"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460" w:type="dxa"/>
            <w:vAlign w:val="bottom"/>
            <w:gridSpan w:val="3"/>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26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9"/>
              </w:rPr>
              <w:t>Trading Symbol(s)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3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 of Class A</w:t>
            </w: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520" w:type="dxa"/>
            <w:vAlign w:val="bottom"/>
            <w:tcBorders>
              <w:top w:val="single" w:sz="8" w:color="auto"/>
            </w:tcBorders>
            <w:shd w:val="clear" w:color="auto" w:fill="CCEEFF"/>
          </w:tcPr>
          <w:p>
            <w:pPr>
              <w:jc w:val="center"/>
              <w:ind w:right="410"/>
              <w:spacing w:after="0" w:line="195" w:lineRule="exact"/>
              <w:rPr>
                <w:sz w:val="20"/>
                <w:szCs w:val="20"/>
                <w:color w:val="auto"/>
              </w:rPr>
            </w:pPr>
            <w:r>
              <w:rPr>
                <w:rFonts w:ascii="Arial" w:cs="Arial" w:eastAsia="Arial" w:hAnsi="Arial"/>
                <w:sz w:val="18"/>
                <w:szCs w:val="18"/>
                <w:color w:val="auto"/>
                <w:w w:val="99"/>
              </w:rPr>
              <w:t>CMLFU</w:t>
            </w:r>
          </w:p>
        </w:tc>
        <w:tc>
          <w:tcPr>
            <w:tcW w:w="120" w:type="dxa"/>
            <w:vAlign w:val="bottom"/>
            <w:tcBorders>
              <w:top w:val="single" w:sz="8" w:color="CCEEFF"/>
            </w:tcBorders>
            <w:shd w:val="clear" w:color="auto" w:fill="CCEEFF"/>
          </w:tcPr>
          <w:p>
            <w:pPr>
              <w:spacing w:after="0"/>
              <w:rPr>
                <w:sz w:val="16"/>
                <w:szCs w:val="16"/>
                <w:color w:val="auto"/>
              </w:rPr>
            </w:pPr>
          </w:p>
        </w:tc>
        <w:tc>
          <w:tcPr>
            <w:tcW w:w="4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 and one-third of one redeemable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r>
      <w:tr>
        <w:trPr>
          <w:trHeight w:val="230"/>
        </w:trPr>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w:t>
            </w:r>
          </w:p>
        </w:tc>
        <w:tc>
          <w:tcPr>
            <w:tcW w:w="2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Class A common stock, par value $0.0001 per share</w:t>
            </w:r>
          </w:p>
        </w:tc>
        <w:tc>
          <w:tcPr>
            <w:tcW w:w="2640" w:type="dxa"/>
            <w:vAlign w:val="bottom"/>
            <w:gridSpan w:val="2"/>
          </w:tcPr>
          <w:p>
            <w:pPr>
              <w:jc w:val="center"/>
              <w:ind w:right="620"/>
              <w:spacing w:after="0"/>
              <w:rPr>
                <w:sz w:val="20"/>
                <w:szCs w:val="20"/>
                <w:color w:val="auto"/>
              </w:rPr>
            </w:pPr>
            <w:r>
              <w:rPr>
                <w:rFonts w:ascii="Arial" w:cs="Arial" w:eastAsia="Arial" w:hAnsi="Arial"/>
                <w:sz w:val="18"/>
                <w:szCs w:val="18"/>
                <w:color w:val="auto"/>
              </w:rPr>
              <w:t>CMLF</w:t>
            </w:r>
          </w:p>
        </w:tc>
        <w:tc>
          <w:tcPr>
            <w:tcW w:w="41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4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Redeemable warrants, each whole warrant</w:t>
            </w:r>
          </w:p>
        </w:tc>
        <w:tc>
          <w:tcPr>
            <w:tcW w:w="2640" w:type="dxa"/>
            <w:vAlign w:val="bottom"/>
            <w:gridSpan w:val="2"/>
            <w:shd w:val="clear" w:color="auto" w:fill="CCEEFF"/>
          </w:tcPr>
          <w:p>
            <w:pPr>
              <w:jc w:val="center"/>
              <w:ind w:right="620"/>
              <w:spacing w:after="0" w:line="201" w:lineRule="exact"/>
              <w:rPr>
                <w:sz w:val="20"/>
                <w:szCs w:val="20"/>
                <w:color w:val="auto"/>
              </w:rPr>
            </w:pPr>
            <w:r>
              <w:rPr>
                <w:rFonts w:ascii="Arial" w:cs="Arial" w:eastAsia="Arial" w:hAnsi="Arial"/>
                <w:sz w:val="18"/>
                <w:szCs w:val="18"/>
                <w:color w:val="auto"/>
                <w:w w:val="99"/>
              </w:rPr>
              <w:t>CMLFW</w:t>
            </w:r>
          </w:p>
        </w:tc>
        <w:tc>
          <w:tcPr>
            <w:tcW w:w="4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exercisable for one share of Class A common stock,</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r>
      <w:tr>
        <w:trPr>
          <w:trHeight w:val="230"/>
        </w:trPr>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each at an exercise price of $11.50 per share</w:t>
            </w:r>
          </w:p>
        </w:tc>
        <w:tc>
          <w:tcPr>
            <w:tcW w:w="2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On July 21, 2021, CM Life Sciences, Inc., a Delaware corporation (“</w:t>
      </w:r>
      <w:r>
        <w:rPr>
          <w:rFonts w:ascii="Arial" w:cs="Arial" w:eastAsia="Arial" w:hAnsi="Arial"/>
          <w:sz w:val="18"/>
          <w:szCs w:val="18"/>
          <w:b w:val="1"/>
          <w:bCs w:val="1"/>
          <w:i w:val="1"/>
          <w:iCs w:val="1"/>
          <w:color w:val="auto"/>
        </w:rPr>
        <w:t>CMLS</w:t>
      </w:r>
      <w:r>
        <w:rPr>
          <w:rFonts w:ascii="Arial" w:cs="Arial" w:eastAsia="Arial" w:hAnsi="Arial"/>
          <w:sz w:val="18"/>
          <w:szCs w:val="18"/>
          <w:color w:val="auto"/>
        </w:rPr>
        <w:t>” or following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held the Special Meeting of its stockholders (the “</w:t>
      </w: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At the Special Meeting, a total of 39,328,080 (71.06%) of CMLS’s issued and outstanding shares of common stock held of record as of June 21, 2021, the record date for the Special Meeting, were present either in person or represented by proxy, which constituted a quorum. CMLS’s stockholders voted on the following proposals at the Special Meeting, each of which was approved. The final vote tabulation for each proposal is set forth below.</w:t>
      </w:r>
    </w:p>
    <w:p>
      <w:pPr>
        <w:spacing w:after="0" w:line="184" w:lineRule="exact"/>
        <w:rPr>
          <w:sz w:val="20"/>
          <w:szCs w:val="20"/>
          <w:color w:val="auto"/>
        </w:rPr>
      </w:pPr>
    </w:p>
    <w:p>
      <w:pPr>
        <w:jc w:val="both"/>
        <w:ind w:left="340" w:hanging="332"/>
        <w:spacing w:after="0" w:line="273"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Proposal No. 1 — The Business Combination Proposal </w:t>
      </w:r>
      <w:r>
        <w:rPr>
          <w:rFonts w:ascii="Arial" w:cs="Arial" w:eastAsia="Arial" w:hAnsi="Arial"/>
          <w:sz w:val="17"/>
          <w:szCs w:val="17"/>
          <w:color w:val="auto"/>
        </w:rPr>
        <w:t>— to approve the agreement and plan of merger, dated as of February 9, 2021 as amended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Amendment to Agreement and Plan of Merger dated May 3, 2021 (as the same may be further amended and/or restated from time to time,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by and among CMLS, S-IV Sub, Inc., a Delaware corporation and a wholly-owned subsidiary of CMLS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and Mount Sinai Genomics, Inc. d/b/a Sema4, a Delaware corporation (“</w:t>
      </w:r>
      <w:r>
        <w:rPr>
          <w:rFonts w:ascii="Arial" w:cs="Arial" w:eastAsia="Arial" w:hAnsi="Arial"/>
          <w:sz w:val="17"/>
          <w:szCs w:val="17"/>
          <w:b w:val="1"/>
          <w:bCs w:val="1"/>
          <w:i w:val="1"/>
          <w:iCs w:val="1"/>
          <w:color w:val="auto"/>
        </w:rPr>
        <w:t>Sema4</w:t>
      </w:r>
      <w:r>
        <w:rPr>
          <w:rFonts w:ascii="Arial" w:cs="Arial" w:eastAsia="Arial" w:hAnsi="Arial"/>
          <w:sz w:val="17"/>
          <w:szCs w:val="17"/>
          <w:color w:val="auto"/>
        </w:rPr>
        <w:t>”), and the transactions contemplated thereby, including the merger of Merger Sub with and into Sema4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with Sema4 surviving the Merger as a wholly owned subsidiary of the Company, and the issuance of common stock to Sema4 equity holders as merger consideration, (the transactions contemplated by the Merger Agreement, the “Business Combination” and such proposal, the “</w:t>
      </w:r>
      <w:r>
        <w:rPr>
          <w:rFonts w:ascii="Arial" w:cs="Arial" w:eastAsia="Arial" w:hAnsi="Arial"/>
          <w:sz w:val="17"/>
          <w:szCs w:val="17"/>
          <w:b w:val="1"/>
          <w:bCs w:val="1"/>
          <w:i w:val="1"/>
          <w:iCs w:val="1"/>
          <w:color w:val="auto"/>
        </w:rPr>
        <w:t>Business Combination Proposal</w:t>
      </w:r>
      <w:r>
        <w:rPr>
          <w:rFonts w:ascii="Arial" w:cs="Arial" w:eastAsia="Arial" w:hAnsi="Arial"/>
          <w:sz w:val="17"/>
          <w:szCs w:val="17"/>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Abstentions</w:t>
            </w:r>
          </w:p>
        </w:tc>
        <w:tc>
          <w:tcPr>
            <w:tcW w:w="248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39,300,046</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rPr>
              <w:t>4,639</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23,395</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r>
    </w:tbl>
    <w:p>
      <w:pPr>
        <w:spacing w:after="0" w:line="225" w:lineRule="exact"/>
        <w:rPr>
          <w:sz w:val="20"/>
          <w:szCs w:val="20"/>
          <w:color w:val="auto"/>
        </w:rPr>
      </w:pPr>
    </w:p>
    <w:p>
      <w:pPr>
        <w:jc w:val="both"/>
        <w:ind w:left="340" w:hanging="332"/>
        <w:spacing w:after="0" w:line="29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Proposal No. 2 — The Nasdaq Stock Issuance Proposal </w:t>
      </w:r>
      <w:r>
        <w:rPr>
          <w:rFonts w:ascii="Arial" w:cs="Arial" w:eastAsia="Arial" w:hAnsi="Arial"/>
          <w:sz w:val="16"/>
          <w:szCs w:val="16"/>
          <w:color w:val="auto"/>
        </w:rPr>
        <w:t>— to approve, assuming the Business Combination Proposal is approved and adopted,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purposes of complying with the applicable listing rules of the Nasdaq Stock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 the issuance of more than 20% of CMLS’s outstanding Class A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in connection with the Business Combination and the subscription agreements, each dated as of February 9, 2021 (the “</w:t>
      </w:r>
      <w:r>
        <w:rPr>
          <w:rFonts w:ascii="Arial" w:cs="Arial" w:eastAsia="Arial" w:hAnsi="Arial"/>
          <w:sz w:val="16"/>
          <w:szCs w:val="16"/>
          <w:b w:val="1"/>
          <w:bCs w:val="1"/>
          <w:i w:val="1"/>
          <w:iCs w:val="1"/>
          <w:color w:val="auto"/>
        </w:rPr>
        <w:t>PIPE Investor Subscription Agreements</w:t>
      </w:r>
      <w:r>
        <w:rPr>
          <w:rFonts w:ascii="Arial" w:cs="Arial" w:eastAsia="Arial" w:hAnsi="Arial"/>
          <w:sz w:val="16"/>
          <w:szCs w:val="16"/>
          <w:color w:val="auto"/>
        </w:rPr>
        <w:t>”), with certain institutional investors (including affiliates of CMLS’s sponsor and existing investors in Sema4) (the “</w:t>
      </w:r>
      <w:r>
        <w:rPr>
          <w:rFonts w:ascii="Arial" w:cs="Arial" w:eastAsia="Arial" w:hAnsi="Arial"/>
          <w:sz w:val="16"/>
          <w:szCs w:val="16"/>
          <w:b w:val="1"/>
          <w:bCs w:val="1"/>
          <w:i w:val="1"/>
          <w:iCs w:val="1"/>
          <w:color w:val="auto"/>
        </w:rPr>
        <w:t>PIPE Investors</w:t>
      </w:r>
      <w:r>
        <w:rPr>
          <w:rFonts w:ascii="Arial" w:cs="Arial" w:eastAsia="Arial" w:hAnsi="Arial"/>
          <w:sz w:val="16"/>
          <w:szCs w:val="16"/>
          <w:color w:val="auto"/>
        </w:rPr>
        <w:t>”), including (i) up to 35,000,000 shares of common stock to the PIPE Investors, which includes affiliates of CMLS’s sponsor that subscribed for 9,500,000 shares of common stock and (ii) up to 147,922,735 shares of common stock to holders of Sema4 capital stock pursuant to the terms of the Merger Agreement, (such proposal the “</w:t>
      </w:r>
      <w:r>
        <w:rPr>
          <w:rFonts w:ascii="Arial" w:cs="Arial" w:eastAsia="Arial" w:hAnsi="Arial"/>
          <w:sz w:val="16"/>
          <w:szCs w:val="16"/>
          <w:b w:val="1"/>
          <w:bCs w:val="1"/>
          <w:i w:val="1"/>
          <w:iCs w:val="1"/>
          <w:color w:val="auto"/>
        </w:rPr>
        <w:t>Nasdaq Stock Issuance Proposal</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Abstentions</w:t>
            </w:r>
          </w:p>
        </w:tc>
        <w:tc>
          <w:tcPr>
            <w:tcW w:w="248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39,265,951</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35,563</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26,566</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r>
    </w:tbl>
    <w:p>
      <w:pPr>
        <w:spacing w:after="0" w:line="225" w:lineRule="exact"/>
        <w:rPr>
          <w:sz w:val="20"/>
          <w:szCs w:val="20"/>
          <w:color w:val="auto"/>
        </w:rPr>
      </w:pPr>
    </w:p>
    <w:p>
      <w:pPr>
        <w:jc w:val="both"/>
        <w:ind w:left="340" w:hanging="332"/>
        <w:spacing w:after="0" w:line="281" w:lineRule="auto"/>
        <w:tabs>
          <w:tab w:leader="none" w:pos="34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Proposal No. 3 — The Charter Approval Proposal </w:t>
      </w:r>
      <w:r>
        <w:rPr>
          <w:rFonts w:ascii="Arial" w:cs="Arial" w:eastAsia="Arial" w:hAnsi="Arial"/>
          <w:sz w:val="17"/>
          <w:szCs w:val="17"/>
          <w:color w:val="auto"/>
        </w:rPr>
        <w:t>— to approve, assuming the Business Combination Proposal and the Nasdaq Stock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Proposal are approved and adopted, the proposed amended and restated certificate of incorporation of the Company in the form attached to CMLS’s definitive proxy statement dated July 2, 2021 (the “</w:t>
      </w:r>
      <w:r>
        <w:rPr>
          <w:rFonts w:ascii="Arial" w:cs="Arial" w:eastAsia="Arial" w:hAnsi="Arial"/>
          <w:sz w:val="17"/>
          <w:szCs w:val="17"/>
          <w:b w:val="1"/>
          <w:bCs w:val="1"/>
          <w:i w:val="1"/>
          <w:iCs w:val="1"/>
          <w:color w:val="auto"/>
        </w:rPr>
        <w:t>Proposed Charter</w:t>
      </w:r>
      <w:r>
        <w:rPr>
          <w:rFonts w:ascii="Arial" w:cs="Arial" w:eastAsia="Arial" w:hAnsi="Arial"/>
          <w:sz w:val="17"/>
          <w:szCs w:val="17"/>
          <w:color w:val="auto"/>
        </w:rPr>
        <w:t>”), which will replace CMLS’s current amended and restated certificate of incorporation, dated September 1, 2020 (the “</w:t>
      </w:r>
      <w:r>
        <w:rPr>
          <w:rFonts w:ascii="Arial" w:cs="Arial" w:eastAsia="Arial" w:hAnsi="Arial"/>
          <w:sz w:val="17"/>
          <w:szCs w:val="17"/>
          <w:b w:val="1"/>
          <w:bCs w:val="1"/>
          <w:i w:val="1"/>
          <w:iCs w:val="1"/>
          <w:color w:val="auto"/>
        </w:rPr>
        <w:t>Current Charter</w:t>
      </w:r>
      <w:r>
        <w:rPr>
          <w:rFonts w:ascii="Arial" w:cs="Arial" w:eastAsia="Arial" w:hAnsi="Arial"/>
          <w:sz w:val="17"/>
          <w:szCs w:val="17"/>
          <w:color w:val="auto"/>
        </w:rPr>
        <w:t>”), (such proposal the “</w:t>
      </w:r>
      <w:r>
        <w:rPr>
          <w:rFonts w:ascii="Arial" w:cs="Arial" w:eastAsia="Arial" w:hAnsi="Arial"/>
          <w:sz w:val="17"/>
          <w:szCs w:val="17"/>
          <w:b w:val="1"/>
          <w:bCs w:val="1"/>
          <w:i w:val="1"/>
          <w:iCs w:val="1"/>
          <w:color w:val="auto"/>
        </w:rPr>
        <w:t>Charter Approval Proposal</w:t>
      </w:r>
      <w:r>
        <w:rPr>
          <w:rFonts w:ascii="Arial" w:cs="Arial" w:eastAsia="Arial" w:hAnsi="Arial"/>
          <w:sz w:val="17"/>
          <w:szCs w:val="17"/>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Abstentions</w:t>
            </w:r>
          </w:p>
        </w:tc>
        <w:tc>
          <w:tcPr>
            <w:tcW w:w="248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09"/>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38,632,981</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669,832</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25,267</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Proposal No.4 — Governance Proposal — </w:t>
      </w:r>
      <w:r>
        <w:rPr>
          <w:rFonts w:ascii="Arial" w:cs="Arial" w:eastAsia="Arial" w:hAnsi="Arial"/>
          <w:sz w:val="18"/>
          <w:szCs w:val="18"/>
          <w:color w:val="auto"/>
        </w:rPr>
        <w:t>to approve, on a non-binding advisory basis, a separate proposal, which would change the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vote required to amend the Company’s certificate of incorporation from a simple majority to an affirmative vote of at least two-thirds of the stockholders of the Company, as further described in CMLS’s definitive proxy statement dated July 2, 2021, (such proposal the “</w:t>
      </w:r>
      <w:r>
        <w:rPr>
          <w:rFonts w:ascii="Arial" w:cs="Arial" w:eastAsia="Arial" w:hAnsi="Arial"/>
          <w:sz w:val="18"/>
          <w:szCs w:val="18"/>
          <w:b w:val="1"/>
          <w:bCs w:val="1"/>
          <w:i w:val="1"/>
          <w:iCs w:val="1"/>
          <w:color w:val="auto"/>
        </w:rPr>
        <w:t>Governance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Proposal</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Abstentions</w:t>
            </w:r>
          </w:p>
        </w:tc>
        <w:tc>
          <w:tcPr>
            <w:tcW w:w="248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32,316,256</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6,983,639</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28,185</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jc w:val="both"/>
        <w:ind w:left="340" w:hanging="332"/>
        <w:spacing w:after="0" w:line="303"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Proposal No. 5 — The Incentive Plan Proposal — </w:t>
      </w:r>
      <w:r>
        <w:rPr>
          <w:rFonts w:ascii="Arial" w:cs="Arial" w:eastAsia="Arial" w:hAnsi="Arial"/>
          <w:sz w:val="16"/>
          <w:szCs w:val="16"/>
          <w:color w:val="auto"/>
        </w:rPr>
        <w:t>to approve, assuming the Business Combination Proposal, the Nasdaq Stock Issuance Proposal</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Charter Approval Proposal are approved and adopted, the Sema4 Holdings Corp 2021 Equity Incentive Plan (the “</w:t>
      </w:r>
      <w:r>
        <w:rPr>
          <w:rFonts w:ascii="Arial" w:cs="Arial" w:eastAsia="Arial" w:hAnsi="Arial"/>
          <w:sz w:val="16"/>
          <w:szCs w:val="16"/>
          <w:b w:val="1"/>
          <w:bCs w:val="1"/>
          <w:i w:val="1"/>
          <w:iCs w:val="1"/>
          <w:color w:val="auto"/>
        </w:rPr>
        <w:t>Sema4 Holdings Corp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Incentive Plan</w:t>
      </w:r>
      <w:r>
        <w:rPr>
          <w:rFonts w:ascii="Arial" w:cs="Arial" w:eastAsia="Arial" w:hAnsi="Arial"/>
          <w:sz w:val="16"/>
          <w:szCs w:val="16"/>
          <w:color w:val="auto"/>
        </w:rPr>
        <w:t>”), including the authorization of the initial share reserve under the Sema4 Holdings Corp Incentive Plan, including with respect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shares that may be issued pursuant to the exercise of incentive stock options granted (such proposal the “</w:t>
      </w:r>
      <w:r>
        <w:rPr>
          <w:rFonts w:ascii="Arial" w:cs="Arial" w:eastAsia="Arial" w:hAnsi="Arial"/>
          <w:sz w:val="16"/>
          <w:szCs w:val="16"/>
          <w:b w:val="1"/>
          <w:bCs w:val="1"/>
          <w:i w:val="1"/>
          <w:iCs w:val="1"/>
          <w:color w:val="auto"/>
        </w:rPr>
        <w:t>Incentive Plan Proposal</w:t>
      </w:r>
      <w:r>
        <w:rPr>
          <w:rFonts w:ascii="Arial" w:cs="Arial" w:eastAsia="Arial" w:hAnsi="Arial"/>
          <w:sz w:val="16"/>
          <w:szCs w:val="16"/>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Abstentions</w:t>
            </w:r>
          </w:p>
        </w:tc>
        <w:tc>
          <w:tcPr>
            <w:tcW w:w="248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34,310,920</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4,942,837</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74,323</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40" w:hanging="332"/>
        <w:spacing w:after="0" w:line="289"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Proposal No. 6 — The ESPP Proposal — </w:t>
      </w:r>
      <w:r>
        <w:rPr>
          <w:rFonts w:ascii="Arial" w:cs="Arial" w:eastAsia="Arial" w:hAnsi="Arial"/>
          <w:sz w:val="17"/>
          <w:szCs w:val="17"/>
          <w:color w:val="auto"/>
        </w:rPr>
        <w:t>to approve, assuming the Business Combination Proposal, the Nasdaq Stock Issuance Proposal, the Charter</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Proposal and the Incentive Plan Proposal are approved and adopted, the Sema4 Holdings Corp 2021 Employee Stock Purchase Plan (the “</w:t>
      </w:r>
      <w:r>
        <w:rPr>
          <w:rFonts w:ascii="Arial" w:cs="Arial" w:eastAsia="Arial" w:hAnsi="Arial"/>
          <w:sz w:val="17"/>
          <w:szCs w:val="17"/>
          <w:b w:val="1"/>
          <w:bCs w:val="1"/>
          <w:i w:val="1"/>
          <w:iCs w:val="1"/>
          <w:color w:val="auto"/>
        </w:rPr>
        <w:t>ESPP</w:t>
      </w:r>
      <w:r>
        <w:rPr>
          <w:rFonts w:ascii="Arial" w:cs="Arial" w:eastAsia="Arial" w:hAnsi="Arial"/>
          <w:sz w:val="17"/>
          <w:szCs w:val="17"/>
          <w:color w:val="auto"/>
        </w:rPr>
        <w:t>”), including the authorization of the initial share reserve under the ESPP (such proposal the “</w:t>
      </w:r>
      <w:r>
        <w:rPr>
          <w:rFonts w:ascii="Arial" w:cs="Arial" w:eastAsia="Arial" w:hAnsi="Arial"/>
          <w:sz w:val="17"/>
          <w:szCs w:val="17"/>
          <w:b w:val="1"/>
          <w:bCs w:val="1"/>
          <w:i w:val="1"/>
          <w:iCs w:val="1"/>
          <w:color w:val="auto"/>
        </w:rPr>
        <w:t>ESPP Proposal</w:t>
      </w:r>
      <w:r>
        <w:rPr>
          <w:rFonts w:ascii="Arial" w:cs="Arial" w:eastAsia="Arial" w:hAnsi="Arial"/>
          <w:sz w:val="17"/>
          <w:szCs w:val="17"/>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Abstentions</w:t>
            </w:r>
          </w:p>
        </w:tc>
        <w:tc>
          <w:tcPr>
            <w:tcW w:w="248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09"/>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36,408,724</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2,843,771</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75,585</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40" w:hanging="332"/>
        <w:spacing w:after="0" w:line="273"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Proposal No. 7 — The Director Election Proposal — </w:t>
      </w:r>
      <w:r>
        <w:rPr>
          <w:rFonts w:ascii="Arial" w:cs="Arial" w:eastAsia="Arial" w:hAnsi="Arial"/>
          <w:sz w:val="17"/>
          <w:szCs w:val="17"/>
          <w:color w:val="auto"/>
        </w:rPr>
        <w:t>to approve, assuming the Business Combination Proposal, the Nasdaq Stock Issuance Proposal,</w:t>
      </w:r>
      <w:r>
        <w:rPr>
          <w:rFonts w:ascii="Arial" w:cs="Arial" w:eastAsia="Arial" w:hAnsi="Arial"/>
          <w:sz w:val="17"/>
          <w:szCs w:val="17"/>
          <w:b w:val="1"/>
          <w:bCs w:val="1"/>
          <w:color w:val="auto"/>
        </w:rPr>
        <w:t xml:space="preserve"> </w:t>
      </w:r>
      <w:r>
        <w:rPr>
          <w:rFonts w:ascii="Arial" w:cs="Arial" w:eastAsia="Arial" w:hAnsi="Arial"/>
          <w:sz w:val="17"/>
          <w:szCs w:val="17"/>
          <w:color w:val="auto"/>
        </w:rPr>
        <w:t>the Charter Approval Proposal, the Incentive Plan Proposal and the ESPP Proposal are approved and adopted (the “</w:t>
      </w:r>
      <w:r>
        <w:rPr>
          <w:rFonts w:ascii="Arial" w:cs="Arial" w:eastAsia="Arial" w:hAnsi="Arial"/>
          <w:sz w:val="17"/>
          <w:szCs w:val="17"/>
          <w:b w:val="1"/>
          <w:bCs w:val="1"/>
          <w:i w:val="1"/>
          <w:iCs w:val="1"/>
          <w:color w:val="auto"/>
        </w:rPr>
        <w:t>Condition Precedent Proposals</w:t>
      </w:r>
      <w:r>
        <w:rPr>
          <w:rFonts w:ascii="Arial" w:cs="Arial" w:eastAsia="Arial" w:hAnsi="Arial"/>
          <w:sz w:val="17"/>
          <w:szCs w:val="17"/>
          <w:color w:val="auto"/>
        </w:rPr>
        <w:t>”), the election of nine (9) directors to serve on the Company’s board of directors, each for a three-year term or until such director’s successor has been duly elected and qualified, or until such director’s earlier death, resignation, retirement or removal; alternatively, in the event the Condition Precedent Proposals are not approved, to elect two directors to serve as Class I directors on CMLS’s board of directors, each for a term of three years expiring at the annual meeting of stockholders to be held in 2024 or until such director’s successor has been duly elected and qualified, or until such director’s earlier death, resignation, retirement or removal, (such proposal the “</w:t>
      </w:r>
      <w:r>
        <w:rPr>
          <w:rFonts w:ascii="Arial" w:cs="Arial" w:eastAsia="Arial" w:hAnsi="Arial"/>
          <w:sz w:val="17"/>
          <w:szCs w:val="17"/>
          <w:b w:val="1"/>
          <w:bCs w:val="1"/>
          <w:i w:val="1"/>
          <w:iCs w:val="1"/>
          <w:color w:val="auto"/>
        </w:rPr>
        <w:t>Director Election Proposal</w:t>
      </w:r>
      <w:r>
        <w:rPr>
          <w:rFonts w:ascii="Arial" w:cs="Arial" w:eastAsia="Arial" w:hAnsi="Arial"/>
          <w:sz w:val="17"/>
          <w:szCs w:val="17"/>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Abstentions</w:t>
            </w:r>
          </w:p>
        </w:tc>
        <w:tc>
          <w:tcPr>
            <w:tcW w:w="248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09"/>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38,456,600</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47,528</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823,952</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40" w:hanging="332"/>
        <w:spacing w:after="0" w:line="281"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Proposal No. 8 — The Adjournment Proposal — </w:t>
      </w:r>
      <w:r>
        <w:rPr>
          <w:rFonts w:ascii="Arial" w:cs="Arial" w:eastAsia="Arial" w:hAnsi="Arial"/>
          <w:sz w:val="17"/>
          <w:szCs w:val="17"/>
          <w:color w:val="auto"/>
        </w:rPr>
        <w:t>to consider and vote upon a proposal to approve, if necessary, the adjournment of the Special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to a later date or dates to permit further solicitation and vote of proxies in the event that there are insufficient votes for, or otherwise in connection with, the approval of any of the any of the Business Combination Proposal, the Nasdaq Stock Issuance Proposal, the Charter Approval Proposal, the Incentive Plan Proposal and the ESPP Proposal, (such proposal the “</w:t>
      </w:r>
      <w:r>
        <w:rPr>
          <w:rFonts w:ascii="Arial" w:cs="Arial" w:eastAsia="Arial" w:hAnsi="Arial"/>
          <w:sz w:val="17"/>
          <w:szCs w:val="17"/>
          <w:b w:val="1"/>
          <w:bCs w:val="1"/>
          <w:i w:val="1"/>
          <w:iCs w:val="1"/>
          <w:color w:val="auto"/>
        </w:rPr>
        <w:t>Adjournment Proposal</w:t>
      </w:r>
      <w:r>
        <w:rPr>
          <w:rFonts w:ascii="Arial" w:cs="Arial" w:eastAsia="Arial" w:hAnsi="Arial"/>
          <w:sz w:val="17"/>
          <w:szCs w:val="17"/>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Abstentions</w:t>
            </w:r>
          </w:p>
        </w:tc>
        <w:tc>
          <w:tcPr>
            <w:tcW w:w="248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39,273,271</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21,716</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33,093</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The Auditor Ratification Proposal — </w:t>
      </w:r>
      <w:r>
        <w:rPr>
          <w:rFonts w:ascii="Arial" w:cs="Arial" w:eastAsia="Arial" w:hAnsi="Arial"/>
          <w:sz w:val="18"/>
          <w:szCs w:val="18"/>
          <w:color w:val="auto"/>
        </w:rPr>
        <w:t>To consider and vote upon a proposal to approve the ratification of WithumSmith+ Brown,</w:t>
      </w:r>
      <w:r>
        <w:rPr>
          <w:rFonts w:ascii="Arial" w:cs="Arial" w:eastAsia="Arial" w:hAnsi="Arial"/>
          <w:sz w:val="18"/>
          <w:szCs w:val="18"/>
          <w:b w:val="1"/>
          <w:bCs w:val="1"/>
          <w:color w:val="auto"/>
        </w:rPr>
        <w:t xml:space="preserve"> </w:t>
      </w:r>
      <w:r>
        <w:rPr>
          <w:rFonts w:ascii="Arial" w:cs="Arial" w:eastAsia="Arial" w:hAnsi="Arial"/>
          <w:sz w:val="18"/>
          <w:szCs w:val="18"/>
          <w:color w:val="auto"/>
        </w:rPr>
        <w:t>PC as CMLS’s independent registered public accounting firm for the fiscal year ending December 31, 2020 (such proposal the “</w:t>
      </w:r>
      <w:r>
        <w:rPr>
          <w:rFonts w:ascii="Arial" w:cs="Arial" w:eastAsia="Arial" w:hAnsi="Arial"/>
          <w:sz w:val="18"/>
          <w:szCs w:val="18"/>
          <w:b w:val="1"/>
          <w:bCs w:val="1"/>
          <w:i w:val="1"/>
          <w:iCs w:val="1"/>
          <w:color w:val="auto"/>
        </w:rPr>
        <w:t>Auditor Ratification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Proposal</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Abstentions</w:t>
            </w:r>
          </w:p>
        </w:tc>
        <w:tc>
          <w:tcPr>
            <w:tcW w:w="2480" w:type="dxa"/>
            <w:vAlign w:val="bottom"/>
          </w:tcPr>
          <w:p>
            <w:pPr>
              <w:ind w:left="56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36,174,788</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23,072</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3,130,220</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Emes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2021</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lowerLetter"/>
      <w:start w:val="3"/>
    </w:lvl>
  </w:abstractNum>
  <w:abstractNum w:abstractNumId="4">
    <w:nsid w:val="79E2A9E3"/>
    <w:multiLevelType w:val="hybridMultilevel"/>
    <w:lvl w:ilvl="0">
      <w:lvlJc w:val="left"/>
      <w:lvlText w:val="(%1)"/>
      <w:numFmt w:val="lowerLetter"/>
      <w:start w:val="4"/>
    </w:lvl>
  </w:abstractNum>
  <w:abstractNum w:abstractNumId="5">
    <w:nsid w:val="7545E146"/>
    <w:multiLevelType w:val="hybridMultilevel"/>
    <w:lvl w:ilvl="0">
      <w:lvlJc w:val="left"/>
      <w:lvlText w:val="(%1)"/>
      <w:numFmt w:val="lowerLetter"/>
      <w:start w:val="5"/>
    </w:lvl>
  </w:abstractNum>
  <w:abstractNum w:abstractNumId="6">
    <w:nsid w:val="515F007C"/>
    <w:multiLevelType w:val="hybridMultilevel"/>
    <w:lvl w:ilvl="0">
      <w:lvlJc w:val="left"/>
      <w:lvlText w:val="(%1)"/>
      <w:numFmt w:val="lowerLetter"/>
      <w:start w:val="6"/>
    </w:lvl>
  </w:abstractNum>
  <w:abstractNum w:abstractNumId="7">
    <w:nsid w:val="5BD062C2"/>
    <w:multiLevelType w:val="hybridMultilevel"/>
    <w:lvl w:ilvl="0">
      <w:lvlJc w:val="left"/>
      <w:lvlText w:val="(%1)"/>
      <w:numFmt w:val="lowerLetter"/>
      <w:start w:val="7"/>
    </w:lvl>
  </w:abstractNum>
  <w:abstractNum w:abstractNumId="8">
    <w:nsid w:val="12200854"/>
    <w:multiLevelType w:val="hybridMultilevel"/>
    <w:lvl w:ilvl="0">
      <w:lvlJc w:val="left"/>
      <w:lvlText w:val="(%1)"/>
      <w:numFmt w:val="lowerLetter"/>
      <w:start w:val="8"/>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2021-07-22T05:16:09Z</dcterms:created>
  <dcterms:modified xsi:type="dcterms:W3CDTF">2021-07-22T05:16:09Z</dcterms:modified>
</cp:coreProperties>
</file>