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5093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09397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Casdin Eli</w:t>
              </w:r>
            </w:hyperlink>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8"/>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Sema4 Holdings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SMFR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SEMA4 HOLDINGS CORP.</w:t>
            </w:r>
          </w:p>
        </w:tc>
        <w:tc>
          <w:tcPr>
            <w:tcW w:w="1100" w:type="dxa"/>
            <w:vAlign w:val="bottom"/>
          </w:tcPr>
          <w:p>
            <w:pPr>
              <w:spacing w:after="0"/>
              <w:rPr>
                <w:sz w:val="18"/>
                <w:szCs w:val="18"/>
                <w:color w:val="auto"/>
              </w:rPr>
            </w:pP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05/02/2022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6"/>
            <w:vMerge w:val="continue"/>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333 LUDLOW ST, NORTH TOWER, 8TH FL.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CT</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06902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9"/>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78,914</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gridSpan w:val="2"/>
            <w:vMerge w:val="restart"/>
          </w:tcPr>
          <w:p>
            <w:pPr>
              <w:jc w:val="center"/>
              <w:ind w:righ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2.155</w:t>
            </w:r>
          </w:p>
        </w:tc>
        <w:tc>
          <w:tcPr>
            <w:tcW w:w="140" w:type="dxa"/>
            <w:vAlign w:val="bottom"/>
          </w:tcPr>
          <w:p>
            <w:pPr>
              <w:spacing w:after="0"/>
              <w:rPr>
                <w:sz w:val="6"/>
                <w:szCs w:val="6"/>
                <w:color w:val="auto"/>
              </w:rPr>
            </w:pPr>
          </w:p>
        </w:tc>
        <w:tc>
          <w:tcPr>
            <w:tcW w:w="1080" w:type="dxa"/>
            <w:vAlign w:val="bottom"/>
            <w:vMerge w:val="restart"/>
          </w:tcPr>
          <w:p>
            <w:pPr>
              <w:jc w:val="right"/>
              <w:ind w:right="173"/>
              <w:spacing w:after="0" w:line="142" w:lineRule="exact"/>
              <w:rPr>
                <w:sz w:val="20"/>
                <w:szCs w:val="20"/>
                <w:color w:val="auto"/>
              </w:rPr>
            </w:pPr>
            <w:r>
              <w:rPr>
                <w:rFonts w:ascii="Times New Roman" w:cs="Times New Roman" w:eastAsia="Times New Roman" w:hAnsi="Times New Roman"/>
                <w:sz w:val="13"/>
                <w:szCs w:val="13"/>
                <w:color w:val="0000FF"/>
              </w:rPr>
              <w:t>05/02/2022</w:t>
            </w: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78,914</w:t>
            </w:r>
          </w:p>
        </w:tc>
        <w:tc>
          <w:tcPr>
            <w:tcW w:w="3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gridSpan w:val="2"/>
            <w:vMerge w:val="restart"/>
          </w:tcPr>
          <w:p>
            <w:pPr>
              <w:jc w:val="right"/>
              <w:ind w:right="3"/>
              <w:spacing w:after="0" w:line="142" w:lineRule="exact"/>
              <w:rPr>
                <w:sz w:val="20"/>
                <w:szCs w:val="20"/>
                <w:color w:val="auto"/>
              </w:rPr>
            </w:pPr>
            <w:r>
              <w:rPr>
                <w:rFonts w:ascii="Times New Roman" w:cs="Times New Roman" w:eastAsia="Times New Roman" w:hAnsi="Times New Roman"/>
                <w:sz w:val="13"/>
                <w:szCs w:val="13"/>
                <w:color w:val="0000FF"/>
              </w:rPr>
              <w:t>05/01/2032</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78,914</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45,454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restart"/>
          </w:tcPr>
          <w:p>
            <w:pPr>
              <w:jc w:val="right"/>
              <w:ind w:right="173"/>
              <w:spacing w:after="0" w:line="142" w:lineRule="exact"/>
              <w:rPr>
                <w:sz w:val="20"/>
                <w:szCs w:val="20"/>
                <w:color w:val="auto"/>
              </w:rPr>
            </w:pPr>
            <w:r>
              <w:rPr>
                <w:rFonts w:ascii="Times New Roman" w:cs="Times New Roman" w:eastAsia="Times New Roman" w:hAnsi="Times New Roman"/>
                <w:sz w:val="13"/>
                <w:szCs w:val="13"/>
                <w:color w:val="0000FF"/>
              </w:rPr>
              <w:t>05/02/2022</w:t>
            </w: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45,454</w:t>
            </w:r>
          </w:p>
        </w:tc>
        <w:tc>
          <w:tcPr>
            <w:tcW w:w="3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45,454</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-2452370</wp:posOffset>
            </wp:positionV>
            <wp:extent cx="29210" cy="2457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45745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underlying shares shall vest the earlier of (a) the date of the next annual meeting of the Issuer's shareholders following the grant date, and (b) the first anniversary of the grant date, subject to the Reporting Person continuing to provide services to the Issuer through each vesting date.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1 share of the Issuer's Class A Common Stock upon settlement for no consideration.</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Daniel Clark, Attorney-in-</w:t>
            </w:r>
          </w:p>
        </w:tc>
        <w:tc>
          <w:tcPr>
            <w:tcW w:w="2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05/04/2022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4264"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2022-05-04T19:32:45Z</dcterms:created>
  <dcterms:modified xsi:type="dcterms:W3CDTF">2022-05-04T19:32:45Z</dcterms:modified>
</cp:coreProperties>
</file>