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9"/>
          <w:szCs w:val="19"/>
          <w:b w:val="1"/>
          <w:bCs w:val="1"/>
          <w:color w:val="auto"/>
        </w:rPr>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231F20"/>
        </w:rPr>
        <w:t>CURRENT REPORT</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231F20"/>
        </w:rPr>
        <w:t>Pursuant to Section 13 OR 15(d) of The Securities Exchange Act of 1934</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 xml:space="preserve">Date of Report (date of earliest event reported): </w:t>
      </w:r>
      <w:r>
        <w:rPr>
          <w:rFonts w:ascii="Times New Roman" w:cs="Times New Roman" w:eastAsia="Times New Roman" w:hAnsi="Times New Roman"/>
          <w:sz w:val="12"/>
          <w:szCs w:val="12"/>
          <w:b w:val="1"/>
          <w:bCs w:val="1"/>
          <w:color w:val="auto"/>
        </w:rPr>
        <w:t>January 8, 2024</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Commission file number 001-39482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2875280</wp:posOffset>
            </wp:positionH>
            <wp:positionV relativeFrom="paragraph">
              <wp:posOffset>59055</wp:posOffset>
            </wp:positionV>
            <wp:extent cx="1423035" cy="4914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4914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GeneDx Holdings Corp.</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ectPr>
          <w:pgSz w:w="11900" w:h="16838" w:orient="portrait"/>
          <w:cols w:equalWidth="0" w:num="1">
            <w:col w:w="11300"/>
          </w:cols>
          <w:pgMar w:left="300" w:top="862" w:right="299" w:bottom="1440" w:gutter="0" w:footer="0" w:header="0"/>
        </w:sectPr>
      </w:pPr>
    </w:p>
    <w:p>
      <w:pPr>
        <w:spacing w:after="0" w:line="101" w:lineRule="exact"/>
        <w:rPr>
          <w:sz w:val="24"/>
          <w:szCs w:val="24"/>
          <w:color w:val="auto"/>
        </w:rPr>
      </w:pPr>
    </w:p>
    <w:p>
      <w:pPr>
        <w:ind w:left="2680"/>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20" w:lineRule="exact"/>
        <w:rPr>
          <w:sz w:val="24"/>
          <w:szCs w:val="24"/>
          <w:color w:val="auto"/>
        </w:rPr>
      </w:pPr>
      <w:r>
        <w:rPr>
          <w:sz w:val="24"/>
          <w:szCs w:val="24"/>
          <w:color w:val="auto"/>
        </w:rPr>
        <w:br w:type="column"/>
      </w:r>
    </w:p>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85-1966622</w:t>
      </w:r>
    </w:p>
    <w:p>
      <w:pPr>
        <w:spacing w:after="0" w:line="49" w:lineRule="exact"/>
        <w:rPr>
          <w:sz w:val="24"/>
          <w:szCs w:val="24"/>
          <w:color w:val="auto"/>
        </w:rPr>
      </w:pPr>
    </w:p>
    <w:p>
      <w:pPr>
        <w:sectPr>
          <w:pgSz w:w="11900" w:h="16838" w:orient="portrait"/>
          <w:cols w:equalWidth="0" w:num="2">
            <w:col w:w="7360" w:space="720"/>
            <w:col w:w="3220"/>
          </w:cols>
          <w:pgMar w:left="300" w:top="862" w:right="299" w:bottom="1440" w:gutter="0" w:footer="0" w:header="0"/>
          <w:type w:val="continuous"/>
        </w:sectPr>
      </w:pPr>
    </w:p>
    <w:p>
      <w:pPr>
        <w:ind w:left="1480"/>
        <w:spacing w:after="0"/>
        <w:rPr>
          <w:sz w:val="20"/>
          <w:szCs w:val="20"/>
          <w:color w:val="auto"/>
        </w:rPr>
      </w:pPr>
      <w:r>
        <w:rPr>
          <w:rFonts w:ascii="Times New Roman" w:cs="Times New Roman" w:eastAsia="Times New Roman" w:hAnsi="Times New Roman"/>
          <w:sz w:val="12"/>
          <w:szCs w:val="12"/>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color w:val="auto"/>
        </w:rPr>
        <w:t>(I.R.S. Employer Identification No.)</w:t>
      </w:r>
    </w:p>
    <w:p>
      <w:pPr>
        <w:spacing w:after="0" w:line="76" w:lineRule="exact"/>
        <w:rPr>
          <w:sz w:val="24"/>
          <w:szCs w:val="24"/>
          <w:color w:val="auto"/>
        </w:rPr>
      </w:pPr>
    </w:p>
    <w:p>
      <w:pPr>
        <w:sectPr>
          <w:pgSz w:w="11900" w:h="16838" w:orient="portrait"/>
          <w:cols w:equalWidth="0" w:num="2">
            <w:col w:w="6780" w:space="720"/>
            <w:col w:w="3800"/>
          </w:cols>
          <w:pgMar w:left="300" w:top="862" w:right="29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333 Ludlow Street, North Tower; 6th Floor</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Stamford, Connecticut 06902</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(Address of Principal Executive Offices) (Zip Code)</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 xml:space="preserve">Registrant's telephone number, including area code: </w:t>
      </w:r>
      <w:r>
        <w:rPr>
          <w:rFonts w:ascii="Times New Roman" w:cs="Times New Roman" w:eastAsia="Times New Roman" w:hAnsi="Times New Roman"/>
          <w:sz w:val="12"/>
          <w:szCs w:val="12"/>
          <w:b w:val="1"/>
          <w:bCs w:val="1"/>
          <w:color w:val="auto"/>
        </w:rPr>
        <w:t>(800) 298-6470</w:t>
      </w: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68" w:lineRule="exact"/>
        <w:rPr>
          <w:sz w:val="24"/>
          <w:szCs w:val="24"/>
          <w:color w:val="auto"/>
        </w:rPr>
      </w:pPr>
    </w:p>
    <w:p>
      <w:pPr>
        <w:ind w:left="160" w:hanging="141"/>
        <w:spacing w:after="0"/>
        <w:tabs>
          <w:tab w:leader="none" w:pos="1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78" w:lineRule="exact"/>
        <w:rPr>
          <w:rFonts w:ascii="MS PGothic" w:cs="MS PGothic" w:eastAsia="MS PGothic" w:hAnsi="MS PGothic"/>
          <w:sz w:val="12"/>
          <w:szCs w:val="12"/>
          <w:color w:val="auto"/>
        </w:rPr>
      </w:pPr>
    </w:p>
    <w:p>
      <w:pPr>
        <w:ind w:left="160" w:hanging="141"/>
        <w:spacing w:after="0"/>
        <w:tabs>
          <w:tab w:leader="none" w:pos="1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231F20"/>
        </w:rPr>
        <w:t>Soliciting material pursuant to Rule 14a-12 under the Exchange Act (17 CFR 240.14a-12)</w:t>
      </w:r>
    </w:p>
    <w:p>
      <w:pPr>
        <w:spacing w:after="0" w:line="78" w:lineRule="exact"/>
        <w:rPr>
          <w:rFonts w:ascii="MS PGothic" w:cs="MS PGothic" w:eastAsia="MS PGothic" w:hAnsi="MS PGothic"/>
          <w:sz w:val="12"/>
          <w:szCs w:val="12"/>
          <w:color w:val="auto"/>
        </w:rPr>
      </w:pPr>
    </w:p>
    <w:p>
      <w:pPr>
        <w:ind w:left="160" w:hanging="141"/>
        <w:spacing w:after="0"/>
        <w:tabs>
          <w:tab w:leader="none" w:pos="1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231F20"/>
        </w:rPr>
        <w:t>Pre-commencement communications pursuant to Rule 14d-2(b) under the Exchange Act (17 CFR 240.14d-2(b))</w:t>
      </w:r>
    </w:p>
    <w:p>
      <w:pPr>
        <w:spacing w:after="0" w:line="78" w:lineRule="exact"/>
        <w:rPr>
          <w:rFonts w:ascii="MS PGothic" w:cs="MS PGothic" w:eastAsia="MS PGothic" w:hAnsi="MS PGothic"/>
          <w:sz w:val="12"/>
          <w:szCs w:val="12"/>
          <w:color w:val="auto"/>
        </w:rPr>
      </w:pPr>
    </w:p>
    <w:p>
      <w:pPr>
        <w:ind w:left="160" w:hanging="141"/>
        <w:spacing w:after="0"/>
        <w:tabs>
          <w:tab w:leader="none" w:pos="1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231F20"/>
        </w:rPr>
        <w:t>Pre-commencement communications pursuant to Rule 13e-4(c) under the Exchange Act (17 CFR 240.13e-4(c))</w:t>
      </w: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49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12(b) of the Act:</w:t>
            </w:r>
          </w:p>
        </w:tc>
        <w:tc>
          <w:tcPr>
            <w:tcW w:w="2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340" w:type="dxa"/>
            <w:vAlign w:val="bottom"/>
          </w:tcPr>
          <w:p>
            <w:pPr>
              <w:spacing w:after="0"/>
              <w:rPr>
                <w:sz w:val="13"/>
                <w:szCs w:val="13"/>
                <w:color w:val="auto"/>
              </w:rPr>
            </w:pPr>
          </w:p>
        </w:tc>
      </w:tr>
      <w:tr>
        <w:trPr>
          <w:trHeight w:val="243"/>
        </w:trPr>
        <w:tc>
          <w:tcPr>
            <w:tcW w:w="4900" w:type="dxa"/>
            <w:vAlign w:val="bottom"/>
            <w:gridSpan w:val="2"/>
          </w:tcPr>
          <w:p>
            <w:pPr>
              <w:ind w:left="1960"/>
              <w:spacing w:after="0"/>
              <w:rPr>
                <w:sz w:val="20"/>
                <w:szCs w:val="20"/>
                <w:color w:val="auto"/>
              </w:rPr>
            </w:pPr>
            <w:r>
              <w:rPr>
                <w:rFonts w:ascii="Times New Roman" w:cs="Times New Roman" w:eastAsia="Times New Roman" w:hAnsi="Times New Roman"/>
                <w:sz w:val="12"/>
                <w:szCs w:val="12"/>
                <w:b w:val="1"/>
                <w:bCs w:val="1"/>
                <w:color w:val="auto"/>
              </w:rPr>
              <w:t>Title of each class</w:t>
            </w:r>
          </w:p>
        </w:tc>
        <w:tc>
          <w:tcPr>
            <w:tcW w:w="20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7"/>
              </w:rPr>
              <w:t>Trading Symbol</w:t>
            </w:r>
          </w:p>
        </w:tc>
        <w:tc>
          <w:tcPr>
            <w:tcW w:w="43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r>
      <w:tr>
        <w:trPr>
          <w:trHeight w:val="140"/>
        </w:trPr>
        <w:tc>
          <w:tcPr>
            <w:tcW w:w="4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Class A common stock, par value $0.0001 per share</w:t>
            </w:r>
          </w:p>
        </w:tc>
        <w:tc>
          <w:tcPr>
            <w:tcW w:w="80" w:type="dxa"/>
            <w:vAlign w:val="bottom"/>
          </w:tcPr>
          <w:p>
            <w:pPr>
              <w:spacing w:after="0"/>
              <w:rPr>
                <w:sz w:val="12"/>
                <w:szCs w:val="12"/>
                <w:color w:val="auto"/>
              </w:rPr>
            </w:pPr>
          </w:p>
        </w:tc>
        <w:tc>
          <w:tcPr>
            <w:tcW w:w="2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WGS</w:t>
            </w:r>
          </w:p>
        </w:tc>
        <w:tc>
          <w:tcPr>
            <w:tcW w:w="60" w:type="dxa"/>
            <w:vAlign w:val="bottom"/>
          </w:tcPr>
          <w:p>
            <w:pPr>
              <w:spacing w:after="0"/>
              <w:rPr>
                <w:sz w:val="12"/>
                <w:szCs w:val="12"/>
                <w:color w:val="auto"/>
              </w:rPr>
            </w:pPr>
          </w:p>
        </w:tc>
        <w:tc>
          <w:tcPr>
            <w:tcW w:w="4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The Nasdaq Stock Market LLC</w:t>
            </w:r>
          </w:p>
        </w:tc>
      </w:tr>
      <w:tr>
        <w:trPr>
          <w:trHeight w:val="119"/>
        </w:trPr>
        <w:tc>
          <w:tcPr>
            <w:tcW w:w="4900" w:type="dxa"/>
            <w:vAlign w:val="bottom"/>
            <w:gridSpan w:val="2"/>
          </w:tcPr>
          <w:p>
            <w:pPr>
              <w:spacing w:after="0" w:line="119" w:lineRule="exact"/>
              <w:rPr>
                <w:sz w:val="20"/>
                <w:szCs w:val="20"/>
                <w:color w:val="auto"/>
              </w:rPr>
            </w:pPr>
            <w:r>
              <w:rPr>
                <w:rFonts w:ascii="Times New Roman" w:cs="Times New Roman" w:eastAsia="Times New Roman" w:hAnsi="Times New Roman"/>
                <w:sz w:val="12"/>
                <w:szCs w:val="12"/>
                <w:color w:val="auto"/>
              </w:rPr>
              <w:t>Warrants to purchase one share of Class A common stock, each at an exercise price of $379.50 per</w:t>
            </w:r>
          </w:p>
        </w:tc>
        <w:tc>
          <w:tcPr>
            <w:tcW w:w="2060" w:type="dxa"/>
            <w:vAlign w:val="bottom"/>
            <w:gridSpan w:val="2"/>
          </w:tcPr>
          <w:p>
            <w:pPr>
              <w:jc w:val="center"/>
              <w:ind w:right="80"/>
              <w:spacing w:after="0" w:line="119" w:lineRule="exact"/>
              <w:rPr>
                <w:sz w:val="20"/>
                <w:szCs w:val="20"/>
                <w:color w:val="auto"/>
              </w:rPr>
            </w:pPr>
            <w:r>
              <w:rPr>
                <w:rFonts w:ascii="Times New Roman" w:cs="Times New Roman" w:eastAsia="Times New Roman" w:hAnsi="Times New Roman"/>
                <w:sz w:val="12"/>
                <w:szCs w:val="12"/>
                <w:color w:val="auto"/>
              </w:rPr>
              <w:t>WGSWW</w:t>
            </w:r>
          </w:p>
        </w:tc>
        <w:tc>
          <w:tcPr>
            <w:tcW w:w="4340" w:type="dxa"/>
            <w:vAlign w:val="bottom"/>
          </w:tcPr>
          <w:p>
            <w:pPr>
              <w:jc w:val="center"/>
              <w:spacing w:after="0" w:line="119" w:lineRule="exact"/>
              <w:rPr>
                <w:sz w:val="20"/>
                <w:szCs w:val="20"/>
                <w:color w:val="auto"/>
              </w:rPr>
            </w:pPr>
            <w:r>
              <w:rPr>
                <w:rFonts w:ascii="Times New Roman" w:cs="Times New Roman" w:eastAsia="Times New Roman" w:hAnsi="Times New Roman"/>
                <w:sz w:val="12"/>
                <w:szCs w:val="12"/>
                <w:color w:val="auto"/>
                <w:w w:val="99"/>
              </w:rPr>
              <w:t>The Nasdaq Stock Market LLC</w:t>
            </w:r>
          </w:p>
        </w:tc>
      </w:tr>
      <w:tr>
        <w:trPr>
          <w:trHeight w:val="155"/>
        </w:trPr>
        <w:tc>
          <w:tcPr>
            <w:tcW w:w="4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share</w:t>
            </w:r>
          </w:p>
        </w:tc>
        <w:tc>
          <w:tcPr>
            <w:tcW w:w="2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340" w:type="dxa"/>
            <w:vAlign w:val="bottom"/>
          </w:tcPr>
          <w:p>
            <w:pPr>
              <w:spacing w:after="0"/>
              <w:rPr>
                <w:sz w:val="13"/>
                <w:szCs w:val="13"/>
                <w:color w:val="auto"/>
              </w:rPr>
            </w:pPr>
          </w:p>
        </w:tc>
      </w:tr>
    </w:tbl>
    <w:p>
      <w:pPr>
        <w:spacing w:after="0" w:line="122" w:lineRule="exact"/>
        <w:rPr>
          <w:sz w:val="24"/>
          <w:szCs w:val="24"/>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231F20"/>
        </w:rPr>
        <w:t xml:space="preserve">Emerging growth company </w:t>
      </w:r>
      <w:r>
        <w:rPr>
          <w:rFonts w:ascii="MS PGothic" w:cs="MS PGothic" w:eastAsia="MS PGothic" w:hAnsi="MS PGothic"/>
          <w:sz w:val="12"/>
          <w:szCs w:val="12"/>
          <w:color w:val="000000"/>
        </w:rPr>
        <w:t>☒</w:t>
      </w:r>
    </w:p>
    <w:p>
      <w:pPr>
        <w:spacing w:after="0" w:line="106" w:lineRule="exact"/>
        <w:rPr>
          <w:sz w:val="24"/>
          <w:szCs w:val="24"/>
          <w:color w:val="auto"/>
        </w:rPr>
      </w:pPr>
    </w:p>
    <w:p>
      <w:pPr>
        <w:ind w:right="10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496570</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62" w:right="2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2.02 Results of Operations and Financial Condition.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information set forth in Item 7.01 below is incorporated by reference into this Item 2.02.</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2"/>
          <w:szCs w:val="12"/>
          <w:color w:val="auto"/>
        </w:rPr>
        <w:t>On January 8, 2024, GeneDx Holdings Corp.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issued a press release (the “</w:t>
      </w:r>
      <w:r>
        <w:rPr>
          <w:rFonts w:ascii="Times New Roman" w:cs="Times New Roman" w:eastAsia="Times New Roman" w:hAnsi="Times New Roman"/>
          <w:sz w:val="12"/>
          <w:szCs w:val="12"/>
          <w:b w:val="1"/>
          <w:bCs w:val="1"/>
          <w:color w:val="auto"/>
        </w:rPr>
        <w:t>Press Release</w:t>
      </w:r>
      <w:r>
        <w:rPr>
          <w:rFonts w:ascii="Times New Roman" w:cs="Times New Roman" w:eastAsia="Times New Roman" w:hAnsi="Times New Roman"/>
          <w:sz w:val="12"/>
          <w:szCs w:val="12"/>
          <w:color w:val="auto"/>
        </w:rPr>
        <w:t>”) announcing the Company’s expectations regarding its preliminary, unaudited revenue for the fourth quarter and the year ended 2023, exome and genome test result volumes for the fourth quarter and cash, cash equivalents, marketable securities and restricted cash as of December 31, 2023. A copy of the Press Release is included with this Form 8-K for convenience and attached hereto as Exhibit 99.1. Also on January 8, 2024, the Company is furnishing as Exhibit 99.2 hereto a copy of the investor presentation to be used at the 42nd Annual J.P. Morgan Healthcare Conference event.</w:t>
      </w:r>
    </w:p>
    <w:p>
      <w:pPr>
        <w:spacing w:after="0" w:line="9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2"/>
          <w:szCs w:val="12"/>
          <w:color w:val="auto"/>
        </w:rPr>
        <w:t>The information furnished under Items 2.02 and 7.01 of this Current Report on Form 8-K, including Exhibit 99.1 hereto, shall not be deemed “filed” for purposes of Section 18 of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 Exhibits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00" w:type="dxa"/>
            <w:vAlign w:val="bottom"/>
            <w:gridSpan w:val="3"/>
            <w:vMerge w:val="restart"/>
          </w:tcPr>
          <w:p>
            <w:pPr>
              <w:ind w:left="260"/>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1020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0" w:type="dxa"/>
            <w:vAlign w:val="bottom"/>
          </w:tcPr>
          <w:p>
            <w:pPr>
              <w:spacing w:after="0"/>
              <w:rPr>
                <w:sz w:val="1"/>
                <w:szCs w:val="1"/>
                <w:color w:val="auto"/>
              </w:rPr>
            </w:pPr>
          </w:p>
        </w:tc>
      </w:tr>
      <w:tr>
        <w:trPr>
          <w:trHeight w:val="34"/>
        </w:trPr>
        <w:tc>
          <w:tcPr>
            <w:tcW w:w="1100" w:type="dxa"/>
            <w:vAlign w:val="bottom"/>
            <w:gridSpan w:val="3"/>
            <w:vMerge w:val="continue"/>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260" w:type="dxa"/>
            <w:vAlign w:val="bottom"/>
          </w:tcPr>
          <w:p>
            <w:pPr>
              <w:spacing w:after="0"/>
              <w:rPr>
                <w:sz w:val="15"/>
                <w:szCs w:val="15"/>
                <w:color w:val="auto"/>
              </w:rPr>
            </w:pPr>
          </w:p>
        </w:tc>
        <w:tc>
          <w:tcPr>
            <w:tcW w:w="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5"/>
              </w:rPr>
              <w:t>99.1</w:t>
            </w:r>
          </w:p>
        </w:tc>
        <w:tc>
          <w:tcPr>
            <w:tcW w:w="280" w:type="dxa"/>
            <w:vAlign w:val="bottom"/>
          </w:tcPr>
          <w:p>
            <w:pPr>
              <w:spacing w:after="0"/>
              <w:rPr>
                <w:sz w:val="15"/>
                <w:szCs w:val="15"/>
                <w:color w:val="auto"/>
              </w:rPr>
            </w:pPr>
          </w:p>
        </w:tc>
        <w:tc>
          <w:tcPr>
            <w:tcW w:w="10200" w:type="dxa"/>
            <w:vAlign w:val="bottom"/>
            <w:gridSpan w:val="4"/>
          </w:tcPr>
          <w:p>
            <w:pPr>
              <w:spacing w:after="0"/>
              <w:rPr>
                <w:sz w:val="20"/>
                <w:szCs w:val="20"/>
                <w:color w:val="auto"/>
              </w:rPr>
            </w:pPr>
            <w:r>
              <w:rPr>
                <w:rFonts w:ascii="Times New Roman" w:cs="Times New Roman" w:eastAsia="Times New Roman" w:hAnsi="Times New Roman"/>
                <w:sz w:val="12"/>
                <w:szCs w:val="12"/>
                <w:color w:val="0000FF"/>
              </w:rPr>
              <w:t>Press Release, dated January 8, 2024, regarding Preliminary 2023 Financial Results</w:t>
            </w:r>
          </w:p>
        </w:tc>
        <w:tc>
          <w:tcPr>
            <w:tcW w:w="0" w:type="dxa"/>
            <w:vAlign w:val="bottom"/>
          </w:tcPr>
          <w:p>
            <w:pPr>
              <w:spacing w:after="0"/>
              <w:rPr>
                <w:sz w:val="1"/>
                <w:szCs w:val="1"/>
                <w:color w:val="auto"/>
              </w:rPr>
            </w:pPr>
          </w:p>
        </w:tc>
      </w:tr>
      <w:tr>
        <w:trPr>
          <w:trHeight w:val="187"/>
        </w:trPr>
        <w:tc>
          <w:tcPr>
            <w:tcW w:w="820" w:type="dxa"/>
            <w:vAlign w:val="bottom"/>
            <w:gridSpan w:val="2"/>
          </w:tcPr>
          <w:p>
            <w:pPr>
              <w:jc w:val="center"/>
              <w:ind w:left="200"/>
              <w:spacing w:after="0"/>
              <w:rPr>
                <w:sz w:val="20"/>
                <w:szCs w:val="20"/>
                <w:color w:val="auto"/>
              </w:rPr>
            </w:pPr>
            <w:r>
              <w:rPr>
                <w:rFonts w:ascii="Times New Roman" w:cs="Times New Roman" w:eastAsia="Times New Roman" w:hAnsi="Times New Roman"/>
                <w:sz w:val="12"/>
                <w:szCs w:val="12"/>
                <w:color w:val="auto"/>
                <w:w w:val="95"/>
              </w:rPr>
              <w:t>99.2</w:t>
            </w:r>
          </w:p>
        </w:tc>
        <w:tc>
          <w:tcPr>
            <w:tcW w:w="280" w:type="dxa"/>
            <w:vAlign w:val="bottom"/>
          </w:tcPr>
          <w:p>
            <w:pPr>
              <w:spacing w:after="0"/>
              <w:rPr>
                <w:sz w:val="16"/>
                <w:szCs w:val="16"/>
                <w:color w:val="auto"/>
              </w:rPr>
            </w:pPr>
          </w:p>
        </w:tc>
        <w:tc>
          <w:tcPr>
            <w:tcW w:w="40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2"/>
                <w:szCs w:val="12"/>
                <w:color w:val="0000FF"/>
              </w:rPr>
              <w:t>Investor Presentation, dated January 8, 2024</w:t>
            </w:r>
          </w:p>
        </w:tc>
        <w:tc>
          <w:tcPr>
            <w:tcW w:w="6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20" w:type="dxa"/>
            <w:vAlign w:val="bottom"/>
            <w:gridSpan w:val="2"/>
            <w:vMerge w:val="restart"/>
          </w:tcPr>
          <w:p>
            <w:pPr>
              <w:jc w:val="center"/>
              <w:ind w:left="180"/>
              <w:spacing w:after="0"/>
              <w:rPr>
                <w:sz w:val="20"/>
                <w:szCs w:val="20"/>
                <w:color w:val="auto"/>
              </w:rPr>
            </w:pPr>
            <w:r>
              <w:rPr>
                <w:rFonts w:ascii="Times New Roman" w:cs="Times New Roman" w:eastAsia="Times New Roman" w:hAnsi="Times New Roman"/>
                <w:sz w:val="12"/>
                <w:szCs w:val="12"/>
                <w:color w:val="auto"/>
                <w:w w:val="99"/>
              </w:rPr>
              <w:t>104</w:t>
            </w:r>
          </w:p>
        </w:tc>
        <w:tc>
          <w:tcPr>
            <w:tcW w:w="280" w:type="dxa"/>
            <w:vAlign w:val="bottom"/>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8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82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20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c>
          <w:tcPr>
            <w:tcW w:w="0" w:type="dxa"/>
            <w:vAlign w:val="bottom"/>
          </w:tcPr>
          <w:p>
            <w:pPr>
              <w:spacing w:after="0"/>
              <w:rPr>
                <w:sz w:val="1"/>
                <w:szCs w:val="1"/>
                <w:color w:val="auto"/>
              </w:rPr>
            </w:pPr>
          </w:p>
        </w:tc>
      </w:tr>
      <w:tr>
        <w:trPr>
          <w:trHeight w:val="801"/>
        </w:trPr>
        <w:tc>
          <w:tcPr>
            <w:tcW w:w="2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6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38" w:right="299" w:bottom="1440" w:gutter="0" w:footer="0" w:header="0"/>
        </w:sectPr>
      </w:pPr>
    </w:p>
    <w:bookmarkStart w:id="2" w:name="page3"/>
    <w:bookmarkEnd w:id="2"/>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55" w:lineRule="exact"/>
        <w:rPr>
          <w:sz w:val="20"/>
          <w:szCs w:val="20"/>
          <w:color w:val="auto"/>
        </w:rPr>
      </w:pPr>
    </w:p>
    <w:tbl>
      <w:tblPr>
        <w:tblLayout w:type="fixed"/>
        <w:tblInd w:w="180" w:type="dxa"/>
        <w:tblCellMar>
          <w:top w:w="0" w:type="dxa"/>
          <w:left w:w="0" w:type="dxa"/>
          <w:bottom w:w="0" w:type="dxa"/>
          <w:right w:w="0" w:type="dxa"/>
        </w:tblCellMar>
      </w:tblPr>
      <w:tr>
        <w:trPr>
          <w:trHeight w:val="159"/>
        </w:trPr>
        <w:tc>
          <w:tcPr>
            <w:tcW w:w="56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6920" w:type="dxa"/>
            <w:vAlign w:val="bottom"/>
            <w:gridSpan w:val="2"/>
          </w:tcPr>
          <w:p>
            <w:pPr>
              <w:ind w:left="1580"/>
              <w:spacing w:after="0"/>
              <w:rPr>
                <w:sz w:val="20"/>
                <w:szCs w:val="20"/>
                <w:color w:val="auto"/>
              </w:rPr>
            </w:pPr>
            <w:r>
              <w:rPr>
                <w:rFonts w:ascii="Times New Roman" w:cs="Times New Roman" w:eastAsia="Times New Roman" w:hAnsi="Times New Roman"/>
                <w:sz w:val="12"/>
                <w:szCs w:val="12"/>
                <w:b w:val="1"/>
                <w:bCs w:val="1"/>
                <w:color w:val="auto"/>
              </w:rPr>
              <w:t>GeneDx Holdings Corp.</w:t>
            </w:r>
          </w:p>
        </w:tc>
      </w:tr>
      <w:tr>
        <w:trPr>
          <w:trHeight w:val="333"/>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Date:</w:t>
            </w:r>
          </w:p>
        </w:tc>
        <w:tc>
          <w:tcPr>
            <w:tcW w:w="264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January 8, 2024</w:t>
            </w:r>
          </w:p>
        </w:tc>
        <w:tc>
          <w:tcPr>
            <w:tcW w:w="2440" w:type="dxa"/>
            <w:vAlign w:val="bottom"/>
          </w:tcPr>
          <w:p>
            <w:pPr>
              <w:ind w:left="1580"/>
              <w:spacing w:after="0"/>
              <w:rPr>
                <w:sz w:val="20"/>
                <w:szCs w:val="20"/>
                <w:color w:val="auto"/>
              </w:rPr>
            </w:pPr>
            <w:r>
              <w:rPr>
                <w:rFonts w:ascii="Times New Roman" w:cs="Times New Roman" w:eastAsia="Times New Roman" w:hAnsi="Times New Roman"/>
                <w:sz w:val="12"/>
                <w:szCs w:val="12"/>
                <w:color w:val="auto"/>
              </w:rPr>
              <w:t>By:</w:t>
            </w:r>
          </w:p>
        </w:tc>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Katherine Stueland</w:t>
            </w:r>
          </w:p>
        </w:tc>
      </w:tr>
      <w:tr>
        <w:trPr>
          <w:trHeight w:val="140"/>
        </w:trPr>
        <w:tc>
          <w:tcPr>
            <w:tcW w:w="5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440" w:type="dxa"/>
            <w:vAlign w:val="bottom"/>
          </w:tcPr>
          <w:p>
            <w:pPr>
              <w:ind w:left="1580"/>
              <w:spacing w:after="0"/>
              <w:rPr>
                <w:sz w:val="20"/>
                <w:szCs w:val="20"/>
                <w:color w:val="auto"/>
              </w:rPr>
            </w:pPr>
            <w:r>
              <w:rPr>
                <w:rFonts w:ascii="Times New Roman" w:cs="Times New Roman" w:eastAsia="Times New Roman" w:hAnsi="Times New Roman"/>
                <w:sz w:val="12"/>
                <w:szCs w:val="12"/>
                <w:color w:val="auto"/>
              </w:rPr>
              <w:t>Name:</w:t>
            </w:r>
          </w:p>
        </w:tc>
        <w:tc>
          <w:tcPr>
            <w:tcW w:w="44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Katherine Stueland</w:t>
            </w:r>
          </w:p>
        </w:tc>
      </w:tr>
      <w:tr>
        <w:trPr>
          <w:trHeight w:val="155"/>
        </w:trPr>
        <w:tc>
          <w:tcPr>
            <w:tcW w:w="56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2440" w:type="dxa"/>
            <w:vAlign w:val="bottom"/>
          </w:tcPr>
          <w:p>
            <w:pPr>
              <w:ind w:left="1580"/>
              <w:spacing w:after="0"/>
              <w:rPr>
                <w:sz w:val="20"/>
                <w:szCs w:val="20"/>
                <w:color w:val="auto"/>
              </w:rPr>
            </w:pPr>
            <w:r>
              <w:rPr>
                <w:rFonts w:ascii="Times New Roman" w:cs="Times New Roman" w:eastAsia="Times New Roman" w:hAnsi="Times New Roman"/>
                <w:sz w:val="12"/>
                <w:szCs w:val="12"/>
                <w:color w:val="auto"/>
              </w:rPr>
              <w:t>Title:</w:t>
            </w:r>
          </w:p>
        </w:tc>
        <w:tc>
          <w:tcPr>
            <w:tcW w:w="44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Chief Executive Officer</w:t>
            </w:r>
          </w:p>
        </w:tc>
      </w:tr>
    </w:tbl>
    <w:p>
      <w:pPr>
        <w:sectPr>
          <w:pgSz w:w="11900" w:h="16838" w:orient="portrait"/>
          <w:cols w:equalWidth="0" w:num="1">
            <w:col w:w="10300"/>
          </w:cols>
          <w:pgMar w:left="300" w:top="962" w:right="1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20"/>
        <w:spacing w:after="0"/>
        <w:rPr>
          <w:sz w:val="20"/>
          <w:szCs w:val="20"/>
          <w:color w:val="auto"/>
        </w:rPr>
      </w:pPr>
      <w:r>
        <w:rPr>
          <w:rFonts w:ascii="Calibri" w:cs="Calibri" w:eastAsia="Calibri" w:hAnsi="Calibri"/>
          <w:sz w:val="14"/>
          <w:szCs w:val="14"/>
          <w:b w:val="1"/>
          <w:bCs w:val="1"/>
          <w:color w:val="auto"/>
        </w:rPr>
        <w:t>GeneDx Announces Preliminary 2023 Financial Results</w:t>
      </w:r>
    </w:p>
    <w:p>
      <w:pPr>
        <w:spacing w:after="0" w:line="88" w:lineRule="exact"/>
        <w:rPr>
          <w:sz w:val="20"/>
          <w:szCs w:val="20"/>
          <w:color w:val="auto"/>
        </w:rPr>
      </w:pPr>
    </w:p>
    <w:p>
      <w:pPr>
        <w:ind w:left="240"/>
        <w:spacing w:after="0"/>
        <w:rPr>
          <w:sz w:val="20"/>
          <w:szCs w:val="20"/>
          <w:color w:val="auto"/>
        </w:rPr>
      </w:pPr>
      <w:r>
        <w:rPr>
          <w:rFonts w:ascii="Calibri" w:cs="Calibri" w:eastAsia="Calibri" w:hAnsi="Calibri"/>
          <w:sz w:val="14"/>
          <w:szCs w:val="14"/>
          <w:color w:val="auto"/>
        </w:rPr>
        <w:t>Expects to exceed revised 2023 revenue guidance with fourth quarter 2023 revenue from contnuing operatons</w:t>
      </w:r>
      <w:r>
        <w:rPr>
          <w:rFonts w:ascii="Calibri" w:cs="Calibri" w:eastAsia="Calibri" w:hAnsi="Calibri"/>
          <w:sz w:val="18"/>
          <w:szCs w:val="18"/>
          <w:color w:val="auto"/>
          <w:vertAlign w:val="superscript"/>
        </w:rPr>
        <w:t>1</w:t>
      </w:r>
      <w:r>
        <w:rPr>
          <w:rFonts w:ascii="Calibri" w:cs="Calibri" w:eastAsia="Calibri" w:hAnsi="Calibri"/>
          <w:sz w:val="14"/>
          <w:szCs w:val="14"/>
          <w:color w:val="auto"/>
        </w:rPr>
        <w:t xml:space="preserve"> of more than $57M with at least 63% year-over-year revenue growth for</w:t>
      </w:r>
    </w:p>
    <w:p>
      <w:pPr>
        <w:jc w:val="center"/>
        <w:spacing w:after="0" w:line="199" w:lineRule="auto"/>
        <w:rPr>
          <w:sz w:val="20"/>
          <w:szCs w:val="20"/>
          <w:color w:val="auto"/>
        </w:rPr>
      </w:pPr>
      <w:r>
        <w:rPr>
          <w:rFonts w:ascii="Calibri" w:cs="Calibri" w:eastAsia="Calibri" w:hAnsi="Calibri"/>
          <w:sz w:val="14"/>
          <w:szCs w:val="14"/>
          <w:color w:val="auto"/>
        </w:rPr>
        <w:t>exome and genome test revenue</w:t>
      </w:r>
    </w:p>
    <w:p>
      <w:pPr>
        <w:spacing w:after="0" w:line="108"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Reduced fourth quarter 2023 cash burn 51% year-over-year and 21% sequentally</w:t>
      </w:r>
    </w:p>
    <w:p>
      <w:pPr>
        <w:spacing w:after="0" w:line="109"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Ending December 31, 2023 cash positon of at least $131 million</w:t>
      </w:r>
    </w:p>
    <w:p>
      <w:pPr>
        <w:spacing w:after="0" w:line="99"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Reiteratng the path to proftability in 2025</w:t>
      </w:r>
    </w:p>
    <w:p>
      <w:pPr>
        <w:spacing w:after="0" w:line="108" w:lineRule="exact"/>
        <w:rPr>
          <w:sz w:val="20"/>
          <w:szCs w:val="20"/>
          <w:color w:val="auto"/>
        </w:rPr>
      </w:pPr>
    </w:p>
    <w:p>
      <w:pPr>
        <w:jc w:val="both"/>
        <w:spacing w:after="0" w:line="251" w:lineRule="auto"/>
        <w:rPr>
          <w:sz w:val="20"/>
          <w:szCs w:val="20"/>
          <w:color w:val="auto"/>
        </w:rPr>
      </w:pPr>
      <w:r>
        <w:rPr>
          <w:rFonts w:ascii="Calibri" w:cs="Calibri" w:eastAsia="Calibri" w:hAnsi="Calibri"/>
          <w:sz w:val="14"/>
          <w:szCs w:val="14"/>
          <w:color w:val="auto"/>
        </w:rPr>
        <w:t>STAMFORD, Conn, Jan. 08, 2024 -- GeneDx Holdings Corp. (Nasdaq: WGS), a leader in delivering improved health outcomes through genomic and clinical insights, today reported preliminary fnancial results for the fourth quarter and full year of 2023.</w:t>
      </w:r>
    </w:p>
    <w:p>
      <w:pPr>
        <w:spacing w:after="0" w:line="84" w:lineRule="exact"/>
        <w:rPr>
          <w:sz w:val="20"/>
          <w:szCs w:val="20"/>
          <w:color w:val="auto"/>
        </w:rPr>
      </w:pPr>
    </w:p>
    <w:p>
      <w:pPr>
        <w:jc w:val="both"/>
        <w:spacing w:after="0" w:line="211" w:lineRule="auto"/>
        <w:rPr>
          <w:sz w:val="20"/>
          <w:szCs w:val="20"/>
          <w:color w:val="auto"/>
        </w:rPr>
      </w:pPr>
      <w:r>
        <w:rPr>
          <w:rFonts w:ascii="Calibri" w:cs="Calibri" w:eastAsia="Calibri" w:hAnsi="Calibri"/>
          <w:sz w:val="14"/>
          <w:szCs w:val="14"/>
          <w:color w:val="auto"/>
        </w:rPr>
        <w:t>"We had an incredibly strong fourth quarter as we contnued to drive utlizaton of our industry-leading exome and genome products, improve our average reimbursement rate, and meaningfully reduce our cash burn,” said Katherine Stueland, President and Chief Executve Ofcer of GeneDx. “With contnued strong executon across these metrics in 2024, we’re confdent in our ability to reach proftability in 2025, ultmately keeping our eye on the goal of diagnosing inherited disease earlier, connectng people with the right treatment, and driving a healthier future for as many families as possible.”</w:t>
      </w:r>
    </w:p>
    <w:p>
      <w:pPr>
        <w:spacing w:after="0" w:line="46"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Preliminary 2023 Financial Results (Unaudited)</w:t>
      </w:r>
    </w:p>
    <w:p>
      <w:pPr>
        <w:spacing w:after="0" w:line="90" w:lineRule="exact"/>
        <w:rPr>
          <w:sz w:val="20"/>
          <w:szCs w:val="20"/>
          <w:color w:val="auto"/>
        </w:rPr>
      </w:pPr>
    </w:p>
    <w:p>
      <w:pPr>
        <w:spacing w:after="0"/>
        <w:rPr>
          <w:sz w:val="20"/>
          <w:szCs w:val="20"/>
          <w:color w:val="auto"/>
        </w:rPr>
      </w:pPr>
      <w:r>
        <w:rPr>
          <w:rFonts w:ascii="Calibri" w:cs="Calibri" w:eastAsia="Calibri" w:hAnsi="Calibri"/>
          <w:sz w:val="14"/>
          <w:szCs w:val="14"/>
          <w:i w:val="1"/>
          <w:iCs w:val="1"/>
          <w:color w:val="auto"/>
        </w:rPr>
        <w:t xml:space="preserve">Contnuing Operatons Results: </w:t>
      </w:r>
      <w:r>
        <w:rPr>
          <w:rFonts w:ascii="Calibri" w:cs="Calibri" w:eastAsia="Calibri" w:hAnsi="Calibri"/>
          <w:sz w:val="18"/>
          <w:szCs w:val="18"/>
          <w:color w:val="auto"/>
          <w:vertAlign w:val="superscript"/>
        </w:rPr>
        <w:t>1</w:t>
      </w:r>
    </w:p>
    <w:p>
      <w:pPr>
        <w:spacing w:after="0" w:line="69" w:lineRule="exact"/>
        <w:rPr>
          <w:sz w:val="20"/>
          <w:szCs w:val="20"/>
          <w:color w:val="auto"/>
        </w:rPr>
      </w:pPr>
    </w:p>
    <w:p>
      <w:pPr>
        <w:spacing w:after="0"/>
        <w:rPr>
          <w:sz w:val="20"/>
          <w:szCs w:val="20"/>
          <w:color w:val="auto"/>
        </w:rPr>
      </w:pPr>
      <w:r>
        <w:rPr>
          <w:rFonts w:ascii="Calibri" w:cs="Calibri" w:eastAsia="Calibri" w:hAnsi="Calibri"/>
          <w:sz w:val="14"/>
          <w:szCs w:val="14"/>
          <w:color w:val="auto"/>
        </w:rPr>
        <w:t>Management expects GeneDx to report:</w:t>
      </w:r>
    </w:p>
    <w:p>
      <w:pPr>
        <w:spacing w:after="0" w:line="117" w:lineRule="exact"/>
        <w:rPr>
          <w:sz w:val="20"/>
          <w:szCs w:val="20"/>
          <w:color w:val="auto"/>
        </w:rPr>
      </w:pPr>
    </w:p>
    <w:p>
      <w:pPr>
        <w:ind w:left="420" w:hanging="212"/>
        <w:spacing w:after="0"/>
        <w:tabs>
          <w:tab w:leader="none" w:pos="420" w:val="left"/>
        </w:tabs>
        <w:numPr>
          <w:ilvl w:val="0"/>
          <w:numId w:val="2"/>
        </w:numPr>
        <w:rPr>
          <w:rFonts w:ascii="Times New Roman" w:cs="Times New Roman" w:eastAsia="Times New Roman" w:hAnsi="Times New Roman"/>
          <w:sz w:val="14"/>
          <w:szCs w:val="14"/>
          <w:color w:val="auto"/>
        </w:rPr>
      </w:pPr>
      <w:r>
        <w:rPr>
          <w:rFonts w:ascii="Calibri" w:cs="Calibri" w:eastAsia="Calibri" w:hAnsi="Calibri"/>
          <w:sz w:val="14"/>
          <w:szCs w:val="14"/>
          <w:color w:val="auto"/>
        </w:rPr>
        <w:t>revenues of at least $193 million for full year 2023</w:t>
      </w:r>
    </w:p>
    <w:p>
      <w:pPr>
        <w:spacing w:after="0" w:line="18"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2"/>
        </w:numPr>
        <w:rPr>
          <w:rFonts w:ascii="Times New Roman" w:cs="Times New Roman" w:eastAsia="Times New Roman" w:hAnsi="Times New Roman"/>
          <w:sz w:val="14"/>
          <w:szCs w:val="14"/>
          <w:color w:val="auto"/>
        </w:rPr>
      </w:pPr>
      <w:r>
        <w:rPr>
          <w:rFonts w:ascii="Calibri" w:cs="Calibri" w:eastAsia="Calibri" w:hAnsi="Calibri"/>
          <w:sz w:val="14"/>
          <w:szCs w:val="14"/>
          <w:color w:val="auto"/>
        </w:rPr>
        <w:t>revenues of at least $57 million in the fourth quarter, an increase of 24% year-over-year and 13% sequentally;</w:t>
      </w:r>
    </w:p>
    <w:p>
      <w:pPr>
        <w:spacing w:after="0" w:line="18"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2"/>
        </w:numPr>
        <w:rPr>
          <w:rFonts w:ascii="Times New Roman" w:cs="Times New Roman" w:eastAsia="Times New Roman" w:hAnsi="Times New Roman"/>
          <w:sz w:val="14"/>
          <w:szCs w:val="14"/>
          <w:color w:val="auto"/>
        </w:rPr>
      </w:pPr>
      <w:r>
        <w:rPr>
          <w:rFonts w:ascii="Calibri" w:cs="Calibri" w:eastAsia="Calibri" w:hAnsi="Calibri"/>
          <w:sz w:val="14"/>
          <w:szCs w:val="14"/>
          <w:color w:val="auto"/>
        </w:rPr>
        <w:t>exome and genome test revenues of at least $38 million in the fourth quarter, an increase of 63% year-over-year and 12% sequentally; and</w:t>
      </w:r>
    </w:p>
    <w:p>
      <w:pPr>
        <w:spacing w:after="0" w:line="18" w:lineRule="exact"/>
        <w:rPr>
          <w:rFonts w:ascii="Times New Roman" w:cs="Times New Roman" w:eastAsia="Times New Roman" w:hAnsi="Times New Roman"/>
          <w:sz w:val="14"/>
          <w:szCs w:val="14"/>
          <w:color w:val="auto"/>
        </w:rPr>
      </w:pPr>
    </w:p>
    <w:p>
      <w:pPr>
        <w:ind w:left="420" w:right="20" w:hanging="212"/>
        <w:spacing w:after="0" w:line="254" w:lineRule="auto"/>
        <w:tabs>
          <w:tab w:leader="none" w:pos="416" w:val="left"/>
        </w:tabs>
        <w:numPr>
          <w:ilvl w:val="0"/>
          <w:numId w:val="2"/>
        </w:numPr>
        <w:rPr>
          <w:rFonts w:ascii="Times New Roman" w:cs="Times New Roman" w:eastAsia="Times New Roman" w:hAnsi="Times New Roman"/>
          <w:sz w:val="14"/>
          <w:szCs w:val="14"/>
          <w:color w:val="auto"/>
        </w:rPr>
      </w:pPr>
      <w:r>
        <w:rPr>
          <w:rFonts w:ascii="Calibri" w:cs="Calibri" w:eastAsia="Calibri" w:hAnsi="Calibri"/>
          <w:sz w:val="14"/>
          <w:szCs w:val="14"/>
          <w:color w:val="auto"/>
        </w:rPr>
        <w:t>15,663 exome and genome test results in the fourth quarter, an increase of 99% year-over-year and 19% sequentally with exome and genome representng 27% of all tests result volume in the fourth quarter.</w:t>
      </w:r>
    </w:p>
    <w:p>
      <w:pPr>
        <w:spacing w:after="0" w:line="141" w:lineRule="exact"/>
        <w:rPr>
          <w:sz w:val="20"/>
          <w:szCs w:val="20"/>
          <w:color w:val="auto"/>
        </w:rPr>
      </w:pPr>
    </w:p>
    <w:p>
      <w:pPr>
        <w:spacing w:after="0"/>
        <w:rPr>
          <w:sz w:val="20"/>
          <w:szCs w:val="20"/>
          <w:color w:val="auto"/>
        </w:rPr>
      </w:pPr>
      <w:r>
        <w:rPr>
          <w:rFonts w:ascii="Calibri" w:cs="Calibri" w:eastAsia="Calibri" w:hAnsi="Calibri"/>
          <w:sz w:val="14"/>
          <w:szCs w:val="14"/>
          <w:i w:val="1"/>
          <w:iCs w:val="1"/>
          <w:color w:val="auto"/>
        </w:rPr>
        <w:t xml:space="preserve">Total Company Results: </w:t>
      </w:r>
      <w:r>
        <w:rPr>
          <w:rFonts w:ascii="Calibri" w:cs="Calibri" w:eastAsia="Calibri" w:hAnsi="Calibri"/>
          <w:sz w:val="18"/>
          <w:szCs w:val="18"/>
          <w:color w:val="auto"/>
          <w:vertAlign w:val="superscript"/>
        </w:rPr>
        <w:t>1</w:t>
      </w:r>
    </w:p>
    <w:p>
      <w:pPr>
        <w:spacing w:after="0" w:line="69" w:lineRule="exact"/>
        <w:rPr>
          <w:sz w:val="20"/>
          <w:szCs w:val="20"/>
          <w:color w:val="auto"/>
        </w:rPr>
      </w:pPr>
    </w:p>
    <w:p>
      <w:pPr>
        <w:spacing w:after="0"/>
        <w:rPr>
          <w:sz w:val="20"/>
          <w:szCs w:val="20"/>
          <w:color w:val="auto"/>
        </w:rPr>
      </w:pPr>
      <w:r>
        <w:rPr>
          <w:rFonts w:ascii="Calibri" w:cs="Calibri" w:eastAsia="Calibri" w:hAnsi="Calibri"/>
          <w:sz w:val="14"/>
          <w:szCs w:val="14"/>
          <w:color w:val="auto"/>
        </w:rPr>
        <w:t>Management expects GeneDx to report:</w:t>
      </w:r>
    </w:p>
    <w:p>
      <w:pPr>
        <w:spacing w:after="0" w:line="118" w:lineRule="exact"/>
        <w:rPr>
          <w:sz w:val="20"/>
          <w:szCs w:val="20"/>
          <w:color w:val="auto"/>
        </w:rPr>
      </w:pPr>
    </w:p>
    <w:p>
      <w:pPr>
        <w:ind w:left="400" w:hanging="192"/>
        <w:spacing w:after="0"/>
        <w:tabs>
          <w:tab w:leader="none" w:pos="400" w:val="left"/>
        </w:tabs>
        <w:numPr>
          <w:ilvl w:val="0"/>
          <w:numId w:val="3"/>
        </w:numPr>
        <w:rPr>
          <w:rFonts w:ascii="Times New Roman" w:cs="Times New Roman" w:eastAsia="Times New Roman" w:hAnsi="Times New Roman"/>
          <w:sz w:val="14"/>
          <w:szCs w:val="14"/>
          <w:color w:val="auto"/>
        </w:rPr>
      </w:pPr>
      <w:r>
        <w:rPr>
          <w:rFonts w:ascii="Calibri" w:cs="Calibri" w:eastAsia="Calibri" w:hAnsi="Calibri"/>
          <w:sz w:val="14"/>
          <w:szCs w:val="14"/>
          <w:color w:val="auto"/>
        </w:rPr>
        <w:t>revenues of at least $203 million for full year 2023;</w:t>
      </w:r>
    </w:p>
    <w:p>
      <w:pPr>
        <w:spacing w:after="0" w:line="26" w:lineRule="exact"/>
        <w:rPr>
          <w:rFonts w:ascii="Times New Roman" w:cs="Times New Roman" w:eastAsia="Times New Roman" w:hAnsi="Times New Roman"/>
          <w:sz w:val="14"/>
          <w:szCs w:val="14"/>
          <w:color w:val="auto"/>
        </w:rPr>
      </w:pPr>
    </w:p>
    <w:p>
      <w:pPr>
        <w:ind w:left="400" w:hanging="192"/>
        <w:spacing w:after="0"/>
        <w:tabs>
          <w:tab w:leader="none" w:pos="400" w:val="left"/>
        </w:tabs>
        <w:numPr>
          <w:ilvl w:val="0"/>
          <w:numId w:val="3"/>
        </w:numPr>
        <w:rPr>
          <w:rFonts w:ascii="Times New Roman" w:cs="Times New Roman" w:eastAsia="Times New Roman" w:hAnsi="Times New Roman"/>
          <w:sz w:val="14"/>
          <w:szCs w:val="14"/>
          <w:color w:val="auto"/>
        </w:rPr>
      </w:pPr>
      <w:r>
        <w:rPr>
          <w:rFonts w:ascii="Calibri" w:cs="Calibri" w:eastAsia="Calibri" w:hAnsi="Calibri"/>
          <w:sz w:val="14"/>
          <w:szCs w:val="14"/>
          <w:color w:val="auto"/>
        </w:rPr>
        <w:t>revenues of at least $58 million in the fourth quarter; and</w:t>
      </w:r>
    </w:p>
    <w:p>
      <w:pPr>
        <w:spacing w:after="0" w:line="190" w:lineRule="exact"/>
        <w:rPr>
          <w:sz w:val="20"/>
          <w:szCs w:val="20"/>
          <w:color w:val="auto"/>
        </w:rPr>
      </w:pPr>
    </w:p>
    <w:p>
      <w:pPr>
        <w:ind w:left="420" w:hanging="212"/>
        <w:spacing w:after="0" w:line="251" w:lineRule="auto"/>
        <w:tabs>
          <w:tab w:leader="none" w:pos="416" w:val="left"/>
        </w:tabs>
        <w:numPr>
          <w:ilvl w:val="0"/>
          <w:numId w:val="4"/>
        </w:numPr>
        <w:rPr>
          <w:rFonts w:ascii="Times New Roman" w:cs="Times New Roman" w:eastAsia="Times New Roman" w:hAnsi="Times New Roman"/>
          <w:sz w:val="14"/>
          <w:szCs w:val="14"/>
          <w:color w:val="auto"/>
        </w:rPr>
      </w:pPr>
      <w:r>
        <w:rPr>
          <w:rFonts w:ascii="Calibri" w:cs="Calibri" w:eastAsia="Calibri" w:hAnsi="Calibri"/>
          <w:sz w:val="14"/>
          <w:szCs w:val="14"/>
          <w:color w:val="auto"/>
        </w:rPr>
        <w:t>Cash, cash equivalents, marketable securites and restricted cash of $131 million as of December 31, 2023. Total Company use of cash for the fourth quarter of 2023 was $33 million, an improvement of 51% year-over-year and 21% sequentally. The use of cash in the fourth quarter included $5 million in scheduled payments under the Legacy Sema4</w:t>
      </w:r>
    </w:p>
    <w:p>
      <w:pPr>
        <w:sectPr>
          <w:pgSz w:w="11900" w:h="16838" w:orient="portrait"/>
          <w:cols w:equalWidth="0" w:num="1">
            <w:col w:w="11300"/>
          </w:cols>
          <w:pgMar w:left="300" w:top="132" w:right="299" w:bottom="1440" w:gutter="0" w:footer="0" w:header="0"/>
        </w:sectPr>
      </w:pPr>
    </w:p>
    <w:bookmarkStart w:id="4" w:name="page5"/>
    <w:bookmarkEnd w:id="4"/>
    <w:p>
      <w:pPr>
        <w:ind w:left="428"/>
        <w:spacing w:after="0" w:line="251" w:lineRule="auto"/>
        <w:rPr>
          <w:sz w:val="20"/>
          <w:szCs w:val="20"/>
          <w:color w:val="auto"/>
        </w:rPr>
      </w:pPr>
      <w:r>
        <w:rPr>
          <w:rFonts w:ascii="Calibri" w:cs="Calibri" w:eastAsia="Calibri" w:hAnsi="Calibri"/>
          <w:sz w:val="14"/>
          <w:szCs w:val="14"/>
          <w:color w:val="auto"/>
        </w:rPr>
        <w:t>payer setlement entered into in 2022, $3 million to discharge operatng payables for the exited reproductve health business and $1 million in severance payments related to the previously announced cost reducton initatve. Excluding these items, representatve contnuing operatons cash burn was $24 million in the fourth quarter of 2023.</w:t>
      </w:r>
    </w:p>
    <w:p>
      <w:pPr>
        <w:spacing w:after="0" w:line="255" w:lineRule="exact"/>
        <w:rPr>
          <w:sz w:val="20"/>
          <w:szCs w:val="20"/>
          <w:color w:val="auto"/>
        </w:rPr>
      </w:pPr>
    </w:p>
    <w:p>
      <w:pPr>
        <w:jc w:val="both"/>
        <w:ind w:left="8"/>
        <w:spacing w:after="0" w:line="254" w:lineRule="auto"/>
        <w:rPr>
          <w:sz w:val="20"/>
          <w:szCs w:val="20"/>
          <w:color w:val="auto"/>
        </w:rPr>
      </w:pPr>
      <w:r>
        <w:rPr>
          <w:rFonts w:ascii="Calibri" w:cs="Calibri" w:eastAsia="Calibri" w:hAnsi="Calibri"/>
          <w:sz w:val="14"/>
          <w:szCs w:val="14"/>
          <w:color w:val="auto"/>
        </w:rPr>
        <w:t>"Our fourth quarter preliminary results, which exceeded previously issued guidance, provide great momentum heading into 2024. Growth is strong and losses are consistently narrowing with each passing quarter. We can confdently reiterate the antcipated path to proftability in 2025,” said Kevin Feeley, Chief Financial Ofcer of GeneDx.</w:t>
      </w:r>
    </w:p>
    <w:p>
      <w:pPr>
        <w:spacing w:after="0" w:line="97" w:lineRule="exact"/>
        <w:rPr>
          <w:sz w:val="20"/>
          <w:szCs w:val="20"/>
          <w:color w:val="auto"/>
        </w:rPr>
      </w:pPr>
    </w:p>
    <w:p>
      <w:pPr>
        <w:jc w:val="both"/>
        <w:ind w:left="8"/>
        <w:spacing w:after="0" w:line="252" w:lineRule="auto"/>
        <w:rPr>
          <w:sz w:val="20"/>
          <w:szCs w:val="20"/>
          <w:color w:val="auto"/>
        </w:rPr>
      </w:pPr>
      <w:r>
        <w:rPr>
          <w:rFonts w:ascii="Calibri" w:cs="Calibri" w:eastAsia="Calibri" w:hAnsi="Calibri"/>
          <w:sz w:val="14"/>
          <w:szCs w:val="14"/>
          <w:color w:val="auto"/>
        </w:rPr>
        <w:t>GeneDx has not completed the preparaton of its consolidated fnancial statements for the year ended December 31, 2023. The preliminary, unaudited results presented in this press release for the year ended December 31, 2023, are based on current expectatons and are subject to adjustment, as the company completes the preparaton of its 2023 year-end consolidated fnancial statements and its 2023 year-end audit.</w:t>
      </w:r>
    </w:p>
    <w:p>
      <w:pPr>
        <w:spacing w:after="0" w:line="101" w:lineRule="exact"/>
        <w:rPr>
          <w:sz w:val="20"/>
          <w:szCs w:val="20"/>
          <w:color w:val="auto"/>
        </w:rPr>
      </w:pPr>
    </w:p>
    <w:p>
      <w:pPr>
        <w:jc w:val="both"/>
        <w:ind w:left="8"/>
        <w:spacing w:after="0" w:line="251" w:lineRule="auto"/>
        <w:rPr>
          <w:sz w:val="20"/>
          <w:szCs w:val="20"/>
          <w:color w:val="auto"/>
        </w:rPr>
      </w:pPr>
      <w:r>
        <w:rPr>
          <w:rFonts w:ascii="Calibri" w:cs="Calibri" w:eastAsia="Calibri" w:hAnsi="Calibri"/>
          <w:sz w:val="14"/>
          <w:szCs w:val="14"/>
          <w:color w:val="auto"/>
        </w:rPr>
        <w:t>GeneDx will release fnancial results for the fourth quarter and full year of 2023 afer the market closes on Tuesday, February 20, 2024. On the same day, Katherine Stueland, President and Chief Executve Ofcer of GeneDx, and Kevin Feeley, Chief Financial Ofcer of GeneDx, will host a conference call to discuss fnancial and operatng results at 4:30 p.m. Eastern Time.</w:t>
      </w:r>
    </w:p>
    <w:p>
      <w:pPr>
        <w:spacing w:after="0" w:line="93" w:lineRule="exact"/>
        <w:rPr>
          <w:sz w:val="20"/>
          <w:szCs w:val="20"/>
          <w:color w:val="auto"/>
        </w:rPr>
      </w:pPr>
    </w:p>
    <w:p>
      <w:pPr>
        <w:jc w:val="both"/>
        <w:ind w:left="8"/>
        <w:spacing w:after="0" w:line="251" w:lineRule="auto"/>
        <w:rPr>
          <w:sz w:val="20"/>
          <w:szCs w:val="20"/>
          <w:color w:val="auto"/>
        </w:rPr>
      </w:pPr>
      <w:r>
        <w:rPr>
          <w:rFonts w:ascii="Calibri" w:cs="Calibri" w:eastAsia="Calibri" w:hAnsi="Calibri"/>
          <w:sz w:val="14"/>
          <w:szCs w:val="14"/>
          <w:color w:val="auto"/>
        </w:rPr>
        <w:t>Investors interested in listening to the conference call are required to register online. A live and archived webcast of the event will be available on the “Events” secton of the GeneDx investor relatons website at htps://ir.genedx.com/.</w:t>
      </w:r>
    </w:p>
    <w:p>
      <w:pPr>
        <w:spacing w:after="0" w:line="102" w:lineRule="exact"/>
        <w:rPr>
          <w:sz w:val="20"/>
          <w:szCs w:val="20"/>
          <w:color w:val="auto"/>
        </w:rPr>
      </w:pPr>
    </w:p>
    <w:p>
      <w:pPr>
        <w:ind w:left="8" w:right="20" w:hanging="8"/>
        <w:spacing w:after="0" w:line="208" w:lineRule="auto"/>
        <w:tabs>
          <w:tab w:leader="none" w:pos="90" w:val="left"/>
        </w:tabs>
        <w:numPr>
          <w:ilvl w:val="0"/>
          <w:numId w:val="5"/>
        </w:numPr>
        <w:rPr>
          <w:rFonts w:ascii="Calibri" w:cs="Calibri" w:eastAsia="Calibri" w:hAnsi="Calibri"/>
          <w:sz w:val="19"/>
          <w:szCs w:val="19"/>
          <w:color w:val="auto"/>
          <w:vertAlign w:val="superscript"/>
        </w:rPr>
      </w:pPr>
      <w:r>
        <w:rPr>
          <w:rFonts w:ascii="Calibri" w:cs="Calibri" w:eastAsia="Calibri" w:hAnsi="Calibri"/>
          <w:sz w:val="14"/>
          <w:szCs w:val="14"/>
          <w:color w:val="auto"/>
        </w:rPr>
        <w:t>Preliminary results from contnuing operatons exclude the results of the discontnued Legacy Sema4 diagnostc testng business. Preliminary total company results include GeneDx’s contnuing operatons and the fnancial impacts of exited Legacy Sema4 business actvites.</w:t>
      </w:r>
    </w:p>
    <w:p>
      <w:pPr>
        <w:spacing w:after="0" w:line="110" w:lineRule="exact"/>
        <w:rPr>
          <w:sz w:val="20"/>
          <w:szCs w:val="20"/>
          <w:color w:val="auto"/>
        </w:rPr>
      </w:pPr>
    </w:p>
    <w:p>
      <w:pPr>
        <w:ind w:left="8"/>
        <w:spacing w:after="0"/>
        <w:rPr>
          <w:sz w:val="20"/>
          <w:szCs w:val="20"/>
          <w:color w:val="auto"/>
        </w:rPr>
      </w:pPr>
      <w:r>
        <w:rPr>
          <w:rFonts w:ascii="Calibri" w:cs="Calibri" w:eastAsia="Calibri" w:hAnsi="Calibri"/>
          <w:sz w:val="14"/>
          <w:szCs w:val="14"/>
          <w:b w:val="1"/>
          <w:bCs w:val="1"/>
          <w:color w:val="auto"/>
        </w:rPr>
        <w:t>Safe Harbor Statements</w:t>
      </w:r>
    </w:p>
    <w:p>
      <w:pPr>
        <w:spacing w:after="0" w:line="261" w:lineRule="exact"/>
        <w:rPr>
          <w:sz w:val="20"/>
          <w:szCs w:val="20"/>
          <w:color w:val="auto"/>
        </w:rPr>
      </w:pPr>
    </w:p>
    <w:p>
      <w:pPr>
        <w:jc w:val="both"/>
        <w:ind w:left="8"/>
        <w:spacing w:after="0" w:line="252" w:lineRule="auto"/>
        <w:rPr>
          <w:sz w:val="20"/>
          <w:szCs w:val="20"/>
          <w:color w:val="auto"/>
        </w:rPr>
      </w:pPr>
      <w:r>
        <w:rPr>
          <w:rFonts w:ascii="Calibri" w:cs="Calibri" w:eastAsia="Calibri" w:hAnsi="Calibri"/>
          <w:sz w:val="14"/>
          <w:szCs w:val="14"/>
          <w:color w:val="auto"/>
        </w:rPr>
        <w:t>This press release contains certain forward-looking statements within the meaning of the federal securites laws, including statements regarding our future performance and our market opportunity, including our preliminary, unaudited fourth quarter and full year 2023 revenue, fourth quarter and full year 2023 test result volumes, December 31, 2023 cash balance and use of cash for the fourth quarter of 2023, our expectaton of turning proftable in 2025 and our expectatons for our growth and future investment in our business. These forward-looking statements generally are identfed by the words “believe,” “project,” “expect,” “antcipate,” “estmate,” “intend,” “strategy,” “future,” “opportunity,” “plan,” “may,” “should,” “will,” “would,” “will be,” “will contnue,” “will likely result,” and similar expressions. Forward-looking statements are predictons, projectons and other statements about future events that are based on current expectatons and assumptons and, as a result, are subject to risks and uncertaintes. Many factors could cause actual future events to difer materially from the</w:t>
      </w:r>
    </w:p>
    <w:p>
      <w:pPr>
        <w:sectPr>
          <w:pgSz w:w="11900" w:h="16838" w:orient="portrait"/>
          <w:cols w:equalWidth="0" w:num="1">
            <w:col w:w="11308"/>
          </w:cols>
          <w:pgMar w:left="292" w:top="1093" w:right="299" w:bottom="1440" w:gutter="0" w:footer="0" w:header="0"/>
        </w:sectPr>
      </w:pPr>
    </w:p>
    <w:bookmarkStart w:id="5" w:name="page6"/>
    <w:bookmarkEnd w:id="5"/>
    <w:p>
      <w:pPr>
        <w:jc w:val="both"/>
        <w:spacing w:after="0" w:line="252" w:lineRule="auto"/>
        <w:rPr>
          <w:sz w:val="20"/>
          <w:szCs w:val="20"/>
          <w:color w:val="auto"/>
        </w:rPr>
      </w:pPr>
      <w:r>
        <w:rPr>
          <w:rFonts w:ascii="Calibri" w:cs="Calibri" w:eastAsia="Calibri" w:hAnsi="Calibri"/>
          <w:sz w:val="14"/>
          <w:szCs w:val="14"/>
          <w:color w:val="auto"/>
        </w:rPr>
        <w:t>forward-looking statements in this press release, including but not limited to: (i) our ability to implement business plans, goals and forecasts, and identfy and realize additonal opportunites, (ii) the risk of downturns and a changing regulatory landscape in the highly compettve healthcare industry, (iii) the size and growth of the market in which we operate, (iv) our ability to pursue our new strategic directon, and (vi) our ability to enhance our artfcial intelligence tools that we use in our clinical interpretaton platorm. The foregoing list of factors is not exhaustve. You should carefully consider the foregoing factors and the other risks and uncertaintes described in the “Risk Factors” secton of our Annual Report on Form 10-K for the fscal year ended December 31, 2022, fled with the U.S. Securites and Exchange Commission (the “SEC”) on March 16, 2023 and other documents fled by us from tme to tme with the SEC. These flings identfy and address other important risks and uncertaintes that could cause actual events and results to difer materially from those contained in the forward-looking statements. Forward-looking statements speak only as of the date they are made. Readers are cautoned not to put undue reliance on forward-looking statements, and we assume no obligaton and do not intend to update or revise these forward-looking statements, whether as a result of new informaton, future events, or otherwise. We do not give any assurance that we will achieve our expectatons.</w:t>
      </w:r>
    </w:p>
    <w:p>
      <w:pPr>
        <w:spacing w:after="0" w:line="94"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About GeneDx</w:t>
      </w:r>
    </w:p>
    <w:p>
      <w:pPr>
        <w:spacing w:after="0" w:line="109" w:lineRule="exact"/>
        <w:rPr>
          <w:sz w:val="20"/>
          <w:szCs w:val="20"/>
          <w:color w:val="auto"/>
        </w:rPr>
      </w:pPr>
    </w:p>
    <w:p>
      <w:pPr>
        <w:jc w:val="both"/>
        <w:spacing w:after="0" w:line="252" w:lineRule="auto"/>
        <w:rPr>
          <w:sz w:val="20"/>
          <w:szCs w:val="20"/>
          <w:color w:val="auto"/>
        </w:rPr>
      </w:pPr>
      <w:r>
        <w:rPr>
          <w:rFonts w:ascii="Calibri" w:cs="Calibri" w:eastAsia="Calibri" w:hAnsi="Calibri"/>
          <w:sz w:val="14"/>
          <w:szCs w:val="14"/>
          <w:color w:val="auto"/>
        </w:rPr>
        <w:t>GeneDx, (Nasdaq: WGS) delivers personalized and actonable health insights to inform diagnosis, direct treatment and improve drug discovery. The company is uniquely positoned to accelerate the use of genomic and large-scale clinical informaton to enable precision medicine as the standard of care. GeneDx is at the forefront of transforming healthcare through its industry-leading exome and genome testng and interpretaton, fueled by one of the world’s largest rare disease data sets. For more informaton, please visit genedx.com and connect with us on LinkedIn, Facebook, and Instagram.</w:t>
      </w:r>
    </w:p>
    <w:p>
      <w:pPr>
        <w:spacing w:after="0" w:line="100"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Media contact</w:t>
      </w:r>
    </w:p>
    <w:p>
      <w:pPr>
        <w:spacing w:after="0" w:line="9" w:lineRule="exact"/>
        <w:rPr>
          <w:sz w:val="20"/>
          <w:szCs w:val="20"/>
          <w:color w:val="auto"/>
        </w:rPr>
      </w:pPr>
    </w:p>
    <w:p>
      <w:pPr>
        <w:spacing w:after="0"/>
        <w:rPr>
          <w:sz w:val="20"/>
          <w:szCs w:val="20"/>
          <w:color w:val="auto"/>
        </w:rPr>
      </w:pPr>
      <w:r>
        <w:rPr>
          <w:rFonts w:ascii="Calibri" w:cs="Calibri" w:eastAsia="Calibri" w:hAnsi="Calibri"/>
          <w:sz w:val="14"/>
          <w:szCs w:val="14"/>
          <w:b w:val="1"/>
          <w:bCs w:val="1"/>
          <w:u w:val="single" w:color="auto"/>
          <w:color w:val="auto"/>
        </w:rPr>
        <w:t>Press@GeneDx.com</w:t>
      </w:r>
    </w:p>
    <w:p>
      <w:pPr>
        <w:spacing w:after="0" w:line="99"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Investor contact</w:t>
      </w:r>
    </w:p>
    <w:p>
      <w:pPr>
        <w:spacing w:after="0" w:line="9" w:lineRule="exact"/>
        <w:rPr>
          <w:sz w:val="20"/>
          <w:szCs w:val="20"/>
          <w:color w:val="auto"/>
        </w:rPr>
      </w:pPr>
    </w:p>
    <w:p>
      <w:pPr>
        <w:spacing w:after="0"/>
        <w:rPr>
          <w:sz w:val="20"/>
          <w:szCs w:val="20"/>
          <w:color w:val="auto"/>
        </w:rPr>
      </w:pPr>
      <w:r>
        <w:rPr>
          <w:rFonts w:ascii="Calibri" w:cs="Calibri" w:eastAsia="Calibri" w:hAnsi="Calibri"/>
          <w:sz w:val="13"/>
          <w:szCs w:val="13"/>
          <w:u w:val="single" w:color="auto"/>
          <w:color w:val="auto"/>
        </w:rPr>
        <w:t>I</w:t>
      </w:r>
      <w:r>
        <w:rPr>
          <w:rFonts w:ascii="Calibri" w:cs="Calibri" w:eastAsia="Calibri" w:hAnsi="Calibri"/>
          <w:sz w:val="14"/>
          <w:szCs w:val="14"/>
          <w:b w:val="1"/>
          <w:bCs w:val="1"/>
          <w:u w:val="single" w:color="auto"/>
          <w:color w:val="auto"/>
        </w:rPr>
        <w:t>nvestors@genedx.com</w:t>
      </w:r>
    </w:p>
    <w:p>
      <w:pPr>
        <w:sectPr>
          <w:pgSz w:w="11900" w:h="16838" w:orient="portrait"/>
          <w:cols w:equalWidth="0" w:num="1">
            <w:col w:w="11300"/>
          </w:cols>
          <w:pgMar w:left="300" w:top="1093" w:right="299" w:bottom="1440"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2024-01-08T08:12:34Z</dcterms:created>
  <dcterms:modified xsi:type="dcterms:W3CDTF">2024-01-08T08:12:34Z</dcterms:modified>
</cp:coreProperties>
</file>