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Corvex Management LP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667 Madison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CM Life 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333-246251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Casdin: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 disclose 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59 and 125 that "the federal courts shall be the exclusive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resolution of any complaint asserting a cause of action arising under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against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or any of our directors, officers, other employees or agents."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state that there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uncertainty as to whether a court would enforce such provision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state that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investors cannot waive compliance with the federal securities laws and the rules and regulations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 In that regard, we note that Section 22 of the Securities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created concurrent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for federal and state courts over all suits brought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 any duty 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liability created by the Securities Act or the rules and regulations thereunder.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clarify Casdin Capital's current and future role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any acquisition strategy. In that regard, we note you disclose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draw upon "Casdin Capital's scientific process" as you evaluate targets,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Casdin Capital will provide you with "a pipeline of proprietary opportunities that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increase as new players enter" and that you intend to leverage its "position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than just an investor, but a key partner."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Jennifer O'Brien, Staff Accountant, at (202) 551-3721 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Horowitz, Accounting Branch Chief, at (202) 551-3311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Karina Dorin, Staff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551-3763 or Loan Lauren Nguyen, Legal Branch Chief, at (202) 551-3642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LastNameEli Casdin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NameCM Life Sciences,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Colin Diamond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2020-09-30T23:07:11Z</dcterms:created>
  <dcterms:modified xsi:type="dcterms:W3CDTF">2020-09-30T23:07:11Z</dcterms:modified>
</cp:coreProperties>
</file>