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20, 2025</w:t>
      </w:r>
    </w:p>
    <w:p>
      <w:pPr>
        <w:jc w:val="right"/>
        <w:spacing w:after="0" w:line="213" w:lineRule="auto"/>
        <w:rPr>
          <w:sz w:val="20"/>
          <w:szCs w:val="20"/>
          <w:color w:val="auto"/>
        </w:rPr>
      </w:pPr>
      <w:r>
        <w:rPr>
          <w:rFonts w:ascii="Times New Roman" w:cs="Times New Roman" w:eastAsia="Times New Roman" w:hAnsi="Times New Roman"/>
          <w:sz w:val="18"/>
          <w:szCs w:val="18"/>
          <w:b w:val="1"/>
          <w:bCs w:val="1"/>
          <w:color w:val="auto"/>
        </w:rPr>
        <w:t>Registration No. 333-</w:t>
      </w:r>
    </w:p>
    <w:p>
      <w:pPr>
        <w:jc w:val="center"/>
        <w:spacing w:after="0" w:line="205" w:lineRule="auto"/>
        <w:rPr>
          <w:sz w:val="20"/>
          <w:szCs w:val="20"/>
          <w:color w:val="auto"/>
        </w:rPr>
      </w:pPr>
      <w:r>
        <w:rPr>
          <w:rFonts w:ascii="Times New Roman" w:cs="Times New Roman" w:eastAsia="Times New Roman" w:hAnsi="Times New Roman"/>
          <w:sz w:val="22"/>
          <w:szCs w:val="22"/>
          <w:b w:val="1"/>
          <w:bCs w:val="1"/>
          <w:color w:val="auto"/>
        </w:rPr>
        <w:t>UNITED STATES</w:t>
      </w:r>
    </w:p>
    <w:p>
      <w:pPr>
        <w:jc w:val="center"/>
        <w:spacing w:after="0" w:line="209" w:lineRule="auto"/>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S-8</w:t>
      </w:r>
    </w:p>
    <w:p>
      <w:pPr>
        <w:jc w:val="center"/>
        <w:spacing w:after="0"/>
        <w:rPr>
          <w:sz w:val="20"/>
          <w:szCs w:val="20"/>
          <w:color w:val="auto"/>
        </w:rPr>
      </w:pPr>
      <w:r>
        <w:rPr>
          <w:rFonts w:ascii="Times New Roman" w:cs="Times New Roman" w:eastAsia="Times New Roman" w:hAnsi="Times New Roman"/>
          <w:sz w:val="25"/>
          <w:szCs w:val="25"/>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GENEDX HOLDINGS CORP.</w:t>
      </w: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42" w:lineRule="exact"/>
        <w:rPr>
          <w:sz w:val="24"/>
          <w:szCs w:val="24"/>
          <w:color w:val="auto"/>
        </w:rPr>
      </w:pPr>
    </w:p>
    <w:tbl>
      <w:tblPr>
        <w:tblLayout w:type="fixed"/>
        <w:tblInd w:w="2540" w:type="dxa"/>
        <w:tblCellMar>
          <w:top w:w="0" w:type="dxa"/>
          <w:left w:w="0" w:type="dxa"/>
          <w:bottom w:w="0" w:type="dxa"/>
          <w:right w:w="0" w:type="dxa"/>
        </w:tblCellMar>
      </w:tblPr>
      <w:tr>
        <w:trPr>
          <w:trHeight w:val="212"/>
        </w:trPr>
        <w:tc>
          <w:tcPr>
            <w:tcW w:w="4120" w:type="dxa"/>
            <w:vAlign w:val="bottom"/>
          </w:tcPr>
          <w:p>
            <w:pPr>
              <w:jc w:val="center"/>
              <w:ind w:right="187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180" w:type="dxa"/>
            <w:vAlign w:val="bottom"/>
          </w:tcPr>
          <w:p>
            <w:pPr>
              <w:jc w:val="center"/>
              <w:ind w:left="1879"/>
              <w:spacing w:after="0"/>
              <w:rPr>
                <w:sz w:val="20"/>
                <w:szCs w:val="20"/>
                <w:color w:val="auto"/>
              </w:rPr>
            </w:pPr>
            <w:r>
              <w:rPr>
                <w:rFonts w:ascii="Times New Roman" w:cs="Times New Roman" w:eastAsia="Times New Roman" w:hAnsi="Times New Roman"/>
                <w:sz w:val="16"/>
                <w:szCs w:val="16"/>
                <w:b w:val="1"/>
                <w:bCs w:val="1"/>
                <w:color w:val="auto"/>
              </w:rPr>
              <w:t>85-1966622</w:t>
            </w:r>
          </w:p>
        </w:tc>
      </w:tr>
      <w:tr>
        <w:trPr>
          <w:trHeight w:val="222"/>
        </w:trPr>
        <w:tc>
          <w:tcPr>
            <w:tcW w:w="4120" w:type="dxa"/>
            <w:vAlign w:val="bottom"/>
          </w:tcPr>
          <w:p>
            <w:pPr>
              <w:jc w:val="center"/>
              <w:ind w:right="1879"/>
              <w:spacing w:after="0"/>
              <w:rPr>
                <w:sz w:val="20"/>
                <w:szCs w:val="20"/>
                <w:color w:val="auto"/>
              </w:rPr>
            </w:pPr>
            <w:r>
              <w:rPr>
                <w:rFonts w:ascii="Times New Roman" w:cs="Times New Roman" w:eastAsia="Times New Roman" w:hAnsi="Times New Roman"/>
                <w:sz w:val="16"/>
                <w:szCs w:val="16"/>
                <w:color w:val="auto"/>
              </w:rPr>
              <w:t>(State or Other Jurisdiction</w:t>
            </w:r>
          </w:p>
        </w:tc>
        <w:tc>
          <w:tcPr>
            <w:tcW w:w="3180" w:type="dxa"/>
            <w:vAlign w:val="bottom"/>
          </w:tcPr>
          <w:p>
            <w:pPr>
              <w:jc w:val="center"/>
              <w:ind w:left="187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120" w:type="dxa"/>
            <w:vAlign w:val="bottom"/>
          </w:tcPr>
          <w:p>
            <w:pPr>
              <w:jc w:val="center"/>
              <w:ind w:right="1879"/>
              <w:spacing w:after="0"/>
              <w:rPr>
                <w:sz w:val="20"/>
                <w:szCs w:val="20"/>
                <w:color w:val="auto"/>
              </w:rPr>
            </w:pPr>
            <w:r>
              <w:rPr>
                <w:rFonts w:ascii="Times New Roman" w:cs="Times New Roman" w:eastAsia="Times New Roman" w:hAnsi="Times New Roman"/>
                <w:sz w:val="16"/>
                <w:szCs w:val="16"/>
                <w:color w:val="auto"/>
              </w:rPr>
              <w:t>of Incorporation or Organization)</w:t>
            </w:r>
          </w:p>
        </w:tc>
        <w:tc>
          <w:tcPr>
            <w:tcW w:w="318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rPr>
              <w:t>Identification No.)</w:t>
            </w:r>
          </w:p>
        </w:tc>
      </w:tr>
    </w:tbl>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333 Ludlow Street, North Tower, 6th Floor</w:t>
      </w:r>
    </w:p>
    <w:p>
      <w:pPr>
        <w:jc w:val="center"/>
        <w:spacing w:after="0" w:line="222" w:lineRule="auto"/>
        <w:rPr>
          <w:sz w:val="20"/>
          <w:szCs w:val="20"/>
          <w:color w:val="auto"/>
        </w:rPr>
      </w:pPr>
      <w:r>
        <w:rPr>
          <w:rFonts w:ascii="Times New Roman" w:cs="Times New Roman" w:eastAsia="Times New Roman" w:hAnsi="Times New Roman"/>
          <w:sz w:val="18"/>
          <w:szCs w:val="18"/>
          <w:b w:val="1"/>
          <w:bCs w:val="1"/>
          <w:color w:val="auto"/>
        </w:rPr>
        <w:t>Stamford, Connecticut 06902</w:t>
      </w:r>
    </w:p>
    <w:p>
      <w:pPr>
        <w:jc w:val="center"/>
        <w:ind w:left="340" w:right="2220"/>
        <w:spacing w:after="0"/>
        <w:rPr>
          <w:sz w:val="20"/>
          <w:szCs w:val="20"/>
          <w:color w:val="auto"/>
        </w:rPr>
      </w:pPr>
      <w:r>
        <w:rPr>
          <w:rFonts w:ascii="Times New Roman" w:cs="Times New Roman" w:eastAsia="Times New Roman" w:hAnsi="Times New Roman"/>
          <w:sz w:val="16"/>
          <w:szCs w:val="16"/>
          <w:color w:val="auto"/>
        </w:rPr>
        <w:t xml:space="preserve">(Address of Principal Executive Offices) (Zip Code) </w:t>
      </w:r>
      <w:r>
        <w:rPr>
          <w:rFonts w:ascii="Times New Roman" w:cs="Times New Roman" w:eastAsia="Times New Roman" w:hAnsi="Times New Roman"/>
          <w:sz w:val="16"/>
          <w:szCs w:val="16"/>
          <w:b w:val="1"/>
          <w:bCs w:val="1"/>
          <w:color w:val="auto"/>
        </w:rPr>
        <w:t xml:space="preserve">GENEDX HOLDINGS CORP. AMENDED AND RESTATED 2021 EQUITY INCENTIVE PLAN GENEDX HOLDINGS CORP. 2021 EMPLOYEE STOCK PURCHASE PLAN </w:t>
      </w:r>
      <w:r>
        <w:rPr>
          <w:rFonts w:ascii="Times New Roman" w:cs="Times New Roman" w:eastAsia="Times New Roman" w:hAnsi="Times New Roman"/>
          <w:sz w:val="16"/>
          <w:szCs w:val="16"/>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Katherine Stueland</w:t>
      </w:r>
    </w:p>
    <w:p>
      <w:pPr>
        <w:ind w:left="4720"/>
        <w:spacing w:after="0" w:line="210" w:lineRule="auto"/>
        <w:rPr>
          <w:sz w:val="20"/>
          <w:szCs w:val="20"/>
          <w:color w:val="auto"/>
        </w:rPr>
      </w:pPr>
      <w:r>
        <w:rPr>
          <w:rFonts w:ascii="Times New Roman" w:cs="Times New Roman" w:eastAsia="Times New Roman" w:hAnsi="Times New Roman"/>
          <w:sz w:val="18"/>
          <w:szCs w:val="18"/>
          <w:b w:val="1"/>
          <w:bCs w:val="1"/>
          <w:color w:val="auto"/>
        </w:rPr>
        <w:t>Chief Executive Officer</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333 Ludlow Street, North Tower, 6th Floor</w:t>
      </w:r>
    </w:p>
    <w:p>
      <w:pPr>
        <w:jc w:val="center"/>
        <w:spacing w:after="0" w:line="223" w:lineRule="auto"/>
        <w:rPr>
          <w:sz w:val="20"/>
          <w:szCs w:val="20"/>
          <w:color w:val="auto"/>
        </w:rPr>
      </w:pPr>
      <w:r>
        <w:rPr>
          <w:rFonts w:ascii="Times New Roman" w:cs="Times New Roman" w:eastAsia="Times New Roman" w:hAnsi="Times New Roman"/>
          <w:sz w:val="18"/>
          <w:szCs w:val="18"/>
          <w:b w:val="1"/>
          <w:bCs w:val="1"/>
          <w:color w:val="auto"/>
        </w:rPr>
        <w:t>Stamford, Connecticut 06902</w:t>
      </w:r>
    </w:p>
    <w:p>
      <w:pPr>
        <w:jc w:val="center"/>
        <w:spacing w:after="0" w:line="208" w:lineRule="auto"/>
        <w:rPr>
          <w:sz w:val="20"/>
          <w:szCs w:val="20"/>
          <w:color w:val="auto"/>
        </w:rPr>
      </w:pPr>
      <w:r>
        <w:rPr>
          <w:rFonts w:ascii="Times New Roman" w:cs="Times New Roman" w:eastAsia="Times New Roman" w:hAnsi="Times New Roman"/>
          <w:sz w:val="16"/>
          <w:szCs w:val="16"/>
          <w:color w:val="auto"/>
        </w:rPr>
        <w:t>(Name and Address of Agent For Service)</w:t>
      </w:r>
    </w:p>
    <w:p>
      <w:pPr>
        <w:jc w:val="center"/>
        <w:spacing w:after="0" w:line="206" w:lineRule="auto"/>
        <w:rPr>
          <w:sz w:val="20"/>
          <w:szCs w:val="20"/>
          <w:color w:val="auto"/>
        </w:rPr>
      </w:pPr>
      <w:r>
        <w:rPr>
          <w:rFonts w:ascii="Times New Roman" w:cs="Times New Roman" w:eastAsia="Times New Roman" w:hAnsi="Times New Roman"/>
          <w:sz w:val="18"/>
          <w:szCs w:val="18"/>
          <w:b w:val="1"/>
          <w:bCs w:val="1"/>
          <w:color w:val="auto"/>
        </w:rPr>
        <w:t>(888) 729-1206</w:t>
      </w:r>
    </w:p>
    <w:p>
      <w:pPr>
        <w:jc w:val="center"/>
        <w:spacing w:after="0"/>
        <w:rPr>
          <w:sz w:val="20"/>
          <w:szCs w:val="20"/>
          <w:color w:val="auto"/>
        </w:rPr>
      </w:pPr>
      <w:r>
        <w:rPr>
          <w:rFonts w:ascii="Times New Roman" w:cs="Times New Roman" w:eastAsia="Times New Roman" w:hAnsi="Times New Roman"/>
          <w:sz w:val="16"/>
          <w:szCs w:val="16"/>
          <w:i w:val="1"/>
          <w:i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50" w:lineRule="exact"/>
        <w:rPr>
          <w:sz w:val="24"/>
          <w:szCs w:val="24"/>
          <w:color w:val="auto"/>
        </w:rPr>
      </w:pPr>
    </w:p>
    <w:tbl>
      <w:tblPr>
        <w:tblLayout w:type="fixed"/>
        <w:tblInd w:w="1860" w:type="dxa"/>
        <w:tblCellMar>
          <w:top w:w="0" w:type="dxa"/>
          <w:left w:w="0" w:type="dxa"/>
          <w:bottom w:w="0" w:type="dxa"/>
          <w:right w:w="0" w:type="dxa"/>
        </w:tblCellMar>
      </w:tblPr>
      <w:tr>
        <w:trPr>
          <w:trHeight w:val="184"/>
        </w:trPr>
        <w:tc>
          <w:tcPr>
            <w:tcW w:w="350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rPr>
              <w:t>Ethan Skerry</w:t>
            </w:r>
          </w:p>
        </w:tc>
        <w:tc>
          <w:tcPr>
            <w:tcW w:w="4540" w:type="dxa"/>
            <w:vAlign w:val="bottom"/>
          </w:tcPr>
          <w:p>
            <w:pPr>
              <w:jc w:val="center"/>
              <w:ind w:left="1519"/>
              <w:spacing w:after="0"/>
              <w:rPr>
                <w:sz w:val="20"/>
                <w:szCs w:val="20"/>
                <w:color w:val="auto"/>
              </w:rPr>
            </w:pPr>
            <w:r>
              <w:rPr>
                <w:rFonts w:ascii="Times New Roman" w:cs="Times New Roman" w:eastAsia="Times New Roman" w:hAnsi="Times New Roman"/>
                <w:sz w:val="16"/>
                <w:szCs w:val="16"/>
                <w:b w:val="1"/>
                <w:bCs w:val="1"/>
                <w:color w:val="auto"/>
              </w:rPr>
              <w:t>Kevin Feeley</w:t>
            </w:r>
          </w:p>
        </w:tc>
      </w:tr>
      <w:tr>
        <w:trPr>
          <w:trHeight w:val="162"/>
        </w:trPr>
        <w:tc>
          <w:tcPr>
            <w:tcW w:w="3500" w:type="dxa"/>
            <w:vAlign w:val="bottom"/>
          </w:tcPr>
          <w:p>
            <w:pPr>
              <w:jc w:val="center"/>
              <w:ind w:right="1499"/>
              <w:spacing w:after="0" w:line="162" w:lineRule="exact"/>
              <w:rPr>
                <w:sz w:val="20"/>
                <w:szCs w:val="20"/>
                <w:color w:val="auto"/>
              </w:rPr>
            </w:pPr>
            <w:r>
              <w:rPr>
                <w:rFonts w:ascii="Times New Roman" w:cs="Times New Roman" w:eastAsia="Times New Roman" w:hAnsi="Times New Roman"/>
                <w:sz w:val="16"/>
                <w:szCs w:val="16"/>
                <w:b w:val="1"/>
                <w:bCs w:val="1"/>
                <w:color w:val="auto"/>
                <w:w w:val="99"/>
              </w:rPr>
              <w:t>Per B. Chilstrom</w:t>
            </w:r>
          </w:p>
        </w:tc>
        <w:tc>
          <w:tcPr>
            <w:tcW w:w="4540" w:type="dxa"/>
            <w:vAlign w:val="bottom"/>
          </w:tcPr>
          <w:p>
            <w:pPr>
              <w:jc w:val="center"/>
              <w:ind w:left="1499"/>
              <w:spacing w:after="0" w:line="162" w:lineRule="exact"/>
              <w:rPr>
                <w:sz w:val="20"/>
                <w:szCs w:val="20"/>
                <w:color w:val="auto"/>
              </w:rPr>
            </w:pPr>
            <w:r>
              <w:rPr>
                <w:rFonts w:ascii="Times New Roman" w:cs="Times New Roman" w:eastAsia="Times New Roman" w:hAnsi="Times New Roman"/>
                <w:sz w:val="16"/>
                <w:szCs w:val="16"/>
                <w:b w:val="1"/>
                <w:bCs w:val="1"/>
                <w:color w:val="auto"/>
              </w:rPr>
              <w:t>Chief Financial Officer</w:t>
            </w:r>
          </w:p>
        </w:tc>
      </w:tr>
      <w:tr>
        <w:trPr>
          <w:trHeight w:val="162"/>
        </w:trPr>
        <w:tc>
          <w:tcPr>
            <w:tcW w:w="3500" w:type="dxa"/>
            <w:vAlign w:val="bottom"/>
          </w:tcPr>
          <w:p>
            <w:pPr>
              <w:jc w:val="center"/>
              <w:ind w:right="1499"/>
              <w:spacing w:after="0" w:line="162" w:lineRule="exact"/>
              <w:rPr>
                <w:sz w:val="20"/>
                <w:szCs w:val="20"/>
                <w:color w:val="auto"/>
              </w:rPr>
            </w:pPr>
            <w:r>
              <w:rPr>
                <w:rFonts w:ascii="Times New Roman" w:cs="Times New Roman" w:eastAsia="Times New Roman" w:hAnsi="Times New Roman"/>
                <w:sz w:val="16"/>
                <w:szCs w:val="16"/>
                <w:b w:val="1"/>
                <w:bCs w:val="1"/>
                <w:color w:val="auto"/>
                <w:w w:val="99"/>
              </w:rPr>
              <w:t>Fenwick &amp; West LLP</w:t>
            </w:r>
          </w:p>
        </w:tc>
        <w:tc>
          <w:tcPr>
            <w:tcW w:w="4540" w:type="dxa"/>
            <w:vAlign w:val="bottom"/>
          </w:tcPr>
          <w:p>
            <w:pPr>
              <w:jc w:val="center"/>
              <w:ind w:left="1519"/>
              <w:spacing w:after="0" w:line="162" w:lineRule="exact"/>
              <w:rPr>
                <w:sz w:val="20"/>
                <w:szCs w:val="20"/>
                <w:color w:val="auto"/>
              </w:rPr>
            </w:pPr>
            <w:r>
              <w:rPr>
                <w:rFonts w:ascii="Times New Roman" w:cs="Times New Roman" w:eastAsia="Times New Roman" w:hAnsi="Times New Roman"/>
                <w:sz w:val="16"/>
                <w:szCs w:val="16"/>
                <w:b w:val="1"/>
                <w:bCs w:val="1"/>
                <w:color w:val="auto"/>
              </w:rPr>
              <w:t>GeneDx Holdings Corp.</w:t>
            </w:r>
          </w:p>
        </w:tc>
      </w:tr>
      <w:tr>
        <w:trPr>
          <w:trHeight w:val="162"/>
        </w:trPr>
        <w:tc>
          <w:tcPr>
            <w:tcW w:w="3500" w:type="dxa"/>
            <w:vAlign w:val="bottom"/>
          </w:tcPr>
          <w:p>
            <w:pPr>
              <w:jc w:val="center"/>
              <w:ind w:right="1499"/>
              <w:spacing w:after="0" w:line="162" w:lineRule="exact"/>
              <w:rPr>
                <w:sz w:val="20"/>
                <w:szCs w:val="20"/>
                <w:color w:val="auto"/>
              </w:rPr>
            </w:pPr>
            <w:r>
              <w:rPr>
                <w:rFonts w:ascii="Times New Roman" w:cs="Times New Roman" w:eastAsia="Times New Roman" w:hAnsi="Times New Roman"/>
                <w:sz w:val="16"/>
                <w:szCs w:val="16"/>
                <w:b w:val="1"/>
                <w:bCs w:val="1"/>
                <w:color w:val="auto"/>
              </w:rPr>
              <w:t>902 Broadway</w:t>
            </w:r>
          </w:p>
        </w:tc>
        <w:tc>
          <w:tcPr>
            <w:tcW w:w="4540" w:type="dxa"/>
            <w:vAlign w:val="bottom"/>
          </w:tcPr>
          <w:p>
            <w:pPr>
              <w:jc w:val="center"/>
              <w:ind w:left="15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333 Ludlow Street, North Tower, 6th Floor</w:t>
            </w:r>
          </w:p>
        </w:tc>
      </w:tr>
      <w:tr>
        <w:trPr>
          <w:trHeight w:val="162"/>
        </w:trPr>
        <w:tc>
          <w:tcPr>
            <w:tcW w:w="3500" w:type="dxa"/>
            <w:vAlign w:val="bottom"/>
          </w:tcPr>
          <w:p>
            <w:pPr>
              <w:jc w:val="center"/>
              <w:ind w:right="1499"/>
              <w:spacing w:after="0" w:line="162" w:lineRule="exact"/>
              <w:rPr>
                <w:sz w:val="20"/>
                <w:szCs w:val="20"/>
                <w:color w:val="auto"/>
              </w:rPr>
            </w:pPr>
            <w:r>
              <w:rPr>
                <w:rFonts w:ascii="Times New Roman" w:cs="Times New Roman" w:eastAsia="Times New Roman" w:hAnsi="Times New Roman"/>
                <w:sz w:val="16"/>
                <w:szCs w:val="16"/>
                <w:b w:val="1"/>
                <w:bCs w:val="1"/>
                <w:color w:val="auto"/>
              </w:rPr>
              <w:t>New York, New York 10010</w:t>
            </w:r>
          </w:p>
        </w:tc>
        <w:tc>
          <w:tcPr>
            <w:tcW w:w="4540" w:type="dxa"/>
            <w:vAlign w:val="bottom"/>
          </w:tcPr>
          <w:p>
            <w:pPr>
              <w:jc w:val="center"/>
              <w:ind w:left="1519"/>
              <w:spacing w:after="0" w:line="162" w:lineRule="exact"/>
              <w:rPr>
                <w:sz w:val="20"/>
                <w:szCs w:val="20"/>
                <w:color w:val="auto"/>
              </w:rPr>
            </w:pPr>
            <w:r>
              <w:rPr>
                <w:rFonts w:ascii="Times New Roman" w:cs="Times New Roman" w:eastAsia="Times New Roman" w:hAnsi="Times New Roman"/>
                <w:sz w:val="16"/>
                <w:szCs w:val="16"/>
                <w:b w:val="1"/>
                <w:bCs w:val="1"/>
                <w:color w:val="auto"/>
              </w:rPr>
              <w:t>Stamford, Connecticut 06902</w:t>
            </w:r>
          </w:p>
        </w:tc>
      </w:tr>
      <w:tr>
        <w:trPr>
          <w:trHeight w:val="212"/>
        </w:trPr>
        <w:tc>
          <w:tcPr>
            <w:tcW w:w="3500" w:type="dxa"/>
            <w:vAlign w:val="bottom"/>
          </w:tcPr>
          <w:p>
            <w:pPr>
              <w:jc w:val="center"/>
              <w:ind w:right="1499"/>
              <w:spacing w:after="0"/>
              <w:rPr>
                <w:sz w:val="20"/>
                <w:szCs w:val="20"/>
                <w:color w:val="auto"/>
              </w:rPr>
            </w:pPr>
            <w:r>
              <w:rPr>
                <w:rFonts w:ascii="Times New Roman" w:cs="Times New Roman" w:eastAsia="Times New Roman" w:hAnsi="Times New Roman"/>
                <w:sz w:val="16"/>
                <w:szCs w:val="16"/>
                <w:b w:val="1"/>
                <w:bCs w:val="1"/>
                <w:color w:val="auto"/>
                <w:w w:val="99"/>
              </w:rPr>
              <w:t>(212) 430-2600</w:t>
            </w:r>
          </w:p>
        </w:tc>
        <w:tc>
          <w:tcPr>
            <w:tcW w:w="4540" w:type="dxa"/>
            <w:vAlign w:val="bottom"/>
          </w:tcPr>
          <w:p>
            <w:pPr>
              <w:jc w:val="center"/>
              <w:ind w:left="1499"/>
              <w:spacing w:after="0"/>
              <w:rPr>
                <w:sz w:val="20"/>
                <w:szCs w:val="20"/>
                <w:color w:val="auto"/>
              </w:rPr>
            </w:pPr>
            <w:r>
              <w:rPr>
                <w:rFonts w:ascii="Times New Roman" w:cs="Times New Roman" w:eastAsia="Times New Roman" w:hAnsi="Times New Roman"/>
                <w:sz w:val="16"/>
                <w:szCs w:val="16"/>
                <w:b w:val="1"/>
                <w:bCs w:val="1"/>
                <w:color w:val="auto"/>
                <w:w w:val="99"/>
              </w:rPr>
              <w:t>(888) 729-1206</w:t>
            </w:r>
          </w:p>
        </w:tc>
      </w:tr>
    </w:tbl>
    <w:p>
      <w:pPr>
        <w:spacing w:after="0" w:line="200" w:lineRule="exact"/>
        <w:rPr>
          <w:sz w:val="24"/>
          <w:szCs w:val="24"/>
          <w:color w:val="auto"/>
        </w:rPr>
      </w:pPr>
    </w:p>
    <w:p>
      <w:pPr>
        <w:spacing w:after="0" w:line="357" w:lineRule="exact"/>
        <w:rPr>
          <w:sz w:val="24"/>
          <w:szCs w:val="24"/>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38" w:lineRule="exact"/>
        <w:rPr>
          <w:sz w:val="24"/>
          <w:szCs w:val="24"/>
          <w:color w:val="auto"/>
        </w:rPr>
      </w:pPr>
    </w:p>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88" w:lineRule="exact"/>
        <w:rPr>
          <w:sz w:val="24"/>
          <w:szCs w:val="24"/>
          <w:color w:val="auto"/>
        </w:rPr>
      </w:pPr>
    </w:p>
    <w:p>
      <w:pPr>
        <w:sectPr>
          <w:pgSz w:w="11900" w:h="16838" w:orient="portrait"/>
          <w:cols w:equalWidth="0" w:num="2">
            <w:col w:w="4460" w:space="720"/>
            <w:col w:w="6060"/>
          </w:cols>
          <w:pgMar w:left="320" w:top="1440" w:right="339" w:bottom="1440" w:gutter="0" w:footer="0" w:header="0"/>
          <w:type w:val="continuous"/>
        </w:sectPr>
      </w:pPr>
    </w:p>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5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82" w:lineRule="exact"/>
        <w:rPr>
          <w:sz w:val="24"/>
          <w:szCs w:val="24"/>
          <w:color w:val="auto"/>
        </w:rPr>
      </w:pPr>
    </w:p>
    <w:p>
      <w:pPr>
        <w:sectPr>
          <w:pgSz w:w="11900" w:h="16838" w:orient="portrait"/>
          <w:cols w:equalWidth="0" w:num="2">
            <w:col w:w="4460" w:space="720"/>
            <w:col w:w="6060"/>
          </w:cols>
          <w:pgMar w:left="320" w:top="1440" w:right="339" w:bottom="1440" w:gutter="0" w:footer="0" w:header="0"/>
          <w:type w:val="continuous"/>
        </w:sectPr>
      </w:pPr>
    </w:p>
    <w:p>
      <w:pPr>
        <w:ind w:right="580"/>
        <w:spacing w:after="0" w:line="19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OF ADDITIONAL SHARES PURSUANT TO GENERAL INSTRUCTION 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General Instruction E of Form S-8, GeneDx Holdings Corp., a Delaware corporation (the “Registrant”), is filing this registration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statement on Form S-8 (this “Registration Statement”) with the Securities and Exchange Commission (the “Commission”) to register (a) 1,400,827 additional shares of Class A common stock (“Class A Common Stock”) available for issuance under the GeneDx Holdings Corp. Amended and Restated 2021 Equity Incentive Plan (the “2021 EIP”), pursuant to the evergreen provisions of the 2021 EIP providing for an annual 5% automatic increase in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number of shares reserved for issuance under the 2021 EIP, and (b) 280,165 additional shares of Class A Common Stock available for issuance under the GeneDx Holdings Corp. 2021 Employee Stock Purchase Plan (the “2021 ESPP”), pursuant to the evergreen provisions of the 2021 ESPP providing for an annual 1% automatic increase in the number of shares reserved for issuance under the 2021 ESPP.</w:t>
      </w:r>
    </w:p>
    <w:p>
      <w:pPr>
        <w:spacing w:after="0" w:line="199" w:lineRule="exact"/>
        <w:rPr>
          <w:sz w:val="20"/>
          <w:szCs w:val="20"/>
          <w:color w:val="auto"/>
        </w:rPr>
      </w:pPr>
    </w:p>
    <w:p>
      <w:pPr>
        <w:jc w:val="both"/>
        <w:ind w:firstLine="648"/>
        <w:spacing w:after="0" w:line="21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General Instruction E of Form S-8, this Registration Statement hereby incorporates by reference the contents of the Registrant’s prior registration statements on Form S-8 filed with the Commission on September 27, 2021 (</w:t>
      </w:r>
      <w:hyperlink r:id="rId12">
        <w:r>
          <w:rPr>
            <w:rFonts w:ascii="Times New Roman" w:cs="Times New Roman" w:eastAsia="Times New Roman" w:hAnsi="Times New Roman"/>
            <w:sz w:val="18"/>
            <w:szCs w:val="18"/>
            <w:u w:val="single" w:color="auto"/>
            <w:color w:val="0000FF"/>
          </w:rPr>
          <w:t>Registration No. 333-259815</w:t>
        </w:r>
      </w:hyperlink>
      <w:r>
        <w:rPr>
          <w:rFonts w:ascii="Times New Roman" w:cs="Times New Roman" w:eastAsia="Times New Roman" w:hAnsi="Times New Roman"/>
          <w:sz w:val="18"/>
          <w:szCs w:val="18"/>
          <w:color w:val="auto"/>
        </w:rPr>
        <w:t>) (the “First Prior Registration Statement”), January 25, 2022 (</w:t>
      </w:r>
      <w:hyperlink r:id="rId13">
        <w:r>
          <w:rPr>
            <w:rFonts w:ascii="Times New Roman" w:cs="Times New Roman" w:eastAsia="Times New Roman" w:hAnsi="Times New Roman"/>
            <w:sz w:val="18"/>
            <w:szCs w:val="18"/>
            <w:u w:val="single" w:color="auto"/>
            <w:color w:val="0000FF"/>
          </w:rPr>
          <w:t>Registration No. 333-262338</w:t>
        </w:r>
      </w:hyperlink>
      <w:r>
        <w:rPr>
          <w:rFonts w:ascii="Times New Roman" w:cs="Times New Roman" w:eastAsia="Times New Roman" w:hAnsi="Times New Roman"/>
          <w:sz w:val="18"/>
          <w:szCs w:val="18"/>
          <w:color w:val="auto"/>
        </w:rPr>
        <w:t>) (including the reoffer prospectus contained therein (which reoffer prospectus</w:t>
      </w:r>
    </w:p>
    <w:p>
      <w:pPr>
        <w:spacing w:after="0" w:line="1" w:lineRule="exact"/>
        <w:rPr>
          <w:sz w:val="20"/>
          <w:szCs w:val="20"/>
          <w:color w:val="auto"/>
        </w:rPr>
      </w:pPr>
    </w:p>
    <w:p>
      <w:pPr>
        <w:jc w:val="both"/>
        <w:spacing w:after="0" w:line="20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superseded and replaced the reoffer prospectus contained in the First Prior Registration Statement), the “Second Prior Registration Statement”), January 9, 2023 (</w:t>
      </w:r>
      <w:hyperlink r:id="rId14">
        <w:r>
          <w:rPr>
            <w:rFonts w:ascii="Times New Roman" w:cs="Times New Roman" w:eastAsia="Times New Roman" w:hAnsi="Times New Roman"/>
            <w:sz w:val="18"/>
            <w:szCs w:val="18"/>
            <w:u w:val="single" w:color="auto"/>
            <w:color w:val="0000FF"/>
          </w:rPr>
          <w:t>Registration No. 333-269165</w:t>
        </w:r>
      </w:hyperlink>
      <w:r>
        <w:rPr>
          <w:rFonts w:ascii="Times New Roman" w:cs="Times New Roman" w:eastAsia="Times New Roman" w:hAnsi="Times New Roman"/>
          <w:sz w:val="18"/>
          <w:szCs w:val="18"/>
          <w:color w:val="auto"/>
        </w:rPr>
        <w:t>) (the “Third Prior Registration Statement”), April 25, 2023 (</w:t>
      </w:r>
      <w:hyperlink r:id="rId15">
        <w:r>
          <w:rPr>
            <w:rFonts w:ascii="Times New Roman" w:cs="Times New Roman" w:eastAsia="Times New Roman" w:hAnsi="Times New Roman"/>
            <w:sz w:val="18"/>
            <w:szCs w:val="18"/>
            <w:u w:val="single" w:color="auto"/>
            <w:color w:val="0000FF"/>
          </w:rPr>
          <w:t>Registration No. 333-271432</w:t>
        </w:r>
      </w:hyperlink>
      <w:r>
        <w:rPr>
          <w:rFonts w:ascii="Times New Roman" w:cs="Times New Roman" w:eastAsia="Times New Roman" w:hAnsi="Times New Roman"/>
          <w:sz w:val="18"/>
          <w:szCs w:val="18"/>
          <w:color w:val="auto"/>
        </w:rPr>
        <w:t>) (the “Fourth Prior Registration Statement”), August 8, 2023 (</w:t>
      </w:r>
      <w:hyperlink r:id="rId16">
        <w:r>
          <w:rPr>
            <w:rFonts w:ascii="Times New Roman" w:cs="Times New Roman" w:eastAsia="Times New Roman" w:hAnsi="Times New Roman"/>
            <w:sz w:val="18"/>
            <w:szCs w:val="18"/>
            <w:u w:val="single" w:color="auto"/>
            <w:color w:val="0000FF"/>
          </w:rPr>
          <w:t>Registration No. 333-273797</w:t>
        </w:r>
      </w:hyperlink>
      <w:r>
        <w:rPr>
          <w:rFonts w:ascii="Times New Roman" w:cs="Times New Roman" w:eastAsia="Times New Roman" w:hAnsi="Times New Roman"/>
          <w:sz w:val="18"/>
          <w:szCs w:val="18"/>
          <w:color w:val="auto"/>
        </w:rPr>
        <w:t>) (the “Fifth Prior Registration Statement”), February 26, 2024 (</w:t>
      </w:r>
      <w:hyperlink r:id="rId17">
        <w:r>
          <w:rPr>
            <w:rFonts w:ascii="Times New Roman" w:cs="Times New Roman" w:eastAsia="Times New Roman" w:hAnsi="Times New Roman"/>
            <w:sz w:val="18"/>
            <w:szCs w:val="18"/>
            <w:u w:val="single" w:color="auto"/>
            <w:color w:val="0000FF"/>
          </w:rPr>
          <w:t>Registration No.</w:t>
        </w:r>
      </w:hyperlink>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u w:val="single" w:color="auto"/>
            <w:color w:val="0000FF"/>
          </w:rPr>
          <w:t>333-277339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“Sixth Prior Registration Statement”), except to the extent supplemented, amended or superseded by the information set forth herein.</w:t>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16"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18"/>
          <w:szCs w:val="18"/>
          <w:color w:val="auto"/>
        </w:rPr>
        <w:t>The following documents filed by GeneDx Holdings Corp. (the “Registrant”) with the Securities and Exchange Commission (the “Commission”) pursuant to the Securities Act of 1933, as amended (the “Securities Act”), and the Securities Exchange Act of 1934, as amended (the “Exchange Act”), are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herein by reference:</w:t>
      </w:r>
    </w:p>
    <w:p>
      <w:pPr>
        <w:spacing w:after="0" w:line="192" w:lineRule="exact"/>
        <w:rPr>
          <w:sz w:val="20"/>
          <w:szCs w:val="20"/>
          <w:color w:val="auto"/>
        </w:rPr>
      </w:pPr>
    </w:p>
    <w:p>
      <w:pPr>
        <w:ind w:left="520" w:hanging="382"/>
        <w:spacing w:after="0"/>
        <w:tabs>
          <w:tab w:leader="none" w:pos="5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Form 10-K for the fiscal year ended December 31, 2024, filed with the Commission on </w:t>
      </w:r>
      <w:hyperlink r:id="rId18">
        <w:r>
          <w:rPr>
            <w:rFonts w:ascii="Times New Roman" w:cs="Times New Roman" w:eastAsia="Times New Roman" w:hAnsi="Times New Roman"/>
            <w:sz w:val="18"/>
            <w:szCs w:val="18"/>
            <w:u w:val="single" w:color="auto"/>
            <w:color w:val="0000FF"/>
          </w:rPr>
          <w:t>February 20, 2025</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460" w:right="20" w:hanging="322"/>
        <w:spacing w:after="0" w:line="266" w:lineRule="auto"/>
        <w:tabs>
          <w:tab w:leader="none" w:pos="57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 on Form 8-K filed with the Commission on </w:t>
      </w:r>
      <w:hyperlink r:id="rId19">
        <w:r>
          <w:rPr>
            <w:rFonts w:ascii="Times New Roman" w:cs="Times New Roman" w:eastAsia="Times New Roman" w:hAnsi="Times New Roman"/>
            <w:sz w:val="18"/>
            <w:szCs w:val="18"/>
            <w:u w:val="single" w:color="auto"/>
            <w:color w:val="0000FF"/>
          </w:rPr>
          <w:t>January 2,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(but only with respect to Item 5.02 and Exhibit 10.1 thereto); and</w:t>
      </w:r>
    </w:p>
    <w:p>
      <w:pPr>
        <w:spacing w:after="0" w:line="189" w:lineRule="exact"/>
        <w:rPr>
          <w:rFonts w:ascii="Times New Roman" w:cs="Times New Roman" w:eastAsia="Times New Roman" w:hAnsi="Times New Roman"/>
          <w:sz w:val="18"/>
          <w:szCs w:val="18"/>
          <w:color w:val="auto"/>
        </w:rPr>
      </w:pPr>
    </w:p>
    <w:p>
      <w:pPr>
        <w:jc w:val="both"/>
        <w:ind w:left="460" w:hanging="322"/>
        <w:spacing w:after="0" w:line="224" w:lineRule="auto"/>
        <w:tabs>
          <w:tab w:leader="none" w:pos="70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Class A Common Stock contained in the Registrant’s Registration Statement on Form 8-A filed with the Commission on </w:t>
      </w:r>
      <w:hyperlink r:id="rId20">
        <w:r>
          <w:rPr>
            <w:rFonts w:ascii="Times New Roman" w:cs="Times New Roman" w:eastAsia="Times New Roman" w:hAnsi="Times New Roman"/>
            <w:sz w:val="18"/>
            <w:szCs w:val="18"/>
            <w:u w:val="single" w:color="auto"/>
            <w:color w:val="0000FF"/>
          </w:rPr>
          <w:t>August 31, 2020</w:t>
        </w:r>
      </w:hyperlink>
      <w:r>
        <w:rPr>
          <w:rFonts w:ascii="Times New Roman" w:cs="Times New Roman" w:eastAsia="Times New Roman" w:hAnsi="Times New Roman"/>
          <w:sz w:val="18"/>
          <w:szCs w:val="18"/>
          <w:color w:val="auto"/>
        </w:rPr>
        <w:t xml:space="preserve">, as updated by the description of the Registrant’s Class A Common Stock contained in Exhibit 4.4 to the Annual Report on Form 10-K for the year ended December 31, 2022, filed with the Commission on </w:t>
      </w:r>
      <w:hyperlink r:id="rId21">
        <w:r>
          <w:rPr>
            <w:rFonts w:ascii="Times New Roman" w:cs="Times New Roman" w:eastAsia="Times New Roman" w:hAnsi="Times New Roman"/>
            <w:sz w:val="18"/>
            <w:szCs w:val="18"/>
            <w:u w:val="single" w:color="auto"/>
            <w:color w:val="0000FF"/>
          </w:rPr>
          <w:t>March 16, 2023</w:t>
        </w:r>
      </w:hyperlink>
      <w:r>
        <w:rPr>
          <w:rFonts w:ascii="Times New Roman" w:cs="Times New Roman" w:eastAsia="Times New Roman" w:hAnsi="Times New Roman"/>
          <w:sz w:val="18"/>
          <w:szCs w:val="18"/>
          <w:color w:val="auto"/>
        </w:rPr>
        <w:t>, including any subsequent amendments or reports filed for the purpose of updating such description.</w:t>
      </w:r>
    </w:p>
    <w:p>
      <w:pPr>
        <w:spacing w:after="0" w:line="186"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All documents subsequently filed by the Registrant with the Commission pursuant to Sections 13(a), 13(c), 14, or 15(d) of the Exchange Act, prior</w:t>
      </w:r>
    </w:p>
    <w:p>
      <w:pPr>
        <w:spacing w:after="0" w:line="2" w:lineRule="exact"/>
        <w:rPr>
          <w:rFonts w:ascii="Times New Roman" w:cs="Times New Roman" w:eastAsia="Times New Roman" w:hAnsi="Times New Roman"/>
          <w:sz w:val="18"/>
          <w:szCs w:val="18"/>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to the filing of a post-effective amendment to the Registration Statement which indicates that all securities offered hereby have been sold or which deregisters all securities then remaining unsold, shall be deemed to be incorporated by reference into this Registration Statement and to be a part hereof from the date of the filing of such documents, except that information furnished to the Commission under Item 2.02 or Item 7.01 in Current Reports on</w:t>
      </w:r>
    </w:p>
    <w:p>
      <w:pPr>
        <w:spacing w:after="0" w:line="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Form 8-K and any exhibit relating to such information, shall not be deemed to be incorporated by reference in this Registration Statement.</w:t>
      </w:r>
    </w:p>
    <w:p>
      <w:pPr>
        <w:spacing w:after="0" w:line="192" w:lineRule="exact"/>
        <w:rPr>
          <w:rFonts w:ascii="Times New Roman" w:cs="Times New Roman" w:eastAsia="Times New Roman" w:hAnsi="Times New Roman"/>
          <w:sz w:val="18"/>
          <w:szCs w:val="18"/>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 this Registration Statement shall be deemed to be modified or superseded for purposes of this Registration Statement to the extent that a statement contained in this Registration Statement, or</w:t>
      </w:r>
    </w:p>
    <w:p>
      <w:pPr>
        <w:spacing w:after="0" w:line="2" w:lineRule="exact"/>
        <w:rPr>
          <w:rFonts w:ascii="Times New Roman" w:cs="Times New Roman" w:eastAsia="Times New Roman" w:hAnsi="Times New Roman"/>
          <w:sz w:val="18"/>
          <w:szCs w:val="18"/>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 any other subsequently filed document which also is or is deemed to be incorporated by reference in this Registration Statement, modifies or supersedes such earlier statement. Any statement so modified or superseded shall not be deemed, except as so modified or superseded, to constitute a part of this Registration Statement.</w:t>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3860" w:type="dxa"/>
            <w:vAlign w:val="bottom"/>
            <w:gridSpan w:val="21"/>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23"/>
        </w:trPr>
        <w:tc>
          <w:tcPr>
            <w:tcW w:w="9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gridSpan w:val="21"/>
          </w:tcPr>
          <w:p>
            <w:pPr>
              <w:spacing w:after="0"/>
              <w:rPr>
                <w:rFonts w:ascii="Times New Roman" w:cs="Times New Roman" w:eastAsia="Times New Roman" w:hAnsi="Times New Roman"/>
                <w:sz w:val="16"/>
                <w:szCs w:val="16"/>
                <w:color w:val="0000FF"/>
              </w:rPr>
            </w:pPr>
            <w:hyperlink r:id="rId22">
              <w:r>
                <w:rPr>
                  <w:rFonts w:ascii="Times New Roman" w:cs="Times New Roman" w:eastAsia="Times New Roman" w:hAnsi="Times New Roman"/>
                  <w:sz w:val="16"/>
                  <w:szCs w:val="16"/>
                  <w:color w:val="0000FF"/>
                </w:rPr>
                <w:t>Third Amended and Restated Certificate of Incorporation</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40" w:type="dxa"/>
            <w:vAlign w:val="bottom"/>
            <w:tcBorders>
              <w:top w:val="single" w:sz="8" w:color="0000FF"/>
            </w:tcBorders>
            <w:gridSpan w:val="18"/>
          </w:tcPr>
          <w:p>
            <w:pPr>
              <w:spacing w:after="0" w:line="142" w:lineRule="exact"/>
              <w:rPr>
                <w:rFonts w:ascii="Times New Roman" w:cs="Times New Roman" w:eastAsia="Times New Roman" w:hAnsi="Times New Roman"/>
                <w:sz w:val="16"/>
                <w:szCs w:val="16"/>
                <w:color w:val="0000FF"/>
              </w:rPr>
            </w:pPr>
            <w:hyperlink r:id="rId22">
              <w:r>
                <w:rPr>
                  <w:rFonts w:ascii="Times New Roman" w:cs="Times New Roman" w:eastAsia="Times New Roman" w:hAnsi="Times New Roman"/>
                  <w:sz w:val="16"/>
                  <w:szCs w:val="16"/>
                  <w:color w:val="0000FF"/>
                </w:rPr>
                <w:t>of the Registrant</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gridSpan w:val="21"/>
          </w:tcPr>
          <w:p>
            <w:pPr>
              <w:spacing w:after="0"/>
              <w:rPr>
                <w:rFonts w:ascii="Times New Roman" w:cs="Times New Roman" w:eastAsia="Times New Roman" w:hAnsi="Times New Roman"/>
                <w:sz w:val="16"/>
                <w:szCs w:val="16"/>
                <w:color w:val="0000FF"/>
              </w:rPr>
            </w:pPr>
            <w:hyperlink r:id="rId23">
              <w:r>
                <w:rPr>
                  <w:rFonts w:ascii="Times New Roman" w:cs="Times New Roman" w:eastAsia="Times New Roman" w:hAnsi="Times New Roman"/>
                  <w:sz w:val="16"/>
                  <w:szCs w:val="16"/>
                  <w:color w:val="0000FF"/>
                </w:rPr>
                <w:t>First Certificate of Amendment to the Third Amended and</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tcBorders>
              <w:top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23">
              <w:r>
                <w:rPr>
                  <w:rFonts w:ascii="Times New Roman" w:cs="Times New Roman" w:eastAsia="Times New Roman" w:hAnsi="Times New Roman"/>
                  <w:sz w:val="16"/>
                  <w:szCs w:val="16"/>
                  <w:color w:val="0000FF"/>
                </w:rPr>
                <w:t>Restated Certificate of Incorporation of the Registrant</w:t>
              </w:r>
            </w:hyperlink>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gridSpan w:val="21"/>
          </w:tcPr>
          <w:p>
            <w:pPr>
              <w:spacing w:after="0"/>
              <w:rPr>
                <w:rFonts w:ascii="Times New Roman" w:cs="Times New Roman" w:eastAsia="Times New Roman" w:hAnsi="Times New Roman"/>
                <w:sz w:val="16"/>
                <w:szCs w:val="16"/>
                <w:color w:val="0000FF"/>
              </w:rPr>
            </w:pPr>
            <w:hyperlink r:id="rId24">
              <w:r>
                <w:rPr>
                  <w:rFonts w:ascii="Times New Roman" w:cs="Times New Roman" w:eastAsia="Times New Roman" w:hAnsi="Times New Roman"/>
                  <w:sz w:val="16"/>
                  <w:szCs w:val="16"/>
                  <w:color w:val="0000FF"/>
                </w:rPr>
                <w:t>Second Certificate of Amendment to the Third Amended</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00" w:type="dxa"/>
            <w:vAlign w:val="bottom"/>
            <w:tcBorders>
              <w:top w:val="single" w:sz="8" w:color="0000FF"/>
              <w:bottom w:val="single" w:sz="8" w:color="0000FF"/>
            </w:tcBorders>
            <w:gridSpan w:val="16"/>
          </w:tcPr>
          <w:p>
            <w:pPr>
              <w:spacing w:after="0" w:line="142" w:lineRule="exact"/>
              <w:rPr>
                <w:rFonts w:ascii="Times New Roman" w:cs="Times New Roman" w:eastAsia="Times New Roman" w:hAnsi="Times New Roman"/>
                <w:sz w:val="16"/>
                <w:szCs w:val="16"/>
                <w:color w:val="0000FF"/>
                <w:w w:val="98"/>
              </w:rPr>
            </w:pPr>
            <w:hyperlink r:id="rId24">
              <w:r>
                <w:rPr>
                  <w:rFonts w:ascii="Times New Roman" w:cs="Times New Roman" w:eastAsia="Times New Roman" w:hAnsi="Times New Roman"/>
                  <w:sz w:val="16"/>
                  <w:szCs w:val="16"/>
                  <w:color w:val="0000FF"/>
                  <w:w w:val="98"/>
                </w:rPr>
                <w:t>and Restated Certificate of Incorporation of the Registrant</w:t>
              </w:r>
            </w:hyperlink>
          </w:p>
        </w:tc>
        <w:tc>
          <w:tcPr>
            <w:tcW w:w="2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60" w:type="dxa"/>
            <w:vAlign w:val="bottom"/>
            <w:gridSpan w:val="21"/>
          </w:tcPr>
          <w:p>
            <w:pPr>
              <w:spacing w:after="0"/>
              <w:rPr>
                <w:rFonts w:ascii="Times New Roman" w:cs="Times New Roman" w:eastAsia="Times New Roman" w:hAnsi="Times New Roman"/>
                <w:sz w:val="16"/>
                <w:szCs w:val="16"/>
                <w:color w:val="0000FF"/>
              </w:rPr>
            </w:pPr>
            <w:hyperlink r:id="rId25">
              <w:r>
                <w:rPr>
                  <w:rFonts w:ascii="Times New Roman" w:cs="Times New Roman" w:eastAsia="Times New Roman" w:hAnsi="Times New Roman"/>
                  <w:sz w:val="16"/>
                  <w:szCs w:val="16"/>
                  <w:color w:val="0000FF"/>
                </w:rPr>
                <w:t>Third Certificate of Amendment to the Third Amended</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tcBorders>
              <w:top w:val="single" w:sz="8" w:color="0000FF"/>
              <w:bottom w:val="single" w:sz="8" w:color="0000FF"/>
            </w:tcBorders>
            <w:gridSpan w:val="13"/>
          </w:tcPr>
          <w:p>
            <w:pPr>
              <w:spacing w:after="0" w:line="142" w:lineRule="exact"/>
              <w:rPr>
                <w:rFonts w:ascii="Times New Roman" w:cs="Times New Roman" w:eastAsia="Times New Roman" w:hAnsi="Times New Roman"/>
                <w:sz w:val="16"/>
                <w:szCs w:val="16"/>
                <w:color w:val="0000FF"/>
                <w:w w:val="96"/>
              </w:rPr>
            </w:pPr>
            <w:hyperlink r:id="rId25">
              <w:r>
                <w:rPr>
                  <w:rFonts w:ascii="Times New Roman" w:cs="Times New Roman" w:eastAsia="Times New Roman" w:hAnsi="Times New Roman"/>
                  <w:sz w:val="16"/>
                  <w:szCs w:val="16"/>
                  <w:color w:val="0000FF"/>
                  <w:w w:val="96"/>
                </w:rPr>
                <w:t>and Restated Certificate of Incorporation of the Registrant</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60" w:type="dxa"/>
            <w:vAlign w:val="bottom"/>
            <w:tcBorders>
              <w:bottom w:val="single" w:sz="8" w:color="0000FF"/>
            </w:tcBorders>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345"/>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gridSpan w:val="21"/>
          </w:tcPr>
          <w:p>
            <w:pPr>
              <w:spacing w:after="0"/>
              <w:rPr>
                <w:rFonts w:ascii="Times New Roman" w:cs="Times New Roman" w:eastAsia="Times New Roman" w:hAnsi="Times New Roman"/>
                <w:sz w:val="16"/>
                <w:szCs w:val="16"/>
                <w:color w:val="0000FF"/>
              </w:rPr>
            </w:pPr>
            <w:hyperlink r:id="rId26">
              <w:r>
                <w:rPr>
                  <w:rFonts w:ascii="Times New Roman" w:cs="Times New Roman" w:eastAsia="Times New Roman" w:hAnsi="Times New Roman"/>
                  <w:sz w:val="16"/>
                  <w:szCs w:val="16"/>
                  <w:color w:val="0000FF"/>
                </w:rPr>
                <w:t>Amended and Restated Bylaws of the Registrant as</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w w:val="99"/>
              </w:rPr>
            </w:pPr>
            <w:hyperlink r:id="rId26">
              <w:r>
                <w:rPr>
                  <w:rFonts w:ascii="Times New Roman" w:cs="Times New Roman" w:eastAsia="Times New Roman" w:hAnsi="Times New Roman"/>
                  <w:sz w:val="16"/>
                  <w:szCs w:val="16"/>
                  <w:color w:val="0000FF"/>
                  <w:w w:val="99"/>
                </w:rPr>
                <w:t>currently in effect</w:t>
              </w:r>
            </w:hyperlink>
          </w:p>
        </w:tc>
        <w:tc>
          <w:tcPr>
            <w:tcW w:w="2160" w:type="dxa"/>
            <w:vAlign w:val="bottom"/>
            <w:tcBorders>
              <w:top w:val="single" w:sz="8" w:color="0000FF"/>
            </w:tcBorders>
            <w:gridSpan w:val="3"/>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Opinion of Fenwick &amp; West LLP</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Consent of Ernst &amp; Young LLP, Independent Registered</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6"/>
                <w:szCs w:val="16"/>
                <w:color w:val="0000FF"/>
              </w:rPr>
              <w:t>Public Accounting Firm for GeneDx Holdings Corp.</w:t>
            </w:r>
          </w:p>
        </w:tc>
        <w:tc>
          <w:tcPr>
            <w:tcW w:w="200" w:type="dxa"/>
            <w:vAlign w:val="bottom"/>
            <w:tcBorders>
              <w:top w:val="single" w:sz="8" w:color="0000FF"/>
            </w:tcBorders>
            <w:gridSpan w:val="4"/>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Consent of Fenwick &amp; West LLP (contained in Exhibit</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w w:val="94"/>
              </w:rPr>
              <w:t>5.</w:t>
            </w:r>
            <w:r>
              <w:rPr>
                <w:rFonts w:ascii="Times New Roman" w:cs="Times New Roman" w:eastAsia="Times New Roman" w:hAnsi="Times New Roman"/>
                <w:sz w:val="16"/>
                <w:szCs w:val="16"/>
                <w:u w:val="single" w:color="auto"/>
                <w:color w:val="0000FF"/>
                <w:w w:val="94"/>
              </w:rPr>
              <w:t>1)</w:t>
            </w:r>
          </w:p>
        </w:tc>
        <w:tc>
          <w:tcPr>
            <w:tcW w:w="6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11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gridSpan w:val="21"/>
          </w:tcPr>
          <w:p>
            <w:pPr>
              <w:ind w:left="20"/>
              <w:spacing w:after="0"/>
              <w:rPr>
                <w:sz w:val="20"/>
                <w:szCs w:val="20"/>
                <w:color w:val="auto"/>
              </w:rPr>
            </w:pPr>
            <w:r>
              <w:rPr>
                <w:rFonts w:ascii="Times New Roman" w:cs="Times New Roman" w:eastAsia="Times New Roman" w:hAnsi="Times New Roman"/>
                <w:sz w:val="16"/>
                <w:szCs w:val="16"/>
                <w:color w:val="auto"/>
              </w:rPr>
              <w:t>Power of Attorney (included on the signature page of this</w:t>
            </w: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60" w:type="dxa"/>
            <w:vAlign w:val="bottom"/>
            <w:gridSpan w:val="21"/>
          </w:tcPr>
          <w:p>
            <w:pPr>
              <w:ind w:left="20"/>
              <w:spacing w:after="0"/>
              <w:rPr>
                <w:sz w:val="20"/>
                <w:szCs w:val="20"/>
                <w:color w:val="auto"/>
              </w:rPr>
            </w:pPr>
            <w:r>
              <w:rPr>
                <w:rFonts w:ascii="Times New Roman" w:cs="Times New Roman" w:eastAsia="Times New Roman" w:hAnsi="Times New Roman"/>
                <w:sz w:val="16"/>
                <w:szCs w:val="16"/>
                <w:color w:val="auto"/>
              </w:rPr>
              <w:t>Registration Statement)</w:t>
            </w:r>
          </w:p>
        </w:tc>
        <w:tc>
          <w:tcPr>
            <w:tcW w:w="0" w:type="dxa"/>
            <w:vAlign w:val="bottom"/>
          </w:tcPr>
          <w:p>
            <w:pPr>
              <w:spacing w:after="0"/>
              <w:rPr>
                <w:sz w:val="1"/>
                <w:szCs w:val="1"/>
                <w:color w:val="auto"/>
              </w:rPr>
            </w:pPr>
          </w:p>
        </w:tc>
      </w:tr>
      <w:tr>
        <w:trPr>
          <w:trHeight w:val="235"/>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99.1</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60" w:type="dxa"/>
            <w:vAlign w:val="bottom"/>
            <w:gridSpan w:val="21"/>
          </w:tcPr>
          <w:p>
            <w:pPr>
              <w:spacing w:after="0"/>
              <w:rPr>
                <w:rFonts w:ascii="Times New Roman" w:cs="Times New Roman" w:eastAsia="Times New Roman" w:hAnsi="Times New Roman"/>
                <w:sz w:val="16"/>
                <w:szCs w:val="16"/>
                <w:color w:val="0000FF"/>
              </w:rPr>
            </w:pPr>
            <w:hyperlink r:id="rId27">
              <w:r>
                <w:rPr>
                  <w:rFonts w:ascii="Times New Roman" w:cs="Times New Roman" w:eastAsia="Times New Roman" w:hAnsi="Times New Roman"/>
                  <w:sz w:val="16"/>
                  <w:szCs w:val="16"/>
                  <w:color w:val="0000FF"/>
                </w:rPr>
                <w:t>GeneDx Holdings Corp. Amended and Restated 2021</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00" w:type="dxa"/>
            <w:vAlign w:val="bottom"/>
            <w:tcBorders>
              <w:top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27">
              <w:r>
                <w:rPr>
                  <w:rFonts w:ascii="Times New Roman" w:cs="Times New Roman" w:eastAsia="Times New Roman" w:hAnsi="Times New Roman"/>
                  <w:sz w:val="16"/>
                  <w:szCs w:val="16"/>
                  <w:color w:val="0000FF"/>
                </w:rPr>
                <w:t>Equity Incentive Plan</w:t>
              </w:r>
            </w:hyperlink>
          </w:p>
        </w:tc>
        <w:tc>
          <w:tcPr>
            <w:tcW w:w="1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99.2</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gridSpan w:val="21"/>
          </w:tcPr>
          <w:p>
            <w:pPr>
              <w:spacing w:after="0"/>
              <w:rPr>
                <w:rFonts w:ascii="Times New Roman" w:cs="Times New Roman" w:eastAsia="Times New Roman" w:hAnsi="Times New Roman"/>
                <w:sz w:val="16"/>
                <w:szCs w:val="16"/>
                <w:color w:val="0000FF"/>
              </w:rPr>
            </w:pPr>
            <w:hyperlink r:id="rId28">
              <w:r>
                <w:rPr>
                  <w:rFonts w:ascii="Times New Roman" w:cs="Times New Roman" w:eastAsia="Times New Roman" w:hAnsi="Times New Roman"/>
                  <w:sz w:val="16"/>
                  <w:szCs w:val="16"/>
                  <w:color w:val="0000FF"/>
                </w:rPr>
                <w:t>Form of Stock Option Agreement under the GeneDx</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20" w:type="dxa"/>
            <w:vAlign w:val="bottom"/>
            <w:tcBorders>
              <w:top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28">
              <w:r>
                <w:rPr>
                  <w:rFonts w:ascii="Times New Roman" w:cs="Times New Roman" w:eastAsia="Times New Roman" w:hAnsi="Times New Roman"/>
                  <w:sz w:val="16"/>
                  <w:szCs w:val="16"/>
                  <w:color w:val="0000FF"/>
                </w:rPr>
                <w:t>Holdings Corp. Amended and Restated 2021 Equity</w:t>
              </w:r>
            </w:hyperlink>
          </w:p>
        </w:tc>
        <w:tc>
          <w:tcPr>
            <w:tcW w:w="80" w:type="dxa"/>
            <w:vAlign w:val="bottom"/>
            <w:gridSpan w:val="2"/>
          </w:tcPr>
          <w:p>
            <w:pPr>
              <w:spacing w:after="0"/>
              <w:rPr>
                <w:sz w:val="12"/>
                <w:szCs w:val="12"/>
                <w:color w:val="auto"/>
              </w:rPr>
            </w:pPr>
          </w:p>
        </w:tc>
        <w:tc>
          <w:tcPr>
            <w:tcW w:w="1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w w:val="99"/>
              </w:rPr>
            </w:pPr>
            <w:hyperlink r:id="rId28">
              <w:r>
                <w:rPr>
                  <w:rFonts w:ascii="Times New Roman" w:cs="Times New Roman" w:eastAsia="Times New Roman" w:hAnsi="Times New Roman"/>
                  <w:sz w:val="16"/>
                  <w:szCs w:val="16"/>
                  <w:color w:val="0000FF"/>
                  <w:w w:val="99"/>
                </w:rPr>
                <w:t>Incentive Plan</w:t>
              </w:r>
            </w:hyperlink>
          </w:p>
        </w:tc>
        <w:tc>
          <w:tcPr>
            <w:tcW w:w="2440" w:type="dxa"/>
            <w:vAlign w:val="bottom"/>
            <w:tcBorders>
              <w:top w:val="single" w:sz="8" w:color="0000FF"/>
            </w:tcBorders>
            <w:gridSpan w:val="6"/>
          </w:tcPr>
          <w:p>
            <w:pPr>
              <w:spacing w:after="0"/>
              <w:rPr>
                <w:sz w:val="12"/>
                <w:szCs w:val="12"/>
                <w:color w:val="auto"/>
              </w:rPr>
            </w:pPr>
          </w:p>
        </w:tc>
        <w:tc>
          <w:tcPr>
            <w:tcW w:w="120" w:type="dxa"/>
            <w:vAlign w:val="bottom"/>
            <w:gridSpan w:val="3"/>
          </w:tcPr>
          <w:p>
            <w:pPr>
              <w:spacing w:after="0"/>
              <w:rPr>
                <w:sz w:val="12"/>
                <w:szCs w:val="12"/>
                <w:color w:val="auto"/>
              </w:rPr>
            </w:pPr>
          </w:p>
        </w:tc>
        <w:tc>
          <w:tcPr>
            <w:tcW w:w="1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99.3</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gridSpan w:val="21"/>
          </w:tcPr>
          <w:p>
            <w:pPr>
              <w:spacing w:after="0"/>
              <w:rPr>
                <w:rFonts w:ascii="Times New Roman" w:cs="Times New Roman" w:eastAsia="Times New Roman" w:hAnsi="Times New Roman"/>
                <w:sz w:val="16"/>
                <w:szCs w:val="16"/>
                <w:color w:val="0000FF"/>
              </w:rPr>
            </w:pPr>
            <w:hyperlink r:id="rId29">
              <w:r>
                <w:rPr>
                  <w:rFonts w:ascii="Times New Roman" w:cs="Times New Roman" w:eastAsia="Times New Roman" w:hAnsi="Times New Roman"/>
                  <w:sz w:val="16"/>
                  <w:szCs w:val="16"/>
                  <w:color w:val="0000FF"/>
                </w:rPr>
                <w:t>Form of RSU Agreement under the GeneDx Holdings</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220" w:type="dxa"/>
            <w:vAlign w:val="bottom"/>
            <w:tcBorders>
              <w:right w:val="single" w:sz="8" w:color="0000FF"/>
            </w:tcBorders>
            <w:gridSpan w:val="10"/>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20" w:type="dxa"/>
            <w:vAlign w:val="bottom"/>
            <w:tcBorders>
              <w:bottom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29">
              <w:r>
                <w:rPr>
                  <w:rFonts w:ascii="Times New Roman" w:cs="Times New Roman" w:eastAsia="Times New Roman" w:hAnsi="Times New Roman"/>
                  <w:sz w:val="16"/>
                  <w:szCs w:val="16"/>
                  <w:color w:val="0000FF"/>
                </w:rPr>
                <w:t>Corp. Amended and Restated 2021 Equity Incentive Plan</w:t>
              </w:r>
            </w:hyperlink>
          </w:p>
        </w:tc>
        <w:tc>
          <w:tcPr>
            <w:tcW w:w="14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99.4</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gridSpan w:val="21"/>
          </w:tcPr>
          <w:p>
            <w:pPr>
              <w:spacing w:after="0"/>
              <w:rPr>
                <w:rFonts w:ascii="Times New Roman" w:cs="Times New Roman" w:eastAsia="Times New Roman" w:hAnsi="Times New Roman"/>
                <w:sz w:val="16"/>
                <w:szCs w:val="16"/>
                <w:color w:val="0000FF"/>
              </w:rPr>
            </w:pPr>
            <w:hyperlink r:id="rId30">
              <w:r>
                <w:rPr>
                  <w:rFonts w:ascii="Times New Roman" w:cs="Times New Roman" w:eastAsia="Times New Roman" w:hAnsi="Times New Roman"/>
                  <w:sz w:val="16"/>
                  <w:szCs w:val="16"/>
                  <w:color w:val="0000FF"/>
                </w:rPr>
                <w:t>GeneDx Holdings Corp. 2021 Employee Stock Purchase</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80" w:type="dxa"/>
            <w:vAlign w:val="bottom"/>
            <w:tcBorders>
              <w:top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30">
              <w:r>
                <w:rPr>
                  <w:rFonts w:ascii="Times New Roman" w:cs="Times New Roman" w:eastAsia="Times New Roman" w:hAnsi="Times New Roman"/>
                  <w:sz w:val="16"/>
                  <w:szCs w:val="16"/>
                  <w:color w:val="0000FF"/>
                </w:rPr>
                <w:t>Plan</w:t>
              </w:r>
            </w:hyperlink>
          </w:p>
        </w:tc>
        <w:tc>
          <w:tcPr>
            <w:tcW w:w="18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ind w:left="1240" w:hanging="888"/>
        <w:spacing w:after="0"/>
        <w:tabs>
          <w:tab w:leader="none" w:pos="12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Filing Fee Table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04"/>
        </w:trPr>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001-39482</w:t>
            </w:r>
          </w:p>
        </w:tc>
        <w:tc>
          <w:tcPr>
            <w:tcW w:w="3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3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28, 2021</w:t>
            </w:r>
          </w:p>
        </w:tc>
      </w:tr>
      <w:tr>
        <w:trPr>
          <w:trHeight w:val="553"/>
        </w:trPr>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001-39482</w:t>
            </w:r>
          </w:p>
        </w:tc>
        <w:tc>
          <w:tcPr>
            <w:tcW w:w="3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3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2, 2022</w:t>
            </w:r>
          </w:p>
        </w:tc>
      </w:tr>
      <w:tr>
        <w:trPr>
          <w:trHeight w:val="553"/>
        </w:trPr>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001-39482</w:t>
            </w:r>
          </w:p>
        </w:tc>
        <w:tc>
          <w:tcPr>
            <w:tcW w:w="3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3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9, 2023</w:t>
            </w:r>
          </w:p>
        </w:tc>
      </w:tr>
      <w:tr>
        <w:trPr>
          <w:trHeight w:val="378"/>
        </w:trPr>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001-39482</w:t>
            </w:r>
          </w:p>
        </w:tc>
        <w:tc>
          <w:tcPr>
            <w:tcW w:w="3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3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28, 2023</w:t>
            </w:r>
          </w:p>
        </w:tc>
      </w:tr>
      <w:tr>
        <w:trPr>
          <w:trHeight w:val="473"/>
        </w:trPr>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001-39482</w:t>
            </w:r>
          </w:p>
        </w:tc>
        <w:tc>
          <w:tcPr>
            <w:tcW w:w="3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3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9, 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5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001-39482</w:t>
            </w:r>
          </w:p>
        </w:tc>
        <w:tc>
          <w:tcPr>
            <w:tcW w:w="9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10.1</w:t>
            </w:r>
          </w:p>
        </w:tc>
        <w:tc>
          <w:tcPr>
            <w:tcW w:w="130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April 17, 2023</w:t>
            </w:r>
          </w:p>
        </w:tc>
      </w:tr>
      <w:tr>
        <w:trPr>
          <w:trHeight w:val="459"/>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5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001-39482</w:t>
            </w:r>
          </w:p>
        </w:tc>
        <w:tc>
          <w:tcPr>
            <w:tcW w:w="9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10.6</w:t>
            </w:r>
          </w:p>
        </w:tc>
        <w:tc>
          <w:tcPr>
            <w:tcW w:w="130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July 28, 2021</w:t>
            </w:r>
          </w:p>
        </w:tc>
      </w:tr>
      <w:tr>
        <w:trPr>
          <w:trHeight w:val="621"/>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5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001-39482</w:t>
            </w:r>
          </w:p>
        </w:tc>
        <w:tc>
          <w:tcPr>
            <w:tcW w:w="9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10.7</w:t>
            </w:r>
          </w:p>
        </w:tc>
        <w:tc>
          <w:tcPr>
            <w:tcW w:w="130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July 28, 2021</w:t>
            </w:r>
          </w:p>
        </w:tc>
      </w:tr>
      <w:tr>
        <w:trPr>
          <w:trHeight w:val="459"/>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5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001-39482</w:t>
            </w:r>
          </w:p>
        </w:tc>
        <w:tc>
          <w:tcPr>
            <w:tcW w:w="9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10.9</w:t>
            </w:r>
          </w:p>
        </w:tc>
        <w:tc>
          <w:tcPr>
            <w:tcW w:w="130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July 28, 2021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167640</wp:posOffset>
            </wp:positionV>
            <wp:extent cx="6686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X</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X</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X</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X</w:t>
      </w:r>
    </w:p>
    <w:p>
      <w:pPr>
        <w:sectPr>
          <w:pgSz w:w="11900" w:h="16838" w:orient="portrait"/>
          <w:cols w:equalWidth="0" w:num="3">
            <w:col w:w="5100" w:space="280"/>
            <w:col w:w="4520" w:space="520"/>
            <w:col w:w="580"/>
          </w:cols>
          <w:pgMar w:left="320" w:top="1440" w:right="579" w:bottom="1440" w:gutter="0" w:footer="0" w:header="0"/>
        </w:sectPr>
      </w:pPr>
    </w:p>
    <w:bookmarkStart w:id="4" w:name="page5"/>
    <w:bookmarkEnd w:id="4"/>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requirements for filing on Form S-8 and has duly caused this Registration Statement to be signed on its behalf by the undersigned, thereunto duly authorized, in the City of Stamford, State of Connecticut, on the twentieth day of February, 2025.</w:t>
      </w: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GeneDx Holdings Corp.</w:t>
      </w:r>
    </w:p>
    <w:p>
      <w:pPr>
        <w:spacing w:after="0" w:line="308" w:lineRule="exact"/>
        <w:rPr>
          <w:sz w:val="20"/>
          <w:szCs w:val="20"/>
          <w:color w:val="auto"/>
        </w:rPr>
      </w:pPr>
    </w:p>
    <w:p>
      <w:pPr>
        <w:ind w:left="20"/>
        <w:spacing w:after="0"/>
        <w:tabs>
          <w:tab w:leader="none" w:pos="3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35560</wp:posOffset>
            </wp:positionV>
            <wp:extent cx="4620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extLst>
                    </a:blip>
                    <a:srcRect/>
                    <a:stretch>
                      <a:fillRect/>
                    </a:stretch>
                  </pic:blipFill>
                  <pic:spPr bwMode="auto">
                    <a:xfrm>
                      <a:off x="0" y="0"/>
                      <a:ext cx="4620260" cy="8255"/>
                    </a:xfrm>
                    <a:prstGeom prst="rect">
                      <a:avLst/>
                    </a:prstGeom>
                    <a:noFill/>
                  </pic:spPr>
                </pic:pic>
              </a:graphicData>
            </a:graphic>
          </wp:anchor>
        </w:drawing>
      </w:r>
    </w:p>
    <w:p>
      <w:pPr>
        <w:spacing w:after="0" w:line="4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Katherine Stueland</w:t>
      </w:r>
    </w:p>
    <w:p>
      <w:pPr>
        <w:spacing w:after="0" w:line="2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20"/>
          </w:cols>
          <w:pgMar w:left="320" w:top="1400" w:right="359" w:bottom="1440" w:gutter="0" w:footer="0" w:header="0"/>
        </w:sectPr>
      </w:pPr>
    </w:p>
    <w:bookmarkStart w:id="5" w:name="page6"/>
    <w:bookmarkEnd w:id="5"/>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Katherine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Stueland, Kevin Feeley and Heidi Chen, and each or any one of them, as his or her true and lawful attorneys-in-fact, proxies and agents, each with full power of substitution and resubstitution and full power to act without the other, for him or her in any and all capacities, to sign any and all amendments to this registration statement (including post-effective amendments or any abbreviated registration statement and any amendments thereto filed pursuant to</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Rule 462(b) increasing the 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or could do in person, hereby ratifying and confirming all that said attorneys-in-fact, proxies and agents, or their or his or her substitute or substitutes, may lawfully do or cause to be done by virtue hereof.</w:t>
      </w:r>
    </w:p>
    <w:p>
      <w:pPr>
        <w:spacing w:after="0" w:line="18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on behalf of the Registrant in the capacities and on the dates indicated.</w:t>
      </w:r>
    </w:p>
    <w:p>
      <w:pPr>
        <w:sectPr>
          <w:pgSz w:w="11900" w:h="16838" w:orient="portrait"/>
          <w:cols w:equalWidth="0" w:num="1">
            <w:col w:w="11240"/>
          </w:cols>
          <w:pgMar w:left="320" w:top="1440" w:right="339" w:bottom="1440" w:gutter="0" w:footer="0" w:header="0"/>
        </w:sectPr>
      </w:pPr>
    </w:p>
    <w:p>
      <w:pPr>
        <w:spacing w:after="0" w:line="22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777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2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77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Katherine Stueland</w:t>
      </w:r>
    </w:p>
    <w:p>
      <w:pPr>
        <w:spacing w:after="0" w:line="14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Kevin Feeley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774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Kevin Feeley</w:t>
      </w:r>
    </w:p>
    <w:p>
      <w:pPr>
        <w:spacing w:after="0" w:line="14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Jason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774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Jason Ryan</w:t>
      </w:r>
    </w:p>
    <w:p>
      <w:pPr>
        <w:spacing w:after="0" w:line="14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Eli D.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774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Eli D. Casdin</w:t>
      </w:r>
    </w:p>
    <w:p>
      <w:pPr>
        <w:spacing w:after="0" w:line="14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Emily Leproust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774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Emily Leproust</w:t>
      </w:r>
    </w:p>
    <w:p>
      <w:pPr>
        <w:spacing w:after="0" w:line="14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Keith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774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Keith Meister</w:t>
      </w:r>
    </w:p>
    <w:p>
      <w:pPr>
        <w:spacing w:after="0" w:line="14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Joshua Ruch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774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Joshua Ruch</w:t>
      </w:r>
    </w:p>
    <w:p>
      <w:pPr>
        <w:spacing w:after="0" w:line="14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/s/ Richard Pfenninger,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7774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Richard Pfenninger, Jr.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3"/>
        </w:trPr>
        <w:tc>
          <w:tcPr>
            <w:tcW w:w="3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February 20, 2025</w:t>
            </w:r>
          </w:p>
        </w:tc>
        <w:tc>
          <w:tcPr>
            <w:tcW w:w="0" w:type="dxa"/>
            <w:vAlign w:val="bottom"/>
          </w:tcPr>
          <w:p>
            <w:pPr>
              <w:spacing w:after="0"/>
              <w:rPr>
                <w:sz w:val="1"/>
                <w:szCs w:val="1"/>
                <w:color w:val="auto"/>
              </w:rPr>
            </w:pPr>
          </w:p>
        </w:tc>
      </w:tr>
      <w:tr>
        <w:trPr>
          <w:trHeight w:val="149"/>
        </w:trPr>
        <w:tc>
          <w:tcPr>
            <w:tcW w:w="3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980" w:type="dxa"/>
            <w:vAlign w:val="bottom"/>
            <w:gridSpan w:val="2"/>
            <w:vMerge w:val="continue"/>
          </w:tcPr>
          <w:p>
            <w:pPr>
              <w:spacing w:after="0"/>
              <w:rPr>
                <w:sz w:val="10"/>
                <w:szCs w:val="10"/>
                <w:color w:val="auto"/>
              </w:rPr>
            </w:pPr>
          </w:p>
        </w:tc>
        <w:tc>
          <w:tcPr>
            <w:tcW w:w="2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3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February 20, 2025</w:t>
            </w:r>
          </w:p>
        </w:tc>
        <w:tc>
          <w:tcPr>
            <w:tcW w:w="0" w:type="dxa"/>
            <w:vAlign w:val="bottom"/>
          </w:tcPr>
          <w:p>
            <w:pPr>
              <w:spacing w:after="0"/>
              <w:rPr>
                <w:sz w:val="1"/>
                <w:szCs w:val="1"/>
                <w:color w:val="auto"/>
              </w:rPr>
            </w:pPr>
          </w:p>
        </w:tc>
      </w:tr>
      <w:tr>
        <w:trPr>
          <w:trHeight w:val="148"/>
        </w:trPr>
        <w:tc>
          <w:tcPr>
            <w:tcW w:w="3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980" w:type="dxa"/>
            <w:vAlign w:val="bottom"/>
            <w:gridSpan w:val="2"/>
            <w:vMerge w:val="continue"/>
          </w:tcPr>
          <w:p>
            <w:pPr>
              <w:spacing w:after="0"/>
              <w:rPr>
                <w:sz w:val="10"/>
                <w:szCs w:val="10"/>
                <w:color w:val="auto"/>
              </w:rPr>
            </w:pPr>
          </w:p>
        </w:tc>
        <w:tc>
          <w:tcPr>
            <w:tcW w:w="2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3"/>
        </w:trPr>
        <w:tc>
          <w:tcPr>
            <w:tcW w:w="3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Chairman of the Board</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 2025</w:t>
            </w:r>
          </w:p>
        </w:tc>
        <w:tc>
          <w:tcPr>
            <w:tcW w:w="0" w:type="dxa"/>
            <w:vAlign w:val="bottom"/>
          </w:tcPr>
          <w:p>
            <w:pPr>
              <w:spacing w:after="0"/>
              <w:rPr>
                <w:sz w:val="1"/>
                <w:szCs w:val="1"/>
                <w:color w:val="auto"/>
              </w:rPr>
            </w:pPr>
          </w:p>
        </w:tc>
      </w:tr>
      <w:tr>
        <w:trPr>
          <w:trHeight w:val="594"/>
        </w:trPr>
        <w:tc>
          <w:tcPr>
            <w:tcW w:w="3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 2025</w:t>
            </w:r>
          </w:p>
        </w:tc>
        <w:tc>
          <w:tcPr>
            <w:tcW w:w="0" w:type="dxa"/>
            <w:vAlign w:val="bottom"/>
          </w:tcPr>
          <w:p>
            <w:pPr>
              <w:spacing w:after="0"/>
              <w:rPr>
                <w:sz w:val="1"/>
                <w:szCs w:val="1"/>
                <w:color w:val="auto"/>
              </w:rPr>
            </w:pPr>
          </w:p>
        </w:tc>
      </w:tr>
      <w:tr>
        <w:trPr>
          <w:trHeight w:val="594"/>
        </w:trPr>
        <w:tc>
          <w:tcPr>
            <w:tcW w:w="3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 2025</w:t>
            </w:r>
          </w:p>
        </w:tc>
        <w:tc>
          <w:tcPr>
            <w:tcW w:w="0" w:type="dxa"/>
            <w:vAlign w:val="bottom"/>
          </w:tcPr>
          <w:p>
            <w:pPr>
              <w:spacing w:after="0"/>
              <w:rPr>
                <w:sz w:val="1"/>
                <w:szCs w:val="1"/>
                <w:color w:val="auto"/>
              </w:rPr>
            </w:pPr>
          </w:p>
        </w:tc>
      </w:tr>
      <w:tr>
        <w:trPr>
          <w:trHeight w:val="594"/>
        </w:trPr>
        <w:tc>
          <w:tcPr>
            <w:tcW w:w="3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 2025</w:t>
            </w:r>
          </w:p>
        </w:tc>
        <w:tc>
          <w:tcPr>
            <w:tcW w:w="0" w:type="dxa"/>
            <w:vAlign w:val="bottom"/>
          </w:tcPr>
          <w:p>
            <w:pPr>
              <w:spacing w:after="0"/>
              <w:rPr>
                <w:sz w:val="1"/>
                <w:szCs w:val="1"/>
                <w:color w:val="auto"/>
              </w:rPr>
            </w:pPr>
          </w:p>
        </w:tc>
      </w:tr>
      <w:tr>
        <w:trPr>
          <w:trHeight w:val="594"/>
        </w:trPr>
        <w:tc>
          <w:tcPr>
            <w:tcW w:w="3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 2025</w:t>
            </w:r>
          </w:p>
        </w:tc>
        <w:tc>
          <w:tcPr>
            <w:tcW w:w="0" w:type="dxa"/>
            <w:vAlign w:val="bottom"/>
          </w:tcPr>
          <w:p>
            <w:pPr>
              <w:spacing w:after="0"/>
              <w:rPr>
                <w:sz w:val="1"/>
                <w:szCs w:val="1"/>
                <w:color w:val="auto"/>
              </w:rPr>
            </w:pPr>
          </w:p>
        </w:tc>
      </w:tr>
      <w:tr>
        <w:trPr>
          <w:trHeight w:val="594"/>
        </w:trPr>
        <w:tc>
          <w:tcPr>
            <w:tcW w:w="3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 2025</w:t>
            </w:r>
          </w:p>
        </w:tc>
        <w:tc>
          <w:tcPr>
            <w:tcW w:w="0" w:type="dxa"/>
            <w:vAlign w:val="bottom"/>
          </w:tcPr>
          <w:p>
            <w:pPr>
              <w:spacing w:after="0"/>
              <w:rPr>
                <w:sz w:val="1"/>
                <w:szCs w:val="1"/>
                <w:color w:val="auto"/>
              </w:rPr>
            </w:pPr>
          </w:p>
        </w:tc>
      </w:tr>
    </w:tbl>
    <w:p>
      <w:pPr>
        <w:sectPr>
          <w:pgSz w:w="11900" w:h="16838" w:orient="portrait"/>
          <w:cols w:equalWidth="0" w:num="2">
            <w:col w:w="3760" w:space="720"/>
            <w:col w:w="6760"/>
          </w:cols>
          <w:pgMar w:left="320" w:top="1440" w:right="339" w:bottom="1440" w:gutter="0" w:footer="0" w:header="0"/>
          <w:type w:val="continuous"/>
        </w:sectPr>
      </w:pPr>
    </w:p>
    <w:bookmarkStart w:id="6" w:name="page7"/>
    <w:bookmarkEnd w:id="6"/>
    <w:p>
      <w:pPr>
        <w:ind w:left="10360"/>
        <w:spacing w:after="0"/>
        <w:rPr>
          <w:sz w:val="20"/>
          <w:szCs w:val="20"/>
          <w:color w:val="auto"/>
        </w:rPr>
      </w:pPr>
      <w:r>
        <w:rPr>
          <w:rFonts w:ascii="Times New Roman" w:cs="Times New Roman" w:eastAsia="Times New Roman" w:hAnsi="Times New Roman"/>
          <w:sz w:val="18"/>
          <w:szCs w:val="18"/>
          <w:b w:val="1"/>
          <w:bCs w:val="1"/>
          <w:color w:val="auto"/>
        </w:rPr>
        <w:t>Exhibit 107</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S-8</w:t>
      </w: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GeneDx Holdings Corp.</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40575" cy="1954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2">
                      <a:extLst>
                        <a:ext uri="{28A0092B-C50C-407E-A947-70E740481C1C}"/>
                      </a:extLst>
                    </a:blip>
                    <a:srcRect/>
                    <a:stretch>
                      <a:fillRect/>
                    </a:stretch>
                  </pic:blipFill>
                  <pic:spPr bwMode="auto">
                    <a:xfrm>
                      <a:off x="0" y="0"/>
                      <a:ext cx="7140575" cy="1954530"/>
                    </a:xfrm>
                    <a:prstGeom prst="rect">
                      <a:avLst/>
                    </a:prstGeom>
                    <a:noFill/>
                  </pic:spPr>
                </pic:pic>
              </a:graphicData>
            </a:graphic>
          </wp:anchor>
        </w:drawing>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Table 1 - Newly Registered Securities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Borders>
              <w:top w:val="single" w:sz="8" w:color="auto"/>
              <w:right w:val="single" w:sz="8" w:color="auto"/>
            </w:tcBorders>
          </w:tcPr>
          <w:p>
            <w:pPr>
              <w:spacing w:after="0"/>
              <w:rPr>
                <w:sz w:val="14"/>
                <w:szCs w:val="14"/>
                <w:color w:val="auto"/>
              </w:rPr>
            </w:pPr>
          </w:p>
        </w:tc>
        <w:tc>
          <w:tcPr>
            <w:tcW w:w="1260" w:type="dxa"/>
            <w:vAlign w:val="bottom"/>
            <w:tcBorders>
              <w:top w:val="single" w:sz="8" w:color="auto"/>
              <w:right w:val="single" w:sz="8" w:color="auto"/>
            </w:tcBorders>
          </w:tcPr>
          <w:p>
            <w:pPr>
              <w:spacing w:after="0"/>
              <w:rPr>
                <w:sz w:val="14"/>
                <w:szCs w:val="14"/>
                <w:color w:val="auto"/>
              </w:rPr>
            </w:pPr>
          </w:p>
        </w:tc>
        <w:tc>
          <w:tcPr>
            <w:tcW w:w="1380" w:type="dxa"/>
            <w:vAlign w:val="bottom"/>
            <w:tcBorders>
              <w:top w:val="single" w:sz="8" w:color="auto"/>
              <w:right w:val="single" w:sz="8" w:color="auto"/>
            </w:tcBorders>
          </w:tcPr>
          <w:p>
            <w:pPr>
              <w:spacing w:after="0"/>
              <w:rPr>
                <w:sz w:val="14"/>
                <w:szCs w:val="14"/>
                <w:color w:val="auto"/>
              </w:rPr>
            </w:pPr>
          </w:p>
        </w:tc>
        <w:tc>
          <w:tcPr>
            <w:tcW w:w="1580" w:type="dxa"/>
            <w:vAlign w:val="bottom"/>
            <w:tcBorders>
              <w:top w:val="single" w:sz="8" w:color="auto"/>
              <w:right w:val="single" w:sz="8" w:color="auto"/>
            </w:tcBorders>
          </w:tcPr>
          <w:p>
            <w:pPr>
              <w:spacing w:after="0"/>
              <w:rPr>
                <w:sz w:val="14"/>
                <w:szCs w:val="14"/>
                <w:color w:val="auto"/>
              </w:rPr>
            </w:pPr>
          </w:p>
        </w:tc>
        <w:tc>
          <w:tcPr>
            <w:tcW w:w="1280" w:type="dxa"/>
            <w:vAlign w:val="bottom"/>
            <w:tcBorders>
              <w:top w:val="single" w:sz="8" w:color="auto"/>
              <w:right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9"/>
              </w:rPr>
              <w:t>Proposed</w:t>
            </w:r>
          </w:p>
        </w:tc>
        <w:tc>
          <w:tcPr>
            <w:tcW w:w="1800" w:type="dxa"/>
            <w:vAlign w:val="bottom"/>
            <w:tcBorders>
              <w:top w:val="single" w:sz="8" w:color="auto"/>
              <w:right w:val="single" w:sz="8" w:color="auto"/>
            </w:tcBorders>
          </w:tcPr>
          <w:p>
            <w:pPr>
              <w:spacing w:after="0"/>
              <w:rPr>
                <w:sz w:val="14"/>
                <w:szCs w:val="14"/>
                <w:color w:val="auto"/>
              </w:rPr>
            </w:pPr>
          </w:p>
        </w:tc>
        <w:tc>
          <w:tcPr>
            <w:tcW w:w="1440" w:type="dxa"/>
            <w:vAlign w:val="bottom"/>
            <w:tcBorders>
              <w:top w:val="single" w:sz="8" w:color="auto"/>
              <w:right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Security Class</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Fee Calculation</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Maximum</w:t>
            </w: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 Aggregate</w:t>
            </w:r>
          </w:p>
        </w:tc>
        <w:tc>
          <w:tcPr>
            <w:tcW w:w="1440" w:type="dxa"/>
            <w:vAlign w:val="bottom"/>
            <w:tcBorders>
              <w:right w:val="single" w:sz="8" w:color="auto"/>
            </w:tcBorders>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0" w:type="dxa"/>
            <w:vAlign w:val="bottom"/>
          </w:tcPr>
          <w:p>
            <w:pPr>
              <w:spacing w:after="0"/>
              <w:rPr>
                <w:sz w:val="1"/>
                <w:szCs w:val="1"/>
                <w:color w:val="auto"/>
              </w:rPr>
            </w:pPr>
          </w:p>
        </w:tc>
      </w:tr>
      <w:tr>
        <w:trPr>
          <w:trHeight w:val="162"/>
        </w:trPr>
        <w:tc>
          <w:tcPr>
            <w:tcW w:w="10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Security Type</w:t>
            </w:r>
          </w:p>
        </w:tc>
        <w:tc>
          <w:tcPr>
            <w:tcW w:w="1260" w:type="dxa"/>
            <w:vAlign w:val="bottom"/>
            <w:tcBorders>
              <w:right w:val="single" w:sz="8" w:color="auto"/>
            </w:tcBorders>
            <w:vMerge w:val="continue"/>
          </w:tcPr>
          <w:p>
            <w:pPr>
              <w:spacing w:after="0"/>
              <w:rPr>
                <w:sz w:val="14"/>
                <w:szCs w:val="14"/>
                <w:color w:val="auto"/>
              </w:rPr>
            </w:pPr>
          </w:p>
        </w:tc>
        <w:tc>
          <w:tcPr>
            <w:tcW w:w="1380" w:type="dxa"/>
            <w:vAlign w:val="bottom"/>
            <w:tcBorders>
              <w:right w:val="single" w:sz="8" w:color="auto"/>
            </w:tcBorders>
            <w:vMerge w:val="continue"/>
          </w:tcPr>
          <w:p>
            <w:pPr>
              <w:spacing w:after="0"/>
              <w:rPr>
                <w:sz w:val="14"/>
                <w:szCs w:val="14"/>
                <w:color w:val="auto"/>
              </w:rPr>
            </w:pPr>
          </w:p>
        </w:tc>
        <w:tc>
          <w:tcPr>
            <w:tcW w:w="1580" w:type="dxa"/>
            <w:vAlign w:val="bottom"/>
            <w:tcBorders>
              <w:right w:val="single" w:sz="8" w:color="auto"/>
            </w:tcBorders>
            <w:vMerge w:val="continue"/>
          </w:tcPr>
          <w:p>
            <w:pPr>
              <w:spacing w:after="0"/>
              <w:rPr>
                <w:sz w:val="14"/>
                <w:szCs w:val="14"/>
                <w:color w:val="auto"/>
              </w:rPr>
            </w:pPr>
          </w:p>
        </w:tc>
        <w:tc>
          <w:tcPr>
            <w:tcW w:w="12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Offering Price</w:t>
            </w:r>
          </w:p>
        </w:tc>
        <w:tc>
          <w:tcPr>
            <w:tcW w:w="1800" w:type="dxa"/>
            <w:vAlign w:val="bottom"/>
            <w:tcBorders>
              <w:right w:val="single" w:sz="8" w:color="auto"/>
            </w:tcBorders>
            <w:vMerge w:val="continue"/>
          </w:tcPr>
          <w:p>
            <w:pPr>
              <w:spacing w:after="0"/>
              <w:rPr>
                <w:sz w:val="14"/>
                <w:szCs w:val="14"/>
                <w:color w:val="auto"/>
              </w:rPr>
            </w:pPr>
          </w:p>
        </w:tc>
        <w:tc>
          <w:tcPr>
            <w:tcW w:w="1440" w:type="dxa"/>
            <w:vAlign w:val="bottom"/>
            <w:tcBorders>
              <w:right w:val="single" w:sz="8" w:color="auto"/>
            </w:tcBorders>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Fee Rate</w:t>
            </w: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40" w:type="dxa"/>
            <w:vAlign w:val="bottom"/>
            <w:tcBorders>
              <w:bottom w:val="single" w:sz="8" w:color="auto"/>
              <w:right w:val="single" w:sz="8" w:color="auto"/>
            </w:tcBorders>
            <w:vMerge w:val="continue"/>
          </w:tcPr>
          <w:p>
            <w:pPr>
              <w:spacing w:after="0"/>
              <w:rPr>
                <w:sz w:val="18"/>
                <w:szCs w:val="18"/>
                <w:color w:val="auto"/>
              </w:rPr>
            </w:pPr>
          </w:p>
        </w:tc>
        <w:tc>
          <w:tcPr>
            <w:tcW w:w="126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Rule</w:t>
            </w:r>
          </w:p>
        </w:tc>
        <w:tc>
          <w:tcPr>
            <w:tcW w:w="1580" w:type="dxa"/>
            <w:vAlign w:val="bottom"/>
            <w:tcBorders>
              <w:bottom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6"/>
              </w:rPr>
              <w:t>Registered</w:t>
            </w:r>
            <w:r>
              <w:rPr>
                <w:rFonts w:ascii="Times New Roman" w:cs="Times New Roman" w:eastAsia="Times New Roman" w:hAnsi="Times New Roman"/>
                <w:sz w:val="21"/>
                <w:szCs w:val="21"/>
                <w:b w:val="1"/>
                <w:bCs w:val="1"/>
                <w:color w:val="auto"/>
                <w:w w:val="96"/>
                <w:vertAlign w:val="superscript"/>
              </w:rPr>
              <w:t>(1)</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Offering Price</w:t>
            </w:r>
          </w:p>
        </w:tc>
        <w:tc>
          <w:tcPr>
            <w:tcW w:w="1440" w:type="dxa"/>
            <w:vAlign w:val="bottom"/>
            <w:tcBorders>
              <w:bottom w:val="single" w:sz="8" w:color="auto"/>
              <w:right w:val="single" w:sz="8" w:color="auto"/>
            </w:tcBorders>
            <w:vMerge w:val="continue"/>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Registration Fee</w:t>
            </w:r>
          </w:p>
        </w:tc>
        <w:tc>
          <w:tcPr>
            <w:tcW w:w="0" w:type="dxa"/>
            <w:vAlign w:val="bottom"/>
          </w:tcPr>
          <w:p>
            <w:pPr>
              <w:spacing w:after="0"/>
              <w:rPr>
                <w:sz w:val="1"/>
                <w:szCs w:val="1"/>
                <w:color w:val="auto"/>
              </w:rPr>
            </w:pPr>
          </w:p>
        </w:tc>
      </w:tr>
      <w:tr>
        <w:trPr>
          <w:trHeight w:val="156"/>
        </w:trPr>
        <w:tc>
          <w:tcPr>
            <w:tcW w:w="1040" w:type="dxa"/>
            <w:vAlign w:val="bottom"/>
            <w:tcBorders>
              <w:right w:val="single" w:sz="8" w:color="auto"/>
            </w:tcBorders>
          </w:tcPr>
          <w:p>
            <w:pPr>
              <w:ind w:left="60"/>
              <w:spacing w:after="0" w:line="155" w:lineRule="exact"/>
              <w:rPr>
                <w:sz w:val="20"/>
                <w:szCs w:val="20"/>
                <w:color w:val="auto"/>
              </w:rPr>
            </w:pPr>
            <w:r>
              <w:rPr>
                <w:rFonts w:ascii="Times New Roman" w:cs="Times New Roman" w:eastAsia="Times New Roman" w:hAnsi="Times New Roman"/>
                <w:sz w:val="16"/>
                <w:szCs w:val="16"/>
                <w:color w:val="auto"/>
              </w:rPr>
              <w:t>Equity</w:t>
            </w:r>
          </w:p>
        </w:tc>
        <w:tc>
          <w:tcPr>
            <w:tcW w:w="1260" w:type="dxa"/>
            <w:vAlign w:val="bottom"/>
            <w:tcBorders>
              <w:right w:val="single" w:sz="8" w:color="auto"/>
            </w:tcBorders>
          </w:tcPr>
          <w:p>
            <w:pPr>
              <w:ind w:left="40"/>
              <w:spacing w:after="0" w:line="155" w:lineRule="exact"/>
              <w:rPr>
                <w:sz w:val="20"/>
                <w:szCs w:val="20"/>
                <w:color w:val="auto"/>
              </w:rPr>
            </w:pPr>
            <w:r>
              <w:rPr>
                <w:rFonts w:ascii="Times New Roman" w:cs="Times New Roman" w:eastAsia="Times New Roman" w:hAnsi="Times New Roman"/>
                <w:sz w:val="16"/>
                <w:szCs w:val="16"/>
                <w:color w:val="auto"/>
              </w:rPr>
              <w:t>Class A common</w:t>
            </w:r>
          </w:p>
        </w:tc>
        <w:tc>
          <w:tcPr>
            <w:tcW w:w="138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color w:val="auto"/>
              </w:rPr>
              <w:t>$107,121,240.69</w:t>
            </w:r>
          </w:p>
        </w:tc>
        <w:tc>
          <w:tcPr>
            <w:tcW w:w="1440" w:type="dxa"/>
            <w:vAlign w:val="bottom"/>
            <w:tcBorders>
              <w:right w:val="single" w:sz="8" w:color="auto"/>
            </w:tcBorders>
          </w:tcPr>
          <w:p>
            <w:pPr>
              <w:jc w:val="right"/>
              <w:ind w:right="459"/>
              <w:spacing w:after="0" w:line="155" w:lineRule="exact"/>
              <w:rPr>
                <w:sz w:val="20"/>
                <w:szCs w:val="20"/>
                <w:color w:val="auto"/>
              </w:rPr>
            </w:pPr>
            <w:r>
              <w:rPr>
                <w:rFonts w:ascii="Times New Roman" w:cs="Times New Roman" w:eastAsia="Times New Roman" w:hAnsi="Times New Roman"/>
                <w:sz w:val="16"/>
                <w:szCs w:val="16"/>
                <w:color w:val="auto"/>
              </w:rPr>
              <w:t>$0.00015310</w:t>
            </w:r>
          </w:p>
        </w:tc>
        <w:tc>
          <w:tcPr>
            <w:tcW w:w="14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$16,400.26</w:t>
            </w:r>
          </w:p>
        </w:tc>
        <w:tc>
          <w:tcPr>
            <w:tcW w:w="0" w:type="dxa"/>
            <w:vAlign w:val="bottom"/>
          </w:tcPr>
          <w:p>
            <w:pPr>
              <w:spacing w:after="0"/>
              <w:rPr>
                <w:sz w:val="1"/>
                <w:szCs w:val="1"/>
                <w:color w:val="auto"/>
              </w:rPr>
            </w:pPr>
          </w:p>
        </w:tc>
      </w:tr>
      <w:tr>
        <w:trPr>
          <w:trHeight w:val="162"/>
        </w:trPr>
        <w:tc>
          <w:tcPr>
            <w:tcW w:w="104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6"/>
                <w:szCs w:val="16"/>
                <w:color w:val="auto"/>
              </w:rPr>
              <w:t>stock, $0.0001</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Rule 457(c) and</w:t>
            </w:r>
          </w:p>
        </w:tc>
        <w:tc>
          <w:tcPr>
            <w:tcW w:w="158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6"/>
                <w:szCs w:val="16"/>
                <w:color w:val="auto"/>
              </w:rPr>
              <w:t>par value per</w:t>
            </w:r>
          </w:p>
        </w:tc>
        <w:tc>
          <w:tcPr>
            <w:tcW w:w="1380" w:type="dxa"/>
            <w:vAlign w:val="bottom"/>
            <w:tcBorders>
              <w:right w:val="single" w:sz="8" w:color="auto"/>
            </w:tcBorders>
            <w:vMerge w:val="continue"/>
          </w:tcPr>
          <w:p>
            <w:pPr>
              <w:spacing w:after="0"/>
              <w:rPr>
                <w:sz w:val="14"/>
                <w:szCs w:val="14"/>
                <w:color w:val="auto"/>
              </w:rPr>
            </w:pPr>
          </w:p>
        </w:tc>
        <w:tc>
          <w:tcPr>
            <w:tcW w:w="1580" w:type="dxa"/>
            <w:vAlign w:val="bottom"/>
            <w:tcBorders>
              <w:right w:val="single" w:sz="8" w:color="auto"/>
            </w:tcBorders>
            <w:vMerge w:val="restart"/>
          </w:tcPr>
          <w:p>
            <w:pPr>
              <w:jc w:val="center"/>
              <w:ind w:right="299"/>
              <w:spacing w:after="0"/>
              <w:rPr>
                <w:sz w:val="20"/>
                <w:szCs w:val="20"/>
                <w:color w:val="auto"/>
              </w:rPr>
            </w:pPr>
            <w:r>
              <w:rPr>
                <w:rFonts w:ascii="Times New Roman" w:cs="Times New Roman" w:eastAsia="Times New Roman" w:hAnsi="Times New Roman"/>
                <w:sz w:val="16"/>
                <w:szCs w:val="16"/>
                <w:color w:val="auto"/>
              </w:rPr>
              <w:t xml:space="preserve">1,400,827 </w:t>
            </w:r>
            <w:r>
              <w:rPr>
                <w:rFonts w:ascii="Times New Roman" w:cs="Times New Roman" w:eastAsia="Times New Roman" w:hAnsi="Times New Roman"/>
                <w:sz w:val="21"/>
                <w:szCs w:val="21"/>
                <w:color w:val="auto"/>
                <w:vertAlign w:val="superscript"/>
              </w:rPr>
              <w:t>(2)</w:t>
            </w:r>
          </w:p>
        </w:tc>
        <w:tc>
          <w:tcPr>
            <w:tcW w:w="1280" w:type="dxa"/>
            <w:vAlign w:val="bottom"/>
            <w:tcBorders>
              <w:right w:val="single" w:sz="8" w:color="auto"/>
            </w:tcBorders>
            <w:vMerge w:val="restart"/>
          </w:tcPr>
          <w:p>
            <w:pPr>
              <w:jc w:val="right"/>
              <w:ind w:right="459"/>
              <w:spacing w:after="0"/>
              <w:rPr>
                <w:sz w:val="20"/>
                <w:szCs w:val="20"/>
                <w:color w:val="auto"/>
              </w:rPr>
            </w:pPr>
            <w:r>
              <w:rPr>
                <w:rFonts w:ascii="Times New Roman" w:cs="Times New Roman" w:eastAsia="Times New Roman" w:hAnsi="Times New Roman"/>
                <w:sz w:val="16"/>
                <w:szCs w:val="16"/>
                <w:color w:val="auto"/>
                <w:w w:val="94"/>
              </w:rPr>
              <w:t>$76.4700</w:t>
            </w:r>
            <w:r>
              <w:rPr>
                <w:rFonts w:ascii="Times New Roman" w:cs="Times New Roman" w:eastAsia="Times New Roman" w:hAnsi="Times New Roman"/>
                <w:sz w:val="21"/>
                <w:szCs w:val="21"/>
                <w:color w:val="auto"/>
                <w:w w:val="94"/>
                <w:vertAlign w:val="superscript"/>
              </w:rPr>
              <w:t>(3)</w:t>
            </w:r>
          </w:p>
        </w:tc>
        <w:tc>
          <w:tcPr>
            <w:tcW w:w="180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4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share</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Rule 457(h)</w:t>
            </w:r>
          </w:p>
        </w:tc>
        <w:tc>
          <w:tcPr>
            <w:tcW w:w="1580" w:type="dxa"/>
            <w:vAlign w:val="bottom"/>
            <w:tcBorders>
              <w:bottom w:val="single" w:sz="8" w:color="auto"/>
              <w:right w:val="single" w:sz="8" w:color="auto"/>
            </w:tcBorders>
            <w:vMerge w:val="continue"/>
          </w:tcPr>
          <w:p>
            <w:pPr>
              <w:spacing w:after="0"/>
              <w:rPr>
                <w:sz w:val="18"/>
                <w:szCs w:val="18"/>
                <w:color w:val="auto"/>
              </w:rPr>
            </w:pPr>
          </w:p>
        </w:tc>
        <w:tc>
          <w:tcPr>
            <w:tcW w:w="1280" w:type="dxa"/>
            <w:vAlign w:val="bottom"/>
            <w:tcBorders>
              <w:bottom w:val="single" w:sz="8" w:color="auto"/>
              <w:right w:val="single" w:sz="8" w:color="auto"/>
            </w:tcBorders>
            <w:vMerge w:val="continue"/>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40" w:type="dxa"/>
            <w:vAlign w:val="bottom"/>
            <w:tcBorders>
              <w:right w:val="single" w:sz="8" w:color="auto"/>
            </w:tcBorders>
          </w:tcPr>
          <w:p>
            <w:pPr>
              <w:ind w:left="60"/>
              <w:spacing w:after="0" w:line="155" w:lineRule="exact"/>
              <w:rPr>
                <w:sz w:val="20"/>
                <w:szCs w:val="20"/>
                <w:color w:val="auto"/>
              </w:rPr>
            </w:pPr>
            <w:r>
              <w:rPr>
                <w:rFonts w:ascii="Times New Roman" w:cs="Times New Roman" w:eastAsia="Times New Roman" w:hAnsi="Times New Roman"/>
                <w:sz w:val="16"/>
                <w:szCs w:val="16"/>
                <w:color w:val="auto"/>
              </w:rPr>
              <w:t>Equity</w:t>
            </w:r>
          </w:p>
        </w:tc>
        <w:tc>
          <w:tcPr>
            <w:tcW w:w="1260" w:type="dxa"/>
            <w:vAlign w:val="bottom"/>
            <w:tcBorders>
              <w:right w:val="single" w:sz="8" w:color="auto"/>
            </w:tcBorders>
          </w:tcPr>
          <w:p>
            <w:pPr>
              <w:ind w:left="40"/>
              <w:spacing w:after="0" w:line="155" w:lineRule="exact"/>
              <w:rPr>
                <w:sz w:val="20"/>
                <w:szCs w:val="20"/>
                <w:color w:val="auto"/>
              </w:rPr>
            </w:pPr>
            <w:r>
              <w:rPr>
                <w:rFonts w:ascii="Times New Roman" w:cs="Times New Roman" w:eastAsia="Times New Roman" w:hAnsi="Times New Roman"/>
                <w:sz w:val="16"/>
                <w:szCs w:val="16"/>
                <w:color w:val="auto"/>
              </w:rPr>
              <w:t>Class A common</w:t>
            </w:r>
          </w:p>
        </w:tc>
        <w:tc>
          <w:tcPr>
            <w:tcW w:w="138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color w:val="auto"/>
              </w:rPr>
              <w:t>$18,210,584.92</w:t>
            </w:r>
          </w:p>
        </w:tc>
        <w:tc>
          <w:tcPr>
            <w:tcW w:w="1440" w:type="dxa"/>
            <w:vAlign w:val="bottom"/>
            <w:tcBorders>
              <w:right w:val="single" w:sz="8" w:color="auto"/>
            </w:tcBorders>
          </w:tcPr>
          <w:p>
            <w:pPr>
              <w:jc w:val="right"/>
              <w:ind w:right="459"/>
              <w:spacing w:after="0" w:line="155" w:lineRule="exact"/>
              <w:rPr>
                <w:sz w:val="20"/>
                <w:szCs w:val="20"/>
                <w:color w:val="auto"/>
              </w:rPr>
            </w:pPr>
            <w:r>
              <w:rPr>
                <w:rFonts w:ascii="Times New Roman" w:cs="Times New Roman" w:eastAsia="Times New Roman" w:hAnsi="Times New Roman"/>
                <w:sz w:val="16"/>
                <w:szCs w:val="16"/>
                <w:color w:val="auto"/>
              </w:rPr>
              <w:t>$0.00015310</w:t>
            </w:r>
          </w:p>
        </w:tc>
        <w:tc>
          <w:tcPr>
            <w:tcW w:w="14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$2,788.04</w:t>
            </w:r>
          </w:p>
        </w:tc>
        <w:tc>
          <w:tcPr>
            <w:tcW w:w="0" w:type="dxa"/>
            <w:vAlign w:val="bottom"/>
          </w:tcPr>
          <w:p>
            <w:pPr>
              <w:spacing w:after="0"/>
              <w:rPr>
                <w:sz w:val="1"/>
                <w:szCs w:val="1"/>
                <w:color w:val="auto"/>
              </w:rPr>
            </w:pPr>
          </w:p>
        </w:tc>
      </w:tr>
      <w:tr>
        <w:trPr>
          <w:trHeight w:val="162"/>
        </w:trPr>
        <w:tc>
          <w:tcPr>
            <w:tcW w:w="104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6"/>
                <w:szCs w:val="16"/>
                <w:color w:val="auto"/>
              </w:rPr>
              <w:t>stock, $0.0001</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Rule 457(c) and</w:t>
            </w:r>
          </w:p>
        </w:tc>
        <w:tc>
          <w:tcPr>
            <w:tcW w:w="158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6"/>
                <w:szCs w:val="16"/>
                <w:color w:val="auto"/>
              </w:rPr>
              <w:t>par value per</w:t>
            </w:r>
          </w:p>
        </w:tc>
        <w:tc>
          <w:tcPr>
            <w:tcW w:w="1380" w:type="dxa"/>
            <w:vAlign w:val="bottom"/>
            <w:tcBorders>
              <w:right w:val="single" w:sz="8" w:color="auto"/>
            </w:tcBorders>
            <w:vMerge w:val="continue"/>
          </w:tcPr>
          <w:p>
            <w:pPr>
              <w:spacing w:after="0"/>
              <w:rPr>
                <w:sz w:val="14"/>
                <w:szCs w:val="14"/>
                <w:color w:val="auto"/>
              </w:rPr>
            </w:pPr>
          </w:p>
        </w:tc>
        <w:tc>
          <w:tcPr>
            <w:tcW w:w="1580" w:type="dxa"/>
            <w:vAlign w:val="bottom"/>
            <w:tcBorders>
              <w:right w:val="single" w:sz="8" w:color="auto"/>
            </w:tcBorders>
            <w:vMerge w:val="restart"/>
          </w:tcPr>
          <w:p>
            <w:pPr>
              <w:jc w:val="center"/>
              <w:ind w:right="379"/>
              <w:spacing w:after="0"/>
              <w:rPr>
                <w:sz w:val="20"/>
                <w:szCs w:val="20"/>
                <w:color w:val="auto"/>
              </w:rPr>
            </w:pPr>
            <w:r>
              <w:rPr>
                <w:rFonts w:ascii="Times New Roman" w:cs="Times New Roman" w:eastAsia="Times New Roman" w:hAnsi="Times New Roman"/>
                <w:sz w:val="16"/>
                <w:szCs w:val="16"/>
                <w:color w:val="auto"/>
              </w:rPr>
              <w:t>280,165</w:t>
            </w:r>
            <w:r>
              <w:rPr>
                <w:rFonts w:ascii="Times New Roman" w:cs="Times New Roman" w:eastAsia="Times New Roman" w:hAnsi="Times New Roman"/>
                <w:sz w:val="21"/>
                <w:szCs w:val="21"/>
                <w:color w:val="auto"/>
                <w:vertAlign w:val="superscript"/>
              </w:rPr>
              <w:t>(4)</w:t>
            </w:r>
          </w:p>
        </w:tc>
        <w:tc>
          <w:tcPr>
            <w:tcW w:w="1280" w:type="dxa"/>
            <w:vAlign w:val="bottom"/>
            <w:tcBorders>
              <w:right w:val="single" w:sz="8" w:color="auto"/>
            </w:tcBorders>
            <w:vMerge w:val="restart"/>
          </w:tcPr>
          <w:p>
            <w:pPr>
              <w:jc w:val="right"/>
              <w:ind w:right="459"/>
              <w:spacing w:after="0"/>
              <w:rPr>
                <w:sz w:val="20"/>
                <w:szCs w:val="20"/>
                <w:color w:val="auto"/>
              </w:rPr>
            </w:pPr>
            <w:r>
              <w:rPr>
                <w:rFonts w:ascii="Times New Roman" w:cs="Times New Roman" w:eastAsia="Times New Roman" w:hAnsi="Times New Roman"/>
                <w:sz w:val="16"/>
                <w:szCs w:val="16"/>
                <w:color w:val="auto"/>
                <w:w w:val="94"/>
              </w:rPr>
              <w:t>$64.9995</w:t>
            </w:r>
            <w:r>
              <w:rPr>
                <w:rFonts w:ascii="Times New Roman" w:cs="Times New Roman" w:eastAsia="Times New Roman" w:hAnsi="Times New Roman"/>
                <w:sz w:val="21"/>
                <w:szCs w:val="21"/>
                <w:color w:val="auto"/>
                <w:w w:val="94"/>
                <w:vertAlign w:val="superscript"/>
              </w:rPr>
              <w:t>(5)</w:t>
            </w:r>
          </w:p>
        </w:tc>
        <w:tc>
          <w:tcPr>
            <w:tcW w:w="180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4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share</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Rule 457(h)</w:t>
            </w:r>
          </w:p>
        </w:tc>
        <w:tc>
          <w:tcPr>
            <w:tcW w:w="1580" w:type="dxa"/>
            <w:vAlign w:val="bottom"/>
            <w:tcBorders>
              <w:bottom w:val="single" w:sz="8" w:color="auto"/>
              <w:right w:val="single" w:sz="8" w:color="auto"/>
            </w:tcBorders>
            <w:vMerge w:val="continue"/>
          </w:tcPr>
          <w:p>
            <w:pPr>
              <w:spacing w:after="0"/>
              <w:rPr>
                <w:sz w:val="18"/>
                <w:szCs w:val="18"/>
                <w:color w:val="auto"/>
              </w:rPr>
            </w:pPr>
          </w:p>
        </w:tc>
        <w:tc>
          <w:tcPr>
            <w:tcW w:w="1280" w:type="dxa"/>
            <w:vAlign w:val="bottom"/>
            <w:tcBorders>
              <w:bottom w:val="single" w:sz="8" w:color="auto"/>
              <w:right w:val="single" w:sz="8" w:color="auto"/>
            </w:tcBorders>
            <w:vMerge w:val="continue"/>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Total Offering Amounts</w:t>
            </w:r>
          </w:p>
        </w:tc>
        <w:tc>
          <w:tcPr>
            <w:tcW w:w="1380" w:type="dxa"/>
            <w:vAlign w:val="bottom"/>
            <w:tcBorders>
              <w:bottom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$125,331,825.61</w:t>
            </w:r>
          </w:p>
        </w:tc>
        <w:tc>
          <w:tcPr>
            <w:tcW w:w="144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19,188.30</w:t>
            </w:r>
          </w:p>
        </w:tc>
        <w:tc>
          <w:tcPr>
            <w:tcW w:w="0" w:type="dxa"/>
            <w:vAlign w:val="bottom"/>
          </w:tcPr>
          <w:p>
            <w:pPr>
              <w:spacing w:after="0"/>
              <w:rPr>
                <w:sz w:val="1"/>
                <w:szCs w:val="1"/>
                <w:color w:val="auto"/>
              </w:rPr>
            </w:pPr>
          </w:p>
        </w:tc>
      </w:tr>
      <w:tr>
        <w:trPr>
          <w:trHeight w:val="209"/>
        </w:trPr>
        <w:tc>
          <w:tcPr>
            <w:tcW w:w="2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Total Fee Offsets</w:t>
            </w:r>
          </w:p>
        </w:tc>
        <w:tc>
          <w:tcPr>
            <w:tcW w:w="1380" w:type="dxa"/>
            <w:vAlign w:val="bottom"/>
            <w:tcBorders>
              <w:bottom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9"/>
        </w:trPr>
        <w:tc>
          <w:tcPr>
            <w:tcW w:w="1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Net Fee Due</w:t>
            </w:r>
          </w:p>
        </w:tc>
        <w:tc>
          <w:tcPr>
            <w:tcW w:w="1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19,188.30</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660" w:right="20" w:hanging="328"/>
        <w:spacing w:after="0" w:line="213" w:lineRule="auto"/>
        <w:tabs>
          <w:tab w:leader="none" w:pos="6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shall also cover any additional shares of the Class A common stock of GeneDx Holdings Corp. (the “Registrant”) that become issuable in respect of the securities identified in the above table by reason of any stock dividend, stock split, recapitalization or other similar transaction effected without the Registrant’s receipt of consideration that increases the number of the Registrant’s outstanding shares of Class A common stock.</w:t>
      </w:r>
    </w:p>
    <w:p>
      <w:pPr>
        <w:jc w:val="both"/>
        <w:ind w:left="660" w:right="20" w:hanging="328"/>
        <w:spacing w:after="0" w:line="208" w:lineRule="auto"/>
        <w:tabs>
          <w:tab w:leader="none" w:pos="6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additional shares of the Registrant’s Class A common stock to be registered and available for grant under its Amended and Restated 2021 Equity Incentive Plan (the “2021 EIP”) resulting from the automatic 5% annual increase in the number of authorized shares reserved and available for issuance under the 2021 EIP.</w:t>
      </w:r>
    </w:p>
    <w:p>
      <w:pPr>
        <w:spacing w:after="0" w:line="1" w:lineRule="exact"/>
        <w:rPr>
          <w:rFonts w:ascii="Times New Roman" w:cs="Times New Roman" w:eastAsia="Times New Roman" w:hAnsi="Times New Roman"/>
          <w:sz w:val="18"/>
          <w:szCs w:val="18"/>
          <w:color w:val="auto"/>
        </w:rPr>
      </w:pPr>
    </w:p>
    <w:p>
      <w:pPr>
        <w:jc w:val="both"/>
        <w:ind w:left="660" w:right="20" w:hanging="328"/>
        <w:spacing w:after="0" w:line="208" w:lineRule="auto"/>
        <w:tabs>
          <w:tab w:leader="none" w:pos="6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Rules 457(c) and 457(h) of the Securities Act solely for the purpose of calculating the registration fee. The proposed maximum offering price per share of $76.4700 was computed by averaging the high and low prices of a share of the Registrant’s Class A common stock as reported on the Nasdaq Global Select Market on February 14, 2025.</w:t>
      </w:r>
    </w:p>
    <w:p>
      <w:pPr>
        <w:spacing w:after="0" w:line="1" w:lineRule="exact"/>
        <w:rPr>
          <w:rFonts w:ascii="Times New Roman" w:cs="Times New Roman" w:eastAsia="Times New Roman" w:hAnsi="Times New Roman"/>
          <w:sz w:val="18"/>
          <w:szCs w:val="18"/>
          <w:color w:val="auto"/>
        </w:rPr>
      </w:pPr>
    </w:p>
    <w:p>
      <w:pPr>
        <w:jc w:val="both"/>
        <w:ind w:left="660" w:right="20" w:hanging="328"/>
        <w:spacing w:after="0" w:line="208" w:lineRule="auto"/>
        <w:tabs>
          <w:tab w:leader="none" w:pos="6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additional shares of the Registrant’s Class A common stock to be registered and available for grant under its 2021 Employee Stock Purchase Plan (the “2021 ESPP”) resulting from the automatic 1% annual increase in the number of authorized shares reserved and available for issuance under the 2021 ESPP.</w:t>
      </w:r>
    </w:p>
    <w:p>
      <w:pPr>
        <w:spacing w:after="0" w:line="1" w:lineRule="exact"/>
        <w:rPr>
          <w:rFonts w:ascii="Times New Roman" w:cs="Times New Roman" w:eastAsia="Times New Roman" w:hAnsi="Times New Roman"/>
          <w:sz w:val="18"/>
          <w:szCs w:val="18"/>
          <w:color w:val="auto"/>
        </w:rPr>
      </w:pPr>
    </w:p>
    <w:p>
      <w:pPr>
        <w:jc w:val="both"/>
        <w:ind w:left="660" w:right="20" w:hanging="328"/>
        <w:spacing w:after="0" w:line="218" w:lineRule="auto"/>
        <w:tabs>
          <w:tab w:leader="none" w:pos="6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Rules 457(c) and 457(h) of the Securities Act solely for the purpose of calculating the registration fee. The proposed maximum offering price per share of $64.9995 was computed by averaging the high and low prices of a share of the Registrant’s Class A common stock as reported on the Nasdaq Global Select Market on February 14, 2025, multiplied by 85% pursuant to the purchase price terms of the 2021 ESPP.</w:t>
      </w:r>
    </w:p>
    <w:p>
      <w:pPr>
        <w:sectPr>
          <w:pgSz w:w="11900" w:h="16838" w:orient="portrait"/>
          <w:cols w:equalWidth="0" w:num="1">
            <w:col w:w="11260"/>
          </w:cols>
          <w:pgMar w:left="320" w:top="1392" w:right="31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353695</wp:posOffset>
            </wp:positionH>
            <wp:positionV relativeFrom="page">
              <wp:posOffset>123190</wp:posOffset>
            </wp:positionV>
            <wp:extent cx="6626225" cy="445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626225" cy="44577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20,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GeneDx Holdings Corp.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333 Ludlow Street, North Tower, 6th Floor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Stamford, Connecticut 06902</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 Registration Statement on Form S-8</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1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As counsel to GeneDx Holdings Corp.,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we have examined the Registration Statement on Form S-8 (the “</w:t>
      </w:r>
      <w:r>
        <w:rPr>
          <w:rFonts w:ascii="Times New Roman" w:cs="Times New Roman" w:eastAsia="Times New Roman" w:hAnsi="Times New Roman"/>
          <w:sz w:val="22"/>
          <w:szCs w:val="22"/>
          <w:b w:val="1"/>
          <w:bCs w:val="1"/>
          <w:i w:val="1"/>
          <w:iCs w:val="1"/>
          <w:color w:val="auto"/>
        </w:rPr>
        <w:t>Registration Statement</w:t>
      </w:r>
      <w:r>
        <w:rPr>
          <w:rFonts w:ascii="Times New Roman" w:cs="Times New Roman" w:eastAsia="Times New Roman" w:hAnsi="Times New Roman"/>
          <w:sz w:val="22"/>
          <w:szCs w:val="22"/>
          <w:color w:val="auto"/>
        </w:rPr>
        <w:t>”) to be filed by the Company with the Securities and Exchange Commission (the “</w:t>
      </w:r>
      <w:r>
        <w:rPr>
          <w:rFonts w:ascii="Times New Roman" w:cs="Times New Roman" w:eastAsia="Times New Roman" w:hAnsi="Times New Roman"/>
          <w:sz w:val="22"/>
          <w:szCs w:val="22"/>
          <w:b w:val="1"/>
          <w:bCs w:val="1"/>
          <w:i w:val="1"/>
          <w:iCs w:val="1"/>
          <w:color w:val="auto"/>
        </w:rPr>
        <w:t>Commission</w:t>
      </w:r>
      <w:r>
        <w:rPr>
          <w:rFonts w:ascii="Times New Roman" w:cs="Times New Roman" w:eastAsia="Times New Roman" w:hAnsi="Times New Roman"/>
          <w:sz w:val="22"/>
          <w:szCs w:val="22"/>
          <w:color w:val="auto"/>
        </w:rPr>
        <w:t>”) on or about February 20, 2025 in connection with the registration under the Securities Act of 1933, as amended (the “</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of an aggregate of 1,680,992 shares (the “</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of the Company’s Class A Common Stock, $0.0001 par value per share (the “</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 subject to issuance by the Company (a) upon exercise or settlement of awards to be granted under the Company’s Amended and Restated 2021 Equity Incentive Plan (the “</w:t>
      </w:r>
      <w:r>
        <w:rPr>
          <w:rFonts w:ascii="Times New Roman" w:cs="Times New Roman" w:eastAsia="Times New Roman" w:hAnsi="Times New Roman"/>
          <w:sz w:val="22"/>
          <w:szCs w:val="22"/>
          <w:b w:val="1"/>
          <w:bCs w:val="1"/>
          <w:i w:val="1"/>
          <w:iCs w:val="1"/>
          <w:color w:val="auto"/>
        </w:rPr>
        <w:t>2021 Plan</w:t>
      </w:r>
      <w:r>
        <w:rPr>
          <w:rFonts w:ascii="Times New Roman" w:cs="Times New Roman" w:eastAsia="Times New Roman" w:hAnsi="Times New Roman"/>
          <w:sz w:val="22"/>
          <w:szCs w:val="22"/>
          <w:color w:val="auto"/>
        </w:rPr>
        <w:t>”) pursuant to the provision of the 2021 Plan providing for an automatic annual increase in the number of shares reserved and available for issuance under the 2021 Plan and (b) upon exercise of purchase rights to acquire shares of Common Stock to be granted under the Company’s 2021 Employee Stock Purchase Plan (the “</w:t>
      </w:r>
      <w:r>
        <w:rPr>
          <w:rFonts w:ascii="Times New Roman" w:cs="Times New Roman" w:eastAsia="Times New Roman" w:hAnsi="Times New Roman"/>
          <w:sz w:val="22"/>
          <w:szCs w:val="22"/>
          <w:b w:val="1"/>
          <w:bCs w:val="1"/>
          <w:i w:val="1"/>
          <w:iCs w:val="1"/>
          <w:color w:val="auto"/>
        </w:rPr>
        <w:t>Purchase Plan</w:t>
      </w:r>
      <w:r>
        <w:rPr>
          <w:rFonts w:ascii="Times New Roman" w:cs="Times New Roman" w:eastAsia="Times New Roman" w:hAnsi="Times New Roman"/>
          <w:sz w:val="22"/>
          <w:szCs w:val="22"/>
          <w:color w:val="auto"/>
        </w:rPr>
        <w:t>” and, together with the 2021 Plan, the “</w:t>
      </w:r>
      <w:r>
        <w:rPr>
          <w:rFonts w:ascii="Times New Roman" w:cs="Times New Roman" w:eastAsia="Times New Roman" w:hAnsi="Times New Roman"/>
          <w:sz w:val="22"/>
          <w:szCs w:val="22"/>
          <w:b w:val="1"/>
          <w:bCs w:val="1"/>
          <w:i w:val="1"/>
          <w:iCs w:val="1"/>
          <w:color w:val="auto"/>
        </w:rPr>
        <w:t>Plans</w:t>
      </w:r>
      <w:r>
        <w:rPr>
          <w:rFonts w:ascii="Times New Roman" w:cs="Times New Roman" w:eastAsia="Times New Roman" w:hAnsi="Times New Roman"/>
          <w:sz w:val="22"/>
          <w:szCs w:val="22"/>
          <w:color w:val="auto"/>
        </w:rPr>
        <w:t>”) pursuant to the provision of the Purchase Plan providing for an automatic annual increase in the number of shares reserved and available for issuance under the Purchase Plan.</w:t>
      </w:r>
    </w:p>
    <w:p>
      <w:pPr>
        <w:spacing w:after="0" w:line="18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As to matters of fact relevant to the opinions rendered herein, we have examined such documents, certificates and other instruments which we have deemed necessary or advisable, including a certificate addressed to us and dated the date hereof executed by the Company. We have not undertaken any independent investigation to verify the accuracy of any such information, representations or warranties or to determine the existence or absence of any fact, and no inference as to our knowledge of the existence or absence of any fact should be drawn from our representation of the Company or the rendering of the opinion set forth below. We have not considered parol evidence in connection with any of the agreements or instruments reviewed by us in connection with this letter.</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In our examination of documents for purposes of this letter, we have assumed, and express no opinion as to, the genuineness and authenticity of all signatures on original documents, the authenticity and completeness of all documents submitted to us as originals, that each document is what it purports to be, the conformity to originals of all documents submitted to us as copies or facsimile copies, the absence of any termination, modification or waiver of or amendment to any document reviewed by us (other than as has been disclosed to us), the legal</w:t>
      </w:r>
    </w:p>
    <w:p>
      <w:pPr>
        <w:sectPr>
          <w:pgSz w:w="11900" w:h="16838" w:orient="portrait"/>
          <w:cols w:equalWidth="0" w:num="1">
            <w:col w:w="11240"/>
          </w:cols>
          <w:pgMar w:left="320" w:top="144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GeneDx Holdings Corp.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20,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competence or capacity of all persons or entities (other than the Company) executing the same and (other than the Company) the due authorization, execution and delivery of all documents by each party thereto. We have also assumed the conformity of the documents filed with the Commission via the Electronic Data Gathering, Analysis and Retrieval System (“</w:t>
      </w:r>
      <w:r>
        <w:rPr>
          <w:rFonts w:ascii="Times New Roman" w:cs="Times New Roman" w:eastAsia="Times New Roman" w:hAnsi="Times New Roman"/>
          <w:sz w:val="22"/>
          <w:szCs w:val="22"/>
          <w:b w:val="1"/>
          <w:bCs w:val="1"/>
          <w:i w:val="1"/>
          <w:iCs w:val="1"/>
          <w:color w:val="auto"/>
        </w:rPr>
        <w:t>EDGAR</w:t>
      </w:r>
      <w:r>
        <w:rPr>
          <w:rFonts w:ascii="Times New Roman" w:cs="Times New Roman" w:eastAsia="Times New Roman" w:hAnsi="Times New Roman"/>
          <w:sz w:val="22"/>
          <w:szCs w:val="22"/>
          <w:color w:val="auto"/>
        </w:rPr>
        <w:t>”), except for required EDGAR formatting changes, to physical copies submitted for our examination.</w:t>
      </w:r>
    </w:p>
    <w:p>
      <w:pPr>
        <w:spacing w:after="0" w:line="17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The opinions in this letter are limited to the existing General Corporation Law of the State of Delaware now in effect. We express no opinion with respect to any other laws.</w:t>
      </w:r>
    </w:p>
    <w:p>
      <w:pPr>
        <w:spacing w:after="0" w:line="14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Based upon, and subject to, the foregoing, it is our opinion that the Shares, when issued and sold by the Company in accordance with the terms (including, without limitation, payment and authorization provisions) of the applicable Plan and the applicable form of award agreement thereunder, against the Company’s receipt of payment therefor (in an amount and type of consideration not less than the par value per Share), and duly registered on the books of the transfer agent and registrar for the Shares in the name or on behalf of the holders thereof, will be validly issued, fully paid and non-assessable.</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We consent to the use of this opinion as an exhibit to the Registration Statement and further consent to all references to us, if any, in the Registration Statement, the prospectuses constituting a part thereof and any amendments thereto. We do not thereby admit that we are within the category of persons whose consent is required under Section 7 of the Securities Act or the rules and regulations of the Commission thereunder.</w:t>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GeneDx Holdings Corp.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20,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This opinion is intended solely for your use in connection with the issuance and sale of the Shares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18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Fenwick &amp; West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FENWICK &amp; WEST LLP</w:t>
      </w:r>
    </w:p>
    <w:p>
      <w:pPr>
        <w:sectPr>
          <w:pgSz w:w="11900" w:h="16838" w:orient="portrait"/>
          <w:cols w:equalWidth="0" w:num="1">
            <w:col w:w="11240"/>
          </w:cols>
          <w:pgMar w:left="320" w:top="126"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104"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333333"/>
        </w:rPr>
        <w:t xml:space="preserve">We consent to the incorporation by reference in the Registration Statement (Form S-8) pertaining to the GeneDx Holdings Corp. Amended and Restated 2021 Equity Incentive Plan and GeneDx Holdings Corp. 2021 Employee Stock Purchase Plan of our report dated February 20, 2025, with respect to the consolidated financial statements of GeneDx Holding Corp. included in its Annual Report (Form 10-K) for the year ended December 31, 2024, filed with the Securities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333333"/>
        </w:rPr>
        <w:t xml:space="preserve"> Exchange Commission.</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2025</w:t>
      </w:r>
    </w:p>
    <w:sectPr>
      <w:pgSz w:w="11900" w:h="16838" w:orient="portrait"/>
      <w:cols w:equalWidth="0" w:num="1">
        <w:col w:w="11240"/>
      </w:cols>
      <w:pgMar w:left="320" w:top="1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decimal"/>
      <w:start w:val="107"/>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31" Type="http://schemas.openxmlformats.org/officeDocument/2006/relationships/image" Target="media/image5.png"/><Relationship Id="rId32" Type="http://schemas.openxmlformats.org/officeDocument/2006/relationships/image" Target="media/image6.png"/><Relationship Id="rId33" Type="http://schemas.openxmlformats.org/officeDocument/2006/relationships/image" Target="media/image7.png"/><Relationship Id="rId34" Type="http://schemas.openxmlformats.org/officeDocument/2006/relationships/image" Target="media/image8.png"/><Relationship Id="rId35" Type="http://schemas.openxmlformats.org/officeDocument/2006/relationships/image" Target="media/image9.png"/><Relationship Id="rId36" Type="http://schemas.openxmlformats.org/officeDocument/2006/relationships/image" Target="media/image10.png"/><Relationship Id="rId37" Type="http://schemas.openxmlformats.org/officeDocument/2006/relationships/image" Target="media/image11.png"/><Relationship Id="rId38" Type="http://schemas.openxmlformats.org/officeDocument/2006/relationships/image" Target="media/image12.png"/><Relationship Id="rId39" Type="http://schemas.openxmlformats.org/officeDocument/2006/relationships/image" Target="media/image13.png"/><Relationship Id="rId40" Type="http://schemas.openxmlformats.org/officeDocument/2006/relationships/image" Target="media/image14.png"/><Relationship Id="rId41" Type="http://schemas.openxmlformats.org/officeDocument/2006/relationships/image" Target="media/image15.png"/><Relationship Id="rId42" Type="http://schemas.openxmlformats.org/officeDocument/2006/relationships/image" Target="media/image16.png"/><Relationship Id="rId43" Type="http://schemas.openxmlformats.org/officeDocument/2006/relationships/image" Target="media/image17.jpeg"/><Relationship Id="rId12" Type="http://schemas.openxmlformats.org/officeDocument/2006/relationships/hyperlink" Target="https://www.sec.gov/Archives/edgar/data/1818331/000162828021019193/s-8.htm" TargetMode="External"/><Relationship Id="rId13" Type="http://schemas.openxmlformats.org/officeDocument/2006/relationships/hyperlink" Target="https://www.sec.gov/Archives/edgar/data/1818331/000181833122000020/sema4-sx8filingx12422.htm" TargetMode="External"/><Relationship Id="rId14" Type="http://schemas.openxmlformats.org/officeDocument/2006/relationships/hyperlink" Target="https://www.sec.gov/Archives/edgar/data/1818331/000181833123000008/sema4-sx82023equityevergre.htm" TargetMode="External"/><Relationship Id="rId15" Type="http://schemas.openxmlformats.org/officeDocument/2006/relationships/hyperlink" Target="https://www.sec.gov/Archives/edgar/data/1818331/000162828023013004/genedx-sx8.htm" TargetMode="External"/><Relationship Id="rId16" Type="http://schemas.openxmlformats.org/officeDocument/2006/relationships/hyperlink" Target="https://www.sec.gov/Archives/edgar/data/1818331/000181833123000062/genedx-formsx82023induceme.htm" TargetMode="External"/><Relationship Id="rId17" Type="http://schemas.openxmlformats.org/officeDocument/2006/relationships/hyperlink" Target="https://www.sec.gov/Archives/edgar/data/1818331/000181833124000013/wgs-sx8february2024evergre.htm" TargetMode="External"/><Relationship Id="rId18" Type="http://schemas.openxmlformats.org/officeDocument/2006/relationships/hyperlink" Target="https://www.sec.gov/Archives/edgar/data/1818331/000181833125000021/wgs-20241231.htm" TargetMode="External"/><Relationship Id="rId19" Type="http://schemas.openxmlformats.org/officeDocument/2006/relationships/hyperlink" Target="https://www.sec.gov/Archives/edgar/data/1818331/000181833125000002/wgs-20250102.htm" TargetMode="External"/><Relationship Id="rId20" Type="http://schemas.openxmlformats.org/officeDocument/2006/relationships/hyperlink" Target="https://www.sec.gov/Archives/edgar/data/1818331/000121390020024549/ea126225-8a12b_cmlifescience.htm" TargetMode="External"/><Relationship Id="rId21" Type="http://schemas.openxmlformats.org/officeDocument/2006/relationships/hyperlink" Target="https://www.sec.gov/ix?doc=/Archives/edgar/data/1818331/000181833123000024/wgs-20221231.htm" TargetMode="External"/><Relationship Id="rId22" Type="http://schemas.openxmlformats.org/officeDocument/2006/relationships/hyperlink" Target="https://www.sec.gov/Archives/edgar/data/1818331/000162828021014760/exhibit31-super8xk.htm" TargetMode="External"/><Relationship Id="rId23" Type="http://schemas.openxmlformats.org/officeDocument/2006/relationships/hyperlink" Target="https://www.sec.gov/Archives/edgar/data/1818331/000162828022011605/exhibit31-closing8xk.htm" TargetMode="External"/><Relationship Id="rId24" Type="http://schemas.openxmlformats.org/officeDocument/2006/relationships/hyperlink" Target="https://www.sec.gov/Archives/edgar/data/1818331/000181833123000006/sema4-certificateofamendme.htm" TargetMode="External"/><Relationship Id="rId25" Type="http://schemas.openxmlformats.org/officeDocument/2006/relationships/hyperlink" Target="https://www.sec.gov/Archives/edgar/data/1818331/000181833123000030/exhibit31exhibita-genedxxc.htm" TargetMode="External"/><Relationship Id="rId26" Type="http://schemas.openxmlformats.org/officeDocument/2006/relationships/hyperlink" Target="https://www.sec.gov/Archives/edgar/data/1818331/000181833123000006/sema4-amendedandrestatedby.htm" TargetMode="External"/><Relationship Id="rId27" Type="http://schemas.openxmlformats.org/officeDocument/2006/relationships/hyperlink" Target="https://www.sec.gov/Archives/edgar/data/1818331/000162828023011808/exhibit101-8xkx4172023.htm" TargetMode="External"/><Relationship Id="rId28" Type="http://schemas.openxmlformats.org/officeDocument/2006/relationships/hyperlink" Target="https://www.sec.gov/Archives/edgar/data/1818331/000162828021014760/exhibit106-super8xk.htm" TargetMode="External"/><Relationship Id="rId29" Type="http://schemas.openxmlformats.org/officeDocument/2006/relationships/hyperlink" Target="https://www.sec.gov/Archives/edgar/data/1818331/000162828021014760/exhibit107-super8xk.htm" TargetMode="External"/><Relationship Id="rId30" Type="http://schemas.openxmlformats.org/officeDocument/2006/relationships/hyperlink" Target="https://www.sec.gov/Archives/edgar/data/1818331/000162828021014760/exhibit109-super8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2025-02-20T07:16:44Z</dcterms:created>
  <dcterms:modified xsi:type="dcterms:W3CDTF">2025-02-20T07:16:44Z</dcterms:modified>
</cp:coreProperties>
</file>