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23, 2024</w:t>
      </w:r>
    </w:p>
    <w:p>
      <w:pPr>
        <w:jc w:val="right"/>
        <w:spacing w:after="0" w:line="213" w:lineRule="auto"/>
        <w:rPr>
          <w:sz w:val="20"/>
          <w:szCs w:val="20"/>
          <w:color w:val="auto"/>
        </w:rPr>
      </w:pPr>
      <w:r>
        <w:rPr>
          <w:rFonts w:ascii="Times New Roman" w:cs="Times New Roman" w:eastAsia="Times New Roman" w:hAnsi="Times New Roman"/>
          <w:sz w:val="18"/>
          <w:szCs w:val="18"/>
          <w:b w:val="1"/>
          <w:bCs w:val="1"/>
          <w:color w:val="auto"/>
        </w:rPr>
        <w:t>Registration No. 333-</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09"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GENEDX HOLDINGS CORP.</w:t>
      </w: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42" w:lineRule="exact"/>
        <w:rPr>
          <w:sz w:val="24"/>
          <w:szCs w:val="24"/>
          <w:color w:val="auto"/>
        </w:rPr>
      </w:pPr>
    </w:p>
    <w:tbl>
      <w:tblPr>
        <w:tblLayout w:type="fixed"/>
        <w:tblInd w:w="2540" w:type="dxa"/>
        <w:tblCellMar>
          <w:top w:w="0" w:type="dxa"/>
          <w:left w:w="0" w:type="dxa"/>
          <w:bottom w:w="0" w:type="dxa"/>
          <w:right w:w="0" w:type="dxa"/>
        </w:tblCellMar>
      </w:tblPr>
      <w:tr>
        <w:trPr>
          <w:trHeight w:val="212"/>
        </w:trPr>
        <w:tc>
          <w:tcPr>
            <w:tcW w:w="4120" w:type="dxa"/>
            <w:vAlign w:val="bottom"/>
          </w:tcPr>
          <w:p>
            <w:pPr>
              <w:jc w:val="center"/>
              <w:ind w:right="18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8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85-1966622</w:t>
            </w:r>
          </w:p>
        </w:tc>
      </w:tr>
      <w:tr>
        <w:trPr>
          <w:trHeight w:val="222"/>
        </w:trPr>
        <w:tc>
          <w:tcPr>
            <w:tcW w:w="4120" w:type="dxa"/>
            <w:vAlign w:val="bottom"/>
          </w:tcPr>
          <w:p>
            <w:pPr>
              <w:jc w:val="center"/>
              <w:ind w:right="1879"/>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3180" w:type="dxa"/>
            <w:vAlign w:val="bottom"/>
          </w:tcPr>
          <w:p>
            <w:pPr>
              <w:jc w:val="center"/>
              <w:ind w:left="18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120" w:type="dxa"/>
            <w:vAlign w:val="bottom"/>
          </w:tcPr>
          <w:p>
            <w:pPr>
              <w:jc w:val="center"/>
              <w:ind w:right="1879"/>
              <w:spacing w:after="0"/>
              <w:rPr>
                <w:sz w:val="20"/>
                <w:szCs w:val="20"/>
                <w:color w:val="auto"/>
              </w:rPr>
            </w:pPr>
            <w:r>
              <w:rPr>
                <w:rFonts w:ascii="Times New Roman" w:cs="Times New Roman" w:eastAsia="Times New Roman" w:hAnsi="Times New Roman"/>
                <w:sz w:val="16"/>
                <w:szCs w:val="16"/>
                <w:color w:val="auto"/>
              </w:rPr>
              <w:t>of Incorporation or Organization)</w:t>
            </w:r>
          </w:p>
        </w:tc>
        <w:tc>
          <w:tcPr>
            <w:tcW w:w="318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jc w:val="center"/>
        <w:spacing w:after="0" w:line="222" w:lineRule="auto"/>
        <w:rPr>
          <w:sz w:val="20"/>
          <w:szCs w:val="20"/>
          <w:color w:val="auto"/>
        </w:rPr>
      </w:pPr>
      <w:r>
        <w:rPr>
          <w:rFonts w:ascii="Times New Roman" w:cs="Times New Roman" w:eastAsia="Times New Roman" w:hAnsi="Times New Roman"/>
          <w:sz w:val="18"/>
          <w:szCs w:val="18"/>
          <w:b w:val="1"/>
          <w:bCs w:val="1"/>
          <w:color w:val="auto"/>
        </w:rPr>
        <w:t>Stamford, Connecticut 06902</w:t>
      </w:r>
    </w:p>
    <w:p>
      <w:pPr>
        <w:jc w:val="center"/>
        <w:ind w:left="340" w:right="2220"/>
        <w:spacing w:after="0"/>
        <w:rPr>
          <w:sz w:val="20"/>
          <w:szCs w:val="20"/>
          <w:color w:val="auto"/>
        </w:rPr>
      </w:pPr>
      <w:r>
        <w:rPr>
          <w:rFonts w:ascii="Times New Roman" w:cs="Times New Roman" w:eastAsia="Times New Roman" w:hAnsi="Times New Roman"/>
          <w:sz w:val="16"/>
          <w:szCs w:val="16"/>
          <w:color w:val="auto"/>
        </w:rPr>
        <w:t xml:space="preserve">(Address of Principal Executive Offices) (Zip Code) </w:t>
      </w:r>
      <w:r>
        <w:rPr>
          <w:rFonts w:ascii="Times New Roman" w:cs="Times New Roman" w:eastAsia="Times New Roman" w:hAnsi="Times New Roman"/>
          <w:sz w:val="16"/>
          <w:szCs w:val="16"/>
          <w:b w:val="1"/>
          <w:bCs w:val="1"/>
          <w:color w:val="auto"/>
        </w:rPr>
        <w:t xml:space="preserve">GENEDX HOLDINGS CORP. AMENDED AND RESTATED 2021 EQUITY INCENTIVE PLAN GENEDX HOLDINGS CORP. 2021 EMPLOYEE STOCK PURCHASE PLAN </w:t>
      </w:r>
      <w:r>
        <w:rPr>
          <w:rFonts w:ascii="Times New Roman" w:cs="Times New Roman" w:eastAsia="Times New Roman" w:hAnsi="Times New Roman"/>
          <w:sz w:val="16"/>
          <w:szCs w:val="16"/>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Katherine Stueland</w:t>
      </w:r>
    </w:p>
    <w:p>
      <w:pPr>
        <w:ind w:left="4720"/>
        <w:spacing w:after="0" w:line="210"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jc w:val="center"/>
        <w:spacing w:after="0" w:line="223" w:lineRule="auto"/>
        <w:rPr>
          <w:sz w:val="20"/>
          <w:szCs w:val="20"/>
          <w:color w:val="auto"/>
        </w:rPr>
      </w:pPr>
      <w:r>
        <w:rPr>
          <w:rFonts w:ascii="Times New Roman" w:cs="Times New Roman" w:eastAsia="Times New Roman" w:hAnsi="Times New Roman"/>
          <w:sz w:val="18"/>
          <w:szCs w:val="18"/>
          <w:b w:val="1"/>
          <w:bCs w:val="1"/>
          <w:color w:val="auto"/>
        </w:rPr>
        <w:t>Stamford, Connecticut 06902</w:t>
      </w:r>
    </w:p>
    <w:p>
      <w:pPr>
        <w:jc w:val="center"/>
        <w:spacing w:after="0" w:line="208" w:lineRule="auto"/>
        <w:rPr>
          <w:sz w:val="20"/>
          <w:szCs w:val="20"/>
          <w:color w:val="auto"/>
        </w:rPr>
      </w:pPr>
      <w:r>
        <w:rPr>
          <w:rFonts w:ascii="Times New Roman" w:cs="Times New Roman" w:eastAsia="Times New Roman" w:hAnsi="Times New Roman"/>
          <w:sz w:val="16"/>
          <w:szCs w:val="16"/>
          <w:color w:val="auto"/>
        </w:rPr>
        <w:t>(Name and Address of Agent For Service)</w:t>
      </w:r>
    </w:p>
    <w:p>
      <w:pPr>
        <w:jc w:val="center"/>
        <w:spacing w:after="0" w:line="206" w:lineRule="auto"/>
        <w:rPr>
          <w:sz w:val="20"/>
          <w:szCs w:val="20"/>
          <w:color w:val="auto"/>
        </w:rPr>
      </w:pPr>
      <w:r>
        <w:rPr>
          <w:rFonts w:ascii="Times New Roman" w:cs="Times New Roman" w:eastAsia="Times New Roman" w:hAnsi="Times New Roman"/>
          <w:sz w:val="18"/>
          <w:szCs w:val="18"/>
          <w:b w:val="1"/>
          <w:bCs w:val="1"/>
          <w:color w:val="auto"/>
        </w:rPr>
        <w:t>(888) 729-1206</w:t>
      </w:r>
    </w:p>
    <w:p>
      <w:pPr>
        <w:jc w:val="center"/>
        <w:spacing w:after="0"/>
        <w:rPr>
          <w:sz w:val="20"/>
          <w:szCs w:val="20"/>
          <w:color w:val="auto"/>
        </w:rPr>
      </w:pPr>
      <w:r>
        <w:rPr>
          <w:rFonts w:ascii="Times New Roman" w:cs="Times New Roman" w:eastAsia="Times New Roman" w:hAnsi="Times New Roman"/>
          <w:sz w:val="16"/>
          <w:szCs w:val="16"/>
          <w:i w:val="1"/>
          <w:i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50" w:lineRule="exact"/>
        <w:rPr>
          <w:sz w:val="24"/>
          <w:szCs w:val="24"/>
          <w:color w:val="auto"/>
        </w:rPr>
      </w:pPr>
    </w:p>
    <w:tbl>
      <w:tblPr>
        <w:tblLayout w:type="fixed"/>
        <w:tblInd w:w="1860" w:type="dxa"/>
        <w:tblCellMar>
          <w:top w:w="0" w:type="dxa"/>
          <w:left w:w="0" w:type="dxa"/>
          <w:bottom w:w="0" w:type="dxa"/>
          <w:right w:w="0" w:type="dxa"/>
        </w:tblCellMar>
      </w:tblPr>
      <w:tr>
        <w:trPr>
          <w:trHeight w:val="184"/>
        </w:trPr>
        <w:tc>
          <w:tcPr>
            <w:tcW w:w="350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Ethan Skerry</w:t>
            </w:r>
          </w:p>
        </w:tc>
        <w:tc>
          <w:tcPr>
            <w:tcW w:w="4540" w:type="dxa"/>
            <w:vAlign w:val="bottom"/>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rPr>
              <w:t>Kevin Feeley</w:t>
            </w:r>
          </w:p>
        </w:tc>
      </w:tr>
      <w:tr>
        <w:trPr>
          <w:trHeight w:val="162"/>
        </w:trPr>
        <w:tc>
          <w:tcPr>
            <w:tcW w:w="3500" w:type="dxa"/>
            <w:vAlign w:val="bottom"/>
          </w:tcPr>
          <w:p>
            <w:pPr>
              <w:jc w:val="center"/>
              <w:ind w:right="1499"/>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Per B. Chilstrom</w:t>
            </w:r>
          </w:p>
        </w:tc>
        <w:tc>
          <w:tcPr>
            <w:tcW w:w="4540" w:type="dxa"/>
            <w:vAlign w:val="bottom"/>
          </w:tcPr>
          <w:p>
            <w:pPr>
              <w:jc w:val="center"/>
              <w:ind w:left="1499"/>
              <w:spacing w:after="0" w:line="162" w:lineRule="exact"/>
              <w:rPr>
                <w:sz w:val="20"/>
                <w:szCs w:val="20"/>
                <w:color w:val="auto"/>
              </w:rPr>
            </w:pPr>
            <w:r>
              <w:rPr>
                <w:rFonts w:ascii="Times New Roman" w:cs="Times New Roman" w:eastAsia="Times New Roman" w:hAnsi="Times New Roman"/>
                <w:sz w:val="16"/>
                <w:szCs w:val="16"/>
                <w:b w:val="1"/>
                <w:bCs w:val="1"/>
                <w:color w:val="auto"/>
              </w:rPr>
              <w:t>Chief Financial Officer</w:t>
            </w:r>
          </w:p>
        </w:tc>
      </w:tr>
      <w:tr>
        <w:trPr>
          <w:trHeight w:val="162"/>
        </w:trPr>
        <w:tc>
          <w:tcPr>
            <w:tcW w:w="3500" w:type="dxa"/>
            <w:vAlign w:val="bottom"/>
          </w:tcPr>
          <w:p>
            <w:pPr>
              <w:jc w:val="center"/>
              <w:ind w:right="1499"/>
              <w:spacing w:after="0" w:line="162" w:lineRule="exact"/>
              <w:rPr>
                <w:sz w:val="20"/>
                <w:szCs w:val="20"/>
                <w:color w:val="auto"/>
              </w:rPr>
            </w:pPr>
            <w:r>
              <w:rPr>
                <w:rFonts w:ascii="Times New Roman" w:cs="Times New Roman" w:eastAsia="Times New Roman" w:hAnsi="Times New Roman"/>
                <w:sz w:val="16"/>
                <w:szCs w:val="16"/>
                <w:b w:val="1"/>
                <w:bCs w:val="1"/>
                <w:color w:val="auto"/>
                <w:w w:val="99"/>
              </w:rPr>
              <w:t>Fenwick &amp; West LLP</w:t>
            </w:r>
          </w:p>
        </w:tc>
        <w:tc>
          <w:tcPr>
            <w:tcW w:w="4540" w:type="dxa"/>
            <w:vAlign w:val="bottom"/>
          </w:tcPr>
          <w:p>
            <w:pPr>
              <w:jc w:val="center"/>
              <w:ind w:left="1519"/>
              <w:spacing w:after="0" w:line="162" w:lineRule="exact"/>
              <w:rPr>
                <w:sz w:val="20"/>
                <w:szCs w:val="20"/>
                <w:color w:val="auto"/>
              </w:rPr>
            </w:pPr>
            <w:r>
              <w:rPr>
                <w:rFonts w:ascii="Times New Roman" w:cs="Times New Roman" w:eastAsia="Times New Roman" w:hAnsi="Times New Roman"/>
                <w:sz w:val="16"/>
                <w:szCs w:val="16"/>
                <w:b w:val="1"/>
                <w:bCs w:val="1"/>
                <w:color w:val="auto"/>
              </w:rPr>
              <w:t>GeneDx Holdings Corp.</w:t>
            </w:r>
          </w:p>
        </w:tc>
      </w:tr>
      <w:tr>
        <w:trPr>
          <w:trHeight w:val="162"/>
        </w:trPr>
        <w:tc>
          <w:tcPr>
            <w:tcW w:w="3500" w:type="dxa"/>
            <w:vAlign w:val="bottom"/>
          </w:tcPr>
          <w:p>
            <w:pPr>
              <w:jc w:val="center"/>
              <w:ind w:right="1499"/>
              <w:spacing w:after="0" w:line="162" w:lineRule="exact"/>
              <w:rPr>
                <w:sz w:val="20"/>
                <w:szCs w:val="20"/>
                <w:color w:val="auto"/>
              </w:rPr>
            </w:pPr>
            <w:r>
              <w:rPr>
                <w:rFonts w:ascii="Times New Roman" w:cs="Times New Roman" w:eastAsia="Times New Roman" w:hAnsi="Times New Roman"/>
                <w:sz w:val="16"/>
                <w:szCs w:val="16"/>
                <w:b w:val="1"/>
                <w:bCs w:val="1"/>
                <w:color w:val="auto"/>
              </w:rPr>
              <w:t>902 Broadway</w:t>
            </w:r>
          </w:p>
        </w:tc>
        <w:tc>
          <w:tcPr>
            <w:tcW w:w="4540" w:type="dxa"/>
            <w:vAlign w:val="bottom"/>
          </w:tcPr>
          <w:p>
            <w:pPr>
              <w:jc w:val="center"/>
              <w:ind w:left="15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333 Ludlow Street, North Tower, 6th Floor</w:t>
            </w:r>
          </w:p>
        </w:tc>
      </w:tr>
      <w:tr>
        <w:trPr>
          <w:trHeight w:val="162"/>
        </w:trPr>
        <w:tc>
          <w:tcPr>
            <w:tcW w:w="3500" w:type="dxa"/>
            <w:vAlign w:val="bottom"/>
          </w:tcPr>
          <w:p>
            <w:pPr>
              <w:jc w:val="center"/>
              <w:ind w:right="1499"/>
              <w:spacing w:after="0" w:line="162" w:lineRule="exact"/>
              <w:rPr>
                <w:sz w:val="20"/>
                <w:szCs w:val="20"/>
                <w:color w:val="auto"/>
              </w:rPr>
            </w:pPr>
            <w:r>
              <w:rPr>
                <w:rFonts w:ascii="Times New Roman" w:cs="Times New Roman" w:eastAsia="Times New Roman" w:hAnsi="Times New Roman"/>
                <w:sz w:val="16"/>
                <w:szCs w:val="16"/>
                <w:b w:val="1"/>
                <w:bCs w:val="1"/>
                <w:color w:val="auto"/>
              </w:rPr>
              <w:t>New York, New York 10010</w:t>
            </w:r>
          </w:p>
        </w:tc>
        <w:tc>
          <w:tcPr>
            <w:tcW w:w="4540" w:type="dxa"/>
            <w:vAlign w:val="bottom"/>
          </w:tcPr>
          <w:p>
            <w:pPr>
              <w:jc w:val="center"/>
              <w:ind w:left="1519"/>
              <w:spacing w:after="0" w:line="162" w:lineRule="exact"/>
              <w:rPr>
                <w:sz w:val="20"/>
                <w:szCs w:val="20"/>
                <w:color w:val="auto"/>
              </w:rPr>
            </w:pPr>
            <w:r>
              <w:rPr>
                <w:rFonts w:ascii="Times New Roman" w:cs="Times New Roman" w:eastAsia="Times New Roman" w:hAnsi="Times New Roman"/>
                <w:sz w:val="16"/>
                <w:szCs w:val="16"/>
                <w:b w:val="1"/>
                <w:bCs w:val="1"/>
                <w:color w:val="auto"/>
              </w:rPr>
              <w:t>Stamford, Connecticut 06902</w:t>
            </w:r>
          </w:p>
        </w:tc>
      </w:tr>
      <w:tr>
        <w:trPr>
          <w:trHeight w:val="212"/>
        </w:trPr>
        <w:tc>
          <w:tcPr>
            <w:tcW w:w="350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w w:val="99"/>
              </w:rPr>
              <w:t>(212) 430-2600</w:t>
            </w:r>
          </w:p>
        </w:tc>
        <w:tc>
          <w:tcPr>
            <w:tcW w:w="4540" w:type="dxa"/>
            <w:vAlign w:val="bottom"/>
          </w:tcPr>
          <w:p>
            <w:pPr>
              <w:jc w:val="center"/>
              <w:ind w:left="1499"/>
              <w:spacing w:after="0"/>
              <w:rPr>
                <w:sz w:val="20"/>
                <w:szCs w:val="20"/>
                <w:color w:val="auto"/>
              </w:rPr>
            </w:pPr>
            <w:r>
              <w:rPr>
                <w:rFonts w:ascii="Times New Roman" w:cs="Times New Roman" w:eastAsia="Times New Roman" w:hAnsi="Times New Roman"/>
                <w:sz w:val="16"/>
                <w:szCs w:val="16"/>
                <w:b w:val="1"/>
                <w:bCs w:val="1"/>
                <w:color w:val="auto"/>
                <w:w w:val="99"/>
              </w:rPr>
              <w:t>(888) 729-1206</w:t>
            </w:r>
          </w:p>
        </w:tc>
      </w:tr>
    </w:tbl>
    <w:p>
      <w:pPr>
        <w:spacing w:after="0" w:line="200" w:lineRule="exact"/>
        <w:rPr>
          <w:sz w:val="24"/>
          <w:szCs w:val="24"/>
          <w:color w:val="auto"/>
        </w:rPr>
      </w:pPr>
    </w:p>
    <w:p>
      <w:pPr>
        <w:spacing w:after="0" w:line="357"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8"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88" w:lineRule="exact"/>
        <w:rPr>
          <w:sz w:val="24"/>
          <w:szCs w:val="24"/>
          <w:color w:val="auto"/>
        </w:rPr>
      </w:pPr>
    </w:p>
    <w:p>
      <w:pPr>
        <w:sectPr>
          <w:pgSz w:w="11900" w:h="16838" w:orient="portrait"/>
          <w:cols w:equalWidth="0" w:num="2">
            <w:col w:w="4460" w:space="720"/>
            <w:col w:w="6060"/>
          </w:cols>
          <w:pgMar w:left="320" w:top="1440" w:right="339" w:bottom="1440" w:gutter="0" w:footer="0" w:header="0"/>
          <w:type w:val="continuous"/>
        </w:sect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82" w:lineRule="exact"/>
        <w:rPr>
          <w:sz w:val="24"/>
          <w:szCs w:val="24"/>
          <w:color w:val="auto"/>
        </w:rPr>
      </w:pPr>
    </w:p>
    <w:p>
      <w:pPr>
        <w:sectPr>
          <w:pgSz w:w="11900" w:h="16838" w:orient="portrait"/>
          <w:cols w:equalWidth="0" w:num="2">
            <w:col w:w="4460" w:space="720"/>
            <w:col w:w="6060"/>
          </w:cols>
          <w:pgMar w:left="320" w:top="1440" w:right="339" w:bottom="1440" w:gutter="0" w:footer="0" w:header="0"/>
          <w:type w:val="continuous"/>
        </w:sectPr>
      </w:pPr>
    </w:p>
    <w:p>
      <w:pPr>
        <w:ind w:right="580"/>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SHARES PURSUANT TO GENERAL INSTRUCTION 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General Instruction E of Form S-8, GeneDx Holdings Corp., a Delaware corporation (the “Registrant”), is filing this registration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statement on Form S-8 (this “Registration Statement”) with the Securities and Exchange Commission (the “Commission”) to register (a) 1,298,943 additional shares of Class A common stock (“Class A Common Stock”) available for issuance under the GeneDx Holdings Corp. Amended and Restated 2021 Equity Incentive Plan (the “2021 EIP”), pursuant to the evergreen provisions of the 2021 EIP providing for an annual 5% automatic increase in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number of shares reserved for issuance under the 2021 EIP, and (b) 259,788 additional shares of Class A Common Stock available for issuance under the GeneDx Holdings Corp. 2021 Employee Stock Purchase Plan (the “2021 ESPP”), pursuant to the evergreen provisions of the 2021 ESPP providing for an annual 1% automatic increase in the number of shares reserved for issuance under the 2021 ESPP.</w:t>
      </w:r>
    </w:p>
    <w:p>
      <w:pPr>
        <w:spacing w:after="0" w:line="199" w:lineRule="exact"/>
        <w:rPr>
          <w:sz w:val="20"/>
          <w:szCs w:val="20"/>
          <w:color w:val="auto"/>
        </w:rPr>
      </w:pPr>
    </w:p>
    <w:p>
      <w:pPr>
        <w:jc w:val="both"/>
        <w:ind w:firstLine="648"/>
        <w:spacing w:after="0" w:line="2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General Instruction E of Form S-8, this Registration Statement hereby incorporates by reference the contents of the Registrant’s prior registration statements on Form S-8 filed with the Commission on September 27, 2021 (</w:t>
      </w:r>
      <w:hyperlink r:id="rId12">
        <w:r>
          <w:rPr>
            <w:rFonts w:ascii="Times New Roman" w:cs="Times New Roman" w:eastAsia="Times New Roman" w:hAnsi="Times New Roman"/>
            <w:sz w:val="18"/>
            <w:szCs w:val="18"/>
            <w:u w:val="single" w:color="auto"/>
            <w:color w:val="0000FF"/>
          </w:rPr>
          <w:t>Registration No. 333-259815</w:t>
        </w:r>
      </w:hyperlink>
      <w:r>
        <w:rPr>
          <w:rFonts w:ascii="Times New Roman" w:cs="Times New Roman" w:eastAsia="Times New Roman" w:hAnsi="Times New Roman"/>
          <w:sz w:val="18"/>
          <w:szCs w:val="18"/>
          <w:color w:val="auto"/>
        </w:rPr>
        <w:t>) (the “First Prior Registration Statement”), January 25, 2022 (</w:t>
      </w:r>
      <w:hyperlink r:id="rId13">
        <w:r>
          <w:rPr>
            <w:rFonts w:ascii="Times New Roman" w:cs="Times New Roman" w:eastAsia="Times New Roman" w:hAnsi="Times New Roman"/>
            <w:sz w:val="18"/>
            <w:szCs w:val="18"/>
            <w:u w:val="single" w:color="auto"/>
            <w:color w:val="0000FF"/>
          </w:rPr>
          <w:t>Registration No. 333-262338</w:t>
        </w:r>
      </w:hyperlink>
      <w:r>
        <w:rPr>
          <w:rFonts w:ascii="Times New Roman" w:cs="Times New Roman" w:eastAsia="Times New Roman" w:hAnsi="Times New Roman"/>
          <w:sz w:val="18"/>
          <w:szCs w:val="18"/>
          <w:color w:val="auto"/>
        </w:rPr>
        <w:t>) (including the reoffer prospectus contained therein (which reoffer prospectus</w:t>
      </w:r>
    </w:p>
    <w:p>
      <w:pPr>
        <w:spacing w:after="0" w:line="1" w:lineRule="exact"/>
        <w:rPr>
          <w:sz w:val="20"/>
          <w:szCs w:val="20"/>
          <w:color w:val="auto"/>
        </w:rPr>
      </w:pPr>
    </w:p>
    <w:p>
      <w:pPr>
        <w:jc w:val="both"/>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superseded and replaced the reoffer prospectus contained in the First Prior Registration Statement), the “Second Prior Registration Statement”), January 9, 2023 (</w:t>
      </w:r>
      <w:hyperlink r:id="rId14">
        <w:r>
          <w:rPr>
            <w:rFonts w:ascii="Times New Roman" w:cs="Times New Roman" w:eastAsia="Times New Roman" w:hAnsi="Times New Roman"/>
            <w:sz w:val="18"/>
            <w:szCs w:val="18"/>
            <w:u w:val="single" w:color="auto"/>
            <w:color w:val="0000FF"/>
          </w:rPr>
          <w:t>Registration No. 333-269165</w:t>
        </w:r>
      </w:hyperlink>
      <w:r>
        <w:rPr>
          <w:rFonts w:ascii="Times New Roman" w:cs="Times New Roman" w:eastAsia="Times New Roman" w:hAnsi="Times New Roman"/>
          <w:sz w:val="18"/>
          <w:szCs w:val="18"/>
          <w:color w:val="auto"/>
        </w:rPr>
        <w:t>) (the “Third Prior Registration Statement”) and April 25, 2023 (</w:t>
      </w:r>
      <w:hyperlink r:id="rId15">
        <w:r>
          <w:rPr>
            <w:rFonts w:ascii="Times New Roman" w:cs="Times New Roman" w:eastAsia="Times New Roman" w:hAnsi="Times New Roman"/>
            <w:sz w:val="18"/>
            <w:szCs w:val="18"/>
            <w:u w:val="single" w:color="auto"/>
            <w:color w:val="0000FF"/>
          </w:rPr>
          <w:t>Registration No. 333-271432</w:t>
        </w:r>
      </w:hyperlink>
      <w:r>
        <w:rPr>
          <w:rFonts w:ascii="Times New Roman" w:cs="Times New Roman" w:eastAsia="Times New Roman" w:hAnsi="Times New Roman"/>
          <w:sz w:val="18"/>
          <w:szCs w:val="18"/>
          <w:color w:val="auto"/>
        </w:rPr>
        <w:t>) (the “Fourth Prior Registration Statement”), except to the extent supplemented, amended or superseded by the information set forth herein.</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ind w:right="2820" w:firstLine="2821"/>
        <w:spacing w:after="0" w:line="211" w:lineRule="auto"/>
        <w:rPr>
          <w:sz w:val="20"/>
          <w:szCs w:val="20"/>
          <w:color w:val="auto"/>
        </w:rPr>
      </w:pPr>
      <w:r>
        <w:rPr>
          <w:rFonts w:ascii="Times New Roman" w:cs="Times New Roman" w:eastAsia="Times New Roman" w:hAnsi="Times New Roman"/>
          <w:sz w:val="18"/>
          <w:szCs w:val="18"/>
          <w:b w:val="1"/>
          <w:bCs w:val="1"/>
          <w:color w:val="auto"/>
        </w:rPr>
        <w:t>INFORMATION REQUIRED IN THE REGISTRATION STATEMENT Item 3. Incorporation of Documents by Reference.</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The following documents filed by GeneDx Holdings Corp. (the “Registrant”) with the Securities and Exchange Commission (the “Commission”) pursuant to the Securities Act of 1933, as amended (the “Securities Act”), and the Securities Exchange Act of 1934, as amended (the “Exchange Act”), are</w:t>
      </w:r>
    </w:p>
    <w:p>
      <w:pPr>
        <w:spacing w:after="0" w:line="204" w:lineRule="auto"/>
        <w:rPr>
          <w:sz w:val="20"/>
          <w:szCs w:val="20"/>
          <w:color w:val="auto"/>
        </w:rPr>
      </w:pPr>
      <w:r>
        <w:rPr>
          <w:rFonts w:ascii="Times New Roman" w:cs="Times New Roman" w:eastAsia="Times New Roman" w:hAnsi="Times New Roman"/>
          <w:sz w:val="18"/>
          <w:szCs w:val="18"/>
          <w:color w:val="auto"/>
        </w:rPr>
        <w:t>incorporated herein by reference:</w:t>
      </w:r>
    </w:p>
    <w:p>
      <w:pPr>
        <w:ind w:left="520" w:hanging="382"/>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fiscal year ended December 31, 2023, filed with the Commission on </w:t>
      </w:r>
      <w:hyperlink r:id="rId16">
        <w:r>
          <w:rPr>
            <w:rFonts w:ascii="Times New Roman" w:cs="Times New Roman" w:eastAsia="Times New Roman" w:hAnsi="Times New Roman"/>
            <w:sz w:val="18"/>
            <w:szCs w:val="18"/>
            <w:u w:val="single" w:color="auto"/>
            <w:color w:val="0000FF"/>
          </w:rPr>
          <w:t>February 23, 2024</w:t>
        </w:r>
      </w:hyperlink>
      <w:r>
        <w:rPr>
          <w:rFonts w:ascii="Times New Roman" w:cs="Times New Roman" w:eastAsia="Times New Roman" w:hAnsi="Times New Roman"/>
          <w:sz w:val="18"/>
          <w:szCs w:val="18"/>
          <w:color w:val="auto"/>
        </w:rPr>
        <w:t>; and</w:t>
      </w:r>
    </w:p>
    <w:p>
      <w:pPr>
        <w:spacing w:after="0" w:line="110" w:lineRule="exact"/>
        <w:rPr>
          <w:rFonts w:ascii="Times New Roman" w:cs="Times New Roman" w:eastAsia="Times New Roman" w:hAnsi="Times New Roman"/>
          <w:sz w:val="18"/>
          <w:szCs w:val="18"/>
          <w:color w:val="auto"/>
        </w:rPr>
      </w:pPr>
    </w:p>
    <w:p>
      <w:pPr>
        <w:jc w:val="both"/>
        <w:ind w:left="460" w:hanging="322"/>
        <w:spacing w:after="0" w:line="224" w:lineRule="auto"/>
        <w:tabs>
          <w:tab w:leader="none" w:pos="70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Class A Common Stock contained in the Registrant’s Registration Statement on </w:t>
      </w:r>
      <w:hyperlink r:id="rId17">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Commission on August 31, 2020, as updated by the description of the Registrant’s Class A Common Stock contained in Exhibit 4.4 to the Annual Report on </w:t>
      </w:r>
      <w:hyperlink r:id="rId1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Commission on March 16, 2023, including any subsequent amendments or reports filed for the purpose of updating such description.</w:t>
      </w:r>
    </w:p>
    <w:p>
      <w:pPr>
        <w:spacing w:after="0" w:line="199" w:lineRule="exact"/>
        <w:rPr>
          <w:rFonts w:ascii="Times New Roman" w:cs="Times New Roman" w:eastAsia="Times New Roman" w:hAnsi="Times New Roman"/>
          <w:sz w:val="18"/>
          <w:szCs w:val="18"/>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or 15(d) of the Exchange Act, prior to the filing of a post-effective amendment to the Registration Statement which indicates that all securities offered hereby have been sold or which deregisters all securities then remaining unsold, shall be deemed to be incorporated by reference into this Registration Statement and to be a part hereof</w:t>
      </w:r>
    </w:p>
    <w:p>
      <w:pPr>
        <w:spacing w:after="0" w:line="1" w:lineRule="exact"/>
        <w:rPr>
          <w:rFonts w:ascii="Times New Roman" w:cs="Times New Roman" w:eastAsia="Times New Roman" w:hAnsi="Times New Roman"/>
          <w:sz w:val="18"/>
          <w:szCs w:val="18"/>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from the date of the filing of such documents, except that information furnished to the Commission under Item 2.02 or Item 7.01 in Current Reports on Form 8-K and any exhibit relating to such information, shall not be deemed to be incorporated by reference in this Registration Statement.</w:t>
      </w:r>
    </w:p>
    <w:p>
      <w:pPr>
        <w:spacing w:after="0" w:line="184"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Registration Statement shall be</w:t>
      </w:r>
    </w:p>
    <w:p>
      <w:pPr>
        <w:spacing w:after="0" w:line="2" w:lineRule="exact"/>
        <w:rPr>
          <w:rFonts w:ascii="Times New Roman" w:cs="Times New Roman" w:eastAsia="Times New Roman" w:hAnsi="Times New Roman"/>
          <w:sz w:val="18"/>
          <w:szCs w:val="18"/>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deemed to be modified or superseded for purposes of this Registration Statement to the extent that a statement contained in this Registration Statement, or in any other subsequently filed document which also is or is deemed to be incorporated by reference in this Registration Statement, modifies or supersedes such earlier statement. Any statement so modified or superseded shall not be deemed, except as so modified or superseded, to constitute a part of this</w:t>
      </w:r>
    </w:p>
    <w:p>
      <w:pPr>
        <w:spacing w:after="0" w:line="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w:t>
      </w:r>
    </w:p>
    <w:p>
      <w:pPr>
        <w:sectPr>
          <w:pgSz w:w="11900" w:h="16838" w:orient="portrait"/>
          <w:cols w:equalWidth="0" w:num="1">
            <w:col w:w="11240"/>
          </w:cols>
          <w:pgMar w:left="320" w:top="1392" w:right="339" w:bottom="1440" w:gutter="0" w:footer="0" w:header="0"/>
        </w:sectPr>
      </w:pPr>
    </w:p>
    <w:bookmarkStart w:id="3" w:name="page4"/>
    <w:bookmarkEnd w:id="3"/>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86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23"/>
        </w:trPr>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19">
              <w:r>
                <w:rPr>
                  <w:rFonts w:ascii="Times New Roman" w:cs="Times New Roman" w:eastAsia="Times New Roman" w:hAnsi="Times New Roman"/>
                  <w:sz w:val="16"/>
                  <w:szCs w:val="16"/>
                  <w:color w:val="0000FF"/>
                </w:rPr>
                <w:t>Third Amended and Restated Certificate of Incorporation</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9">
              <w:r>
                <w:rPr>
                  <w:rFonts w:ascii="Times New Roman" w:cs="Times New Roman" w:eastAsia="Times New Roman" w:hAnsi="Times New Roman"/>
                  <w:sz w:val="16"/>
                  <w:szCs w:val="16"/>
                  <w:color w:val="0000FF"/>
                </w:rPr>
                <w:t>of the Registrant</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0">
              <w:r>
                <w:rPr>
                  <w:rFonts w:ascii="Times New Roman" w:cs="Times New Roman" w:eastAsia="Times New Roman" w:hAnsi="Times New Roman"/>
                  <w:sz w:val="16"/>
                  <w:szCs w:val="16"/>
                  <w:color w:val="0000FF"/>
                </w:rPr>
                <w:t>First Certificate of Amendment to the Third Amended and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20">
              <w:r>
                <w:rPr>
                  <w:rFonts w:ascii="Times New Roman" w:cs="Times New Roman" w:eastAsia="Times New Roman" w:hAnsi="Times New Roman"/>
                  <w:sz w:val="16"/>
                  <w:szCs w:val="16"/>
                  <w:color w:val="0000FF"/>
                </w:rPr>
                <w:t>Restated Certificate of Incorporation of the Registrant</w:t>
              </w:r>
            </w:hyperlink>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1">
              <w:r>
                <w:rPr>
                  <w:rFonts w:ascii="Times New Roman" w:cs="Times New Roman" w:eastAsia="Times New Roman" w:hAnsi="Times New Roman"/>
                  <w:sz w:val="16"/>
                  <w:szCs w:val="16"/>
                  <w:color w:val="0000FF"/>
                </w:rPr>
                <w:t>Second Certificate of Amendment to the Third Amended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w w:val="98"/>
              </w:rPr>
            </w:pPr>
            <w:hyperlink r:id="rId21">
              <w:r>
                <w:rPr>
                  <w:rFonts w:ascii="Times New Roman" w:cs="Times New Roman" w:eastAsia="Times New Roman" w:hAnsi="Times New Roman"/>
                  <w:sz w:val="16"/>
                  <w:szCs w:val="16"/>
                  <w:color w:val="0000FF"/>
                  <w:w w:val="98"/>
                </w:rPr>
                <w:t>and Restated Certificate of Incorporation of the Registrant</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2">
              <w:r>
                <w:rPr>
                  <w:rFonts w:ascii="Times New Roman" w:cs="Times New Roman" w:eastAsia="Times New Roman" w:hAnsi="Times New Roman"/>
                  <w:sz w:val="16"/>
                  <w:szCs w:val="16"/>
                  <w:color w:val="0000FF"/>
                </w:rPr>
                <w:t>Third Certificate of Amendment to the Third Amended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13"/>
          </w:tcPr>
          <w:p>
            <w:pPr>
              <w:spacing w:after="0" w:line="142" w:lineRule="exact"/>
              <w:rPr>
                <w:rFonts w:ascii="Times New Roman" w:cs="Times New Roman" w:eastAsia="Times New Roman" w:hAnsi="Times New Roman"/>
                <w:sz w:val="16"/>
                <w:szCs w:val="16"/>
                <w:color w:val="0000FF"/>
                <w:w w:val="96"/>
              </w:rPr>
            </w:pPr>
            <w:hyperlink r:id="rId22">
              <w:r>
                <w:rPr>
                  <w:rFonts w:ascii="Times New Roman" w:cs="Times New Roman" w:eastAsia="Times New Roman" w:hAnsi="Times New Roman"/>
                  <w:sz w:val="16"/>
                  <w:szCs w:val="16"/>
                  <w:color w:val="0000FF"/>
                  <w:w w:val="96"/>
                </w:rPr>
                <w:t>and Restated Certificate of Incorporation of the Registrant</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color w:val="0000FF"/>
                </w:rPr>
                <w:t>Amended and Restated Bylaws of the Registrant as</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23">
              <w:r>
                <w:rPr>
                  <w:rFonts w:ascii="Times New Roman" w:cs="Times New Roman" w:eastAsia="Times New Roman" w:hAnsi="Times New Roman"/>
                  <w:sz w:val="16"/>
                  <w:szCs w:val="16"/>
                  <w:color w:val="0000FF"/>
                  <w:w w:val="99"/>
                </w:rPr>
                <w:t>currently in effect</w:t>
              </w:r>
            </w:hyperlink>
          </w:p>
        </w:tc>
        <w:tc>
          <w:tcPr>
            <w:tcW w:w="2160" w:type="dxa"/>
            <w:vAlign w:val="bottom"/>
            <w:tcBorders>
              <w:top w:val="single" w:sz="8" w:color="0000FF"/>
            </w:tcBorders>
            <w:gridSpan w:val="3"/>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Opinion of Fenwick &amp; West LLP</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Consent of Ernst &amp; Young LLP, Independent Registered</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Public Accounting Firm for GeneDx Holdings Corp.</w:t>
            </w:r>
          </w:p>
        </w:tc>
        <w:tc>
          <w:tcPr>
            <w:tcW w:w="200" w:type="dxa"/>
            <w:vAlign w:val="bottom"/>
            <w:tcBorders>
              <w:top w:val="single" w:sz="8" w:color="0000FF"/>
            </w:tcBorders>
            <w:gridSpan w:val="4"/>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385"/>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Consent of Fenwick &amp; West LLP (contained in Exhibit</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4"/>
              </w:rPr>
              <w:t>5.</w:t>
            </w:r>
            <w:r>
              <w:rPr>
                <w:rFonts w:ascii="Times New Roman" w:cs="Times New Roman" w:eastAsia="Times New Roman" w:hAnsi="Times New Roman"/>
                <w:sz w:val="16"/>
                <w:szCs w:val="16"/>
                <w:u w:val="single" w:color="auto"/>
                <w:color w:val="0000FF"/>
                <w:w w:val="94"/>
              </w:rPr>
              <w:t>1)</w:t>
            </w:r>
          </w:p>
        </w:tc>
        <w:tc>
          <w:tcPr>
            <w:tcW w:w="6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ind w:left="20"/>
              <w:spacing w:after="0"/>
              <w:rPr>
                <w:sz w:val="20"/>
                <w:szCs w:val="20"/>
                <w:color w:val="auto"/>
              </w:rPr>
            </w:pPr>
            <w:r>
              <w:rPr>
                <w:rFonts w:ascii="Times New Roman" w:cs="Times New Roman" w:eastAsia="Times New Roman" w:hAnsi="Times New Roman"/>
                <w:sz w:val="16"/>
                <w:szCs w:val="16"/>
                <w:color w:val="auto"/>
              </w:rPr>
              <w:t>Power of Attorney (included on the signature page of this</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gridSpan w:val="21"/>
          </w:tcPr>
          <w:p>
            <w:pPr>
              <w:ind w:left="20"/>
              <w:spacing w:after="0"/>
              <w:rPr>
                <w:sz w:val="20"/>
                <w:szCs w:val="20"/>
                <w:color w:val="auto"/>
              </w:rPr>
            </w:pPr>
            <w:r>
              <w:rPr>
                <w:rFonts w:ascii="Times New Roman" w:cs="Times New Roman" w:eastAsia="Times New Roman" w:hAnsi="Times New Roman"/>
                <w:sz w:val="16"/>
                <w:szCs w:val="16"/>
                <w:color w:val="auto"/>
              </w:rPr>
              <w:t>Registration Statement)</w:t>
            </w:r>
          </w:p>
        </w:tc>
        <w:tc>
          <w:tcPr>
            <w:tcW w:w="0" w:type="dxa"/>
            <w:vAlign w:val="bottom"/>
          </w:tcPr>
          <w:p>
            <w:pPr>
              <w:spacing w:after="0"/>
              <w:rPr>
                <w:sz w:val="1"/>
                <w:szCs w:val="1"/>
                <w:color w:val="auto"/>
              </w:rPr>
            </w:pPr>
          </w:p>
        </w:tc>
      </w:tr>
      <w:tr>
        <w:trPr>
          <w:trHeight w:val="235"/>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4">
              <w:r>
                <w:rPr>
                  <w:rFonts w:ascii="Times New Roman" w:cs="Times New Roman" w:eastAsia="Times New Roman" w:hAnsi="Times New Roman"/>
                  <w:sz w:val="16"/>
                  <w:szCs w:val="16"/>
                  <w:color w:val="0000FF"/>
                </w:rPr>
                <w:t>GeneDx Holdings Corp. Amended and Restated 2021</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0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24">
              <w:r>
                <w:rPr>
                  <w:rFonts w:ascii="Times New Roman" w:cs="Times New Roman" w:eastAsia="Times New Roman" w:hAnsi="Times New Roman"/>
                  <w:sz w:val="16"/>
                  <w:szCs w:val="16"/>
                  <w:color w:val="0000FF"/>
                </w:rPr>
                <w:t>Equity Incentive Plan</w:t>
              </w:r>
            </w:hyperlink>
          </w:p>
        </w:tc>
        <w:tc>
          <w:tcPr>
            <w:tcW w:w="1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99.2</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5">
              <w:r>
                <w:rPr>
                  <w:rFonts w:ascii="Times New Roman" w:cs="Times New Roman" w:eastAsia="Times New Roman" w:hAnsi="Times New Roman"/>
                  <w:sz w:val="16"/>
                  <w:szCs w:val="16"/>
                  <w:color w:val="0000FF"/>
                </w:rPr>
                <w:t>Form of Stock Option Agreement under the GeneDx</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25">
              <w:r>
                <w:rPr>
                  <w:rFonts w:ascii="Times New Roman" w:cs="Times New Roman" w:eastAsia="Times New Roman" w:hAnsi="Times New Roman"/>
                  <w:sz w:val="16"/>
                  <w:szCs w:val="16"/>
                  <w:color w:val="0000FF"/>
                </w:rPr>
                <w:t>Holdings Corp. Amended and Restated 2021 Equity</w:t>
              </w:r>
            </w:hyperlink>
          </w:p>
        </w:tc>
        <w:tc>
          <w:tcPr>
            <w:tcW w:w="80" w:type="dxa"/>
            <w:vAlign w:val="bottom"/>
            <w:gridSpan w:val="2"/>
          </w:tcPr>
          <w:p>
            <w:pPr>
              <w:spacing w:after="0"/>
              <w:rPr>
                <w:sz w:val="12"/>
                <w:szCs w:val="12"/>
                <w:color w:val="auto"/>
              </w:rPr>
            </w:pPr>
          </w:p>
        </w:tc>
        <w:tc>
          <w:tcPr>
            <w:tcW w:w="1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25">
              <w:r>
                <w:rPr>
                  <w:rFonts w:ascii="Times New Roman" w:cs="Times New Roman" w:eastAsia="Times New Roman" w:hAnsi="Times New Roman"/>
                  <w:sz w:val="16"/>
                  <w:szCs w:val="16"/>
                  <w:color w:val="0000FF"/>
                  <w:w w:val="99"/>
                </w:rPr>
                <w:t>Incentive Plan</w:t>
              </w:r>
            </w:hyperlink>
          </w:p>
        </w:tc>
        <w:tc>
          <w:tcPr>
            <w:tcW w:w="2440" w:type="dxa"/>
            <w:vAlign w:val="bottom"/>
            <w:tcBorders>
              <w:top w:val="single" w:sz="8" w:color="0000FF"/>
            </w:tcBorders>
            <w:gridSpan w:val="6"/>
          </w:tcPr>
          <w:p>
            <w:pPr>
              <w:spacing w:after="0"/>
              <w:rPr>
                <w:sz w:val="12"/>
                <w:szCs w:val="12"/>
                <w:color w:val="auto"/>
              </w:rPr>
            </w:pPr>
          </w:p>
        </w:tc>
        <w:tc>
          <w:tcPr>
            <w:tcW w:w="120" w:type="dxa"/>
            <w:vAlign w:val="bottom"/>
            <w:gridSpan w:val="3"/>
          </w:tcPr>
          <w:p>
            <w:pPr>
              <w:spacing w:after="0"/>
              <w:rPr>
                <w:sz w:val="12"/>
                <w:szCs w:val="12"/>
                <w:color w:val="auto"/>
              </w:rPr>
            </w:pPr>
          </w:p>
        </w:tc>
        <w:tc>
          <w:tcPr>
            <w:tcW w:w="1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6">
              <w:r>
                <w:rPr>
                  <w:rFonts w:ascii="Times New Roman" w:cs="Times New Roman" w:eastAsia="Times New Roman" w:hAnsi="Times New Roman"/>
                  <w:sz w:val="16"/>
                  <w:szCs w:val="16"/>
                  <w:color w:val="0000FF"/>
                </w:rPr>
                <w:t>Form of RSU Agreement under the GeneDx Holdings</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tcBorders>
              <w:right w:val="single" w:sz="8" w:color="0000FF"/>
            </w:tcBorders>
            <w:gridSpan w:val="10"/>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20" w:type="dxa"/>
            <w:vAlign w:val="bottom"/>
            <w:tcBorders>
              <w:bottom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26">
              <w:r>
                <w:rPr>
                  <w:rFonts w:ascii="Times New Roman" w:cs="Times New Roman" w:eastAsia="Times New Roman" w:hAnsi="Times New Roman"/>
                  <w:sz w:val="16"/>
                  <w:szCs w:val="16"/>
                  <w:color w:val="0000FF"/>
                </w:rPr>
                <w:t>Corp. Amended and Restated 2021 Equity Incentive Plan</w:t>
              </w:r>
            </w:hyperlink>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7">
              <w:r>
                <w:rPr>
                  <w:rFonts w:ascii="Times New Roman" w:cs="Times New Roman" w:eastAsia="Times New Roman" w:hAnsi="Times New Roman"/>
                  <w:sz w:val="16"/>
                  <w:szCs w:val="16"/>
                  <w:color w:val="0000FF"/>
                </w:rPr>
                <w:t>GeneDx Holdings Corp. 2021 Employee Stock Purchase</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8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27">
              <w:r>
                <w:rPr>
                  <w:rFonts w:ascii="Times New Roman" w:cs="Times New Roman" w:eastAsia="Times New Roman" w:hAnsi="Times New Roman"/>
                  <w:sz w:val="16"/>
                  <w:szCs w:val="16"/>
                  <w:color w:val="0000FF"/>
                </w:rPr>
                <w:t>Plan</w:t>
              </w:r>
            </w:hyperlink>
          </w:p>
        </w:tc>
        <w:tc>
          <w:tcPr>
            <w:tcW w:w="18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1240" w:hanging="888"/>
        <w:spacing w:after="0"/>
        <w:tabs>
          <w:tab w:leader="none" w:pos="12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Filing Fee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04"/>
        </w:trPr>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001-39482</w:t>
            </w:r>
          </w:p>
        </w:tc>
        <w:tc>
          <w:tcPr>
            <w:tcW w:w="3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3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28, 2021</w:t>
            </w:r>
          </w:p>
        </w:tc>
      </w:tr>
      <w:tr>
        <w:trPr>
          <w:trHeight w:val="553"/>
        </w:trPr>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001-39482</w:t>
            </w:r>
          </w:p>
        </w:tc>
        <w:tc>
          <w:tcPr>
            <w:tcW w:w="3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3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 2022</w:t>
            </w:r>
          </w:p>
        </w:tc>
      </w:tr>
      <w:tr>
        <w:trPr>
          <w:trHeight w:val="553"/>
        </w:trPr>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001-39482</w:t>
            </w:r>
          </w:p>
        </w:tc>
        <w:tc>
          <w:tcPr>
            <w:tcW w:w="3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3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9, 2023</w:t>
            </w:r>
          </w:p>
        </w:tc>
      </w:tr>
      <w:tr>
        <w:trPr>
          <w:trHeight w:val="378"/>
        </w:trPr>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001-39482</w:t>
            </w:r>
          </w:p>
        </w:tc>
        <w:tc>
          <w:tcPr>
            <w:tcW w:w="3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3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28, 2023</w:t>
            </w:r>
          </w:p>
        </w:tc>
      </w:tr>
      <w:tr>
        <w:trPr>
          <w:trHeight w:val="473"/>
        </w:trPr>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001-39482</w:t>
            </w:r>
          </w:p>
        </w:tc>
        <w:tc>
          <w:tcPr>
            <w:tcW w:w="3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3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9,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5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001-39482</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10.1</w:t>
            </w:r>
          </w:p>
        </w:tc>
        <w:tc>
          <w:tcPr>
            <w:tcW w:w="13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April 17, 2023</w:t>
            </w:r>
          </w:p>
        </w:tc>
      </w:tr>
      <w:tr>
        <w:trPr>
          <w:trHeight w:val="459"/>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5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001-39482</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10.6</w:t>
            </w:r>
          </w:p>
        </w:tc>
        <w:tc>
          <w:tcPr>
            <w:tcW w:w="13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July 28, 2021</w:t>
            </w:r>
          </w:p>
        </w:tc>
      </w:tr>
      <w:tr>
        <w:trPr>
          <w:trHeight w:val="621"/>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5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001-39482</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10.7</w:t>
            </w:r>
          </w:p>
        </w:tc>
        <w:tc>
          <w:tcPr>
            <w:tcW w:w="13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July 28, 2021</w:t>
            </w:r>
          </w:p>
        </w:tc>
      </w:tr>
      <w:tr>
        <w:trPr>
          <w:trHeight w:val="459"/>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5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001-39482</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10.9</w:t>
            </w:r>
          </w:p>
        </w:tc>
        <w:tc>
          <w:tcPr>
            <w:tcW w:w="13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July 28, 2021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167640</wp:posOffset>
            </wp:positionV>
            <wp:extent cx="668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3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X</w:t>
      </w:r>
    </w:p>
    <w:p>
      <w:pPr>
        <w:sectPr>
          <w:pgSz w:w="11900" w:h="16838" w:orient="portrait"/>
          <w:cols w:equalWidth="0" w:num="3">
            <w:col w:w="5100" w:space="280"/>
            <w:col w:w="4520" w:space="520"/>
            <w:col w:w="580"/>
          </w:cols>
          <w:pgMar w:left="320" w:top="1440" w:right="579" w:bottom="1440" w:gutter="0" w:footer="0" w:header="0"/>
        </w:sectPr>
      </w:pPr>
    </w:p>
    <w:bookmarkStart w:id="4" w:name="page5"/>
    <w:bookmarkEnd w:id="4"/>
    <w:p>
      <w:pPr>
        <w:spacing w:after="0" w:line="3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ind w:left="660"/>
        <w:spacing w:after="0" w:line="219"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w:t>
      </w:r>
    </w:p>
    <w:p>
      <w:pPr>
        <w:spacing w:after="0" w:line="226" w:lineRule="auto"/>
        <w:rPr>
          <w:sz w:val="20"/>
          <w:szCs w:val="20"/>
          <w:color w:val="auto"/>
        </w:rPr>
      </w:pPr>
      <w:r>
        <w:rPr>
          <w:rFonts w:ascii="Times New Roman" w:cs="Times New Roman" w:eastAsia="Times New Roman" w:hAnsi="Times New Roman"/>
          <w:sz w:val="18"/>
          <w:szCs w:val="18"/>
          <w:color w:val="auto"/>
        </w:rPr>
        <w:t>requirements for filing on Form S-8 and has duly caused this Registration Statement to be signed on its behalf by the undersigned, thereunto duly authorized, in the City of Stamford, State of Connecticut, on the twenty-third day of February, 2024.</w:t>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308" w:lineRule="exact"/>
        <w:rPr>
          <w:sz w:val="20"/>
          <w:szCs w:val="20"/>
          <w:color w:val="auto"/>
        </w:rPr>
      </w:pPr>
    </w:p>
    <w:p>
      <w:pPr>
        <w:ind w:left="20"/>
        <w:spacing w:after="0"/>
        <w:tabs>
          <w:tab w:leader="none" w:pos="3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35560</wp:posOffset>
            </wp:positionV>
            <wp:extent cx="4620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4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20"/>
          </w:cols>
          <w:pgMar w:left="320" w:top="1440" w:right="359" w:bottom="1440" w:gutter="0" w:footer="0" w:header="0"/>
        </w:sectPr>
      </w:pPr>
    </w:p>
    <w:bookmarkStart w:id="5" w:name="page6"/>
    <w:bookmarkEnd w:id="5"/>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Katherine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Stueland, Kevin Feeley and Devin Schaffer, and each or any one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or could do in person, hereby ratifying and confirming all that said attorneys-in-fact, proxies and agents, or their or his or her substitute or substitutes, may lawfully do or cause to be done by virtue hereof.</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on behalf of the Registrant in the capacities and on the dates indicated.</w:t>
      </w:r>
    </w:p>
    <w:p>
      <w:pPr>
        <w:sectPr>
          <w:pgSz w:w="11900" w:h="16838" w:orient="portrait"/>
          <w:cols w:equalWidth="0" w:num="1">
            <w:col w:w="11240"/>
          </w:cols>
          <w:pgMar w:left="320" w:top="1440" w:right="339" w:bottom="1440" w:gutter="0" w:footer="0" w:header="0"/>
        </w:sectPr>
      </w:pPr>
    </w:p>
    <w:p>
      <w:pPr>
        <w:spacing w:after="0" w:line="22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2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1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Kevin Feeley</w:t>
      </w:r>
    </w:p>
    <w:p>
      <w:pPr>
        <w:spacing w:after="0" w:line="1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Jason Ryan</w:t>
      </w:r>
    </w:p>
    <w:p>
      <w:pPr>
        <w:spacing w:after="0" w:line="1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Eli D.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Eli D. Casdin</w:t>
      </w:r>
    </w:p>
    <w:p>
      <w:pPr>
        <w:spacing w:after="0" w:line="1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Emily Leproust</w:t>
      </w:r>
    </w:p>
    <w:p>
      <w:pPr>
        <w:spacing w:after="0" w:line="1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Keith Meister</w:t>
      </w:r>
    </w:p>
    <w:p>
      <w:pPr>
        <w:spacing w:after="0" w:line="1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Joshua 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Joshua Ruch</w:t>
      </w:r>
    </w:p>
    <w:p>
      <w:pPr>
        <w:spacing w:after="0" w:line="1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Richard Pfenninger,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7774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Richard Pfenninger, Jr.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80" w:type="dxa"/>
            <w:vAlign w:val="bottom"/>
            <w:gridSpan w:val="2"/>
            <w:vMerge w:val="continue"/>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r>
        <w:trPr>
          <w:trHeight w:val="148"/>
        </w:trPr>
        <w:tc>
          <w:tcPr>
            <w:tcW w:w="3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980" w:type="dxa"/>
            <w:vAlign w:val="bottom"/>
            <w:gridSpan w:val="2"/>
            <w:vMerge w:val="continue"/>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3"/>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r>
        <w:trPr>
          <w:trHeight w:val="594"/>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r>
        <w:trPr>
          <w:trHeight w:val="594"/>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r>
        <w:trPr>
          <w:trHeight w:val="594"/>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r>
        <w:trPr>
          <w:trHeight w:val="594"/>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r>
        <w:trPr>
          <w:trHeight w:val="594"/>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bl>
    <w:p>
      <w:pPr>
        <w:sectPr>
          <w:pgSz w:w="11900" w:h="16838" w:orient="portrait"/>
          <w:cols w:equalWidth="0" w:num="2">
            <w:col w:w="3760" w:space="720"/>
            <w:col w:w="6760"/>
          </w:cols>
          <w:pgMar w:left="320" w:top="1440" w:right="339" w:bottom="1440" w:gutter="0" w:footer="0" w:header="0"/>
          <w:type w:val="continuous"/>
        </w:sectPr>
      </w:pPr>
    </w:p>
    <w:bookmarkStart w:id="6" w:name="page7"/>
    <w:bookmarkEnd w:id="6"/>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40575" cy="1954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140575" cy="1954530"/>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Table 1 - Newly Registered Securities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spacing w:after="0"/>
              <w:rPr>
                <w:sz w:val="14"/>
                <w:szCs w:val="14"/>
                <w:color w:val="auto"/>
              </w:rPr>
            </w:pPr>
          </w:p>
        </w:tc>
        <w:tc>
          <w:tcPr>
            <w:tcW w:w="160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Proposed</w:t>
            </w:r>
          </w:p>
        </w:tc>
        <w:tc>
          <w:tcPr>
            <w:tcW w:w="1780" w:type="dxa"/>
            <w:vAlign w:val="bottom"/>
            <w:tcBorders>
              <w:top w:val="single" w:sz="8" w:color="auto"/>
              <w:right w:val="single" w:sz="8" w:color="auto"/>
            </w:tcBorders>
          </w:tcPr>
          <w:p>
            <w:pPr>
              <w:spacing w:after="0"/>
              <w:rPr>
                <w:sz w:val="14"/>
                <w:szCs w:val="14"/>
                <w:color w:val="auto"/>
              </w:rPr>
            </w:pPr>
          </w:p>
        </w:tc>
        <w:tc>
          <w:tcPr>
            <w:tcW w:w="1440" w:type="dxa"/>
            <w:vAlign w:val="bottom"/>
            <w:tcBorders>
              <w:top w:val="single" w:sz="8" w:color="auto"/>
              <w:right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Security Class</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Fee Calculation</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Aggregate</w:t>
            </w:r>
          </w:p>
        </w:tc>
        <w:tc>
          <w:tcPr>
            <w:tcW w:w="1440" w:type="dxa"/>
            <w:vAlign w:val="bottom"/>
            <w:tcBorders>
              <w:right w:val="single" w:sz="8" w:color="auto"/>
            </w:tcBorders>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162"/>
        </w:trPr>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Security Type</w:t>
            </w:r>
          </w:p>
        </w:tc>
        <w:tc>
          <w:tcPr>
            <w:tcW w:w="1260" w:type="dxa"/>
            <w:vAlign w:val="bottom"/>
            <w:tcBorders>
              <w:right w:val="single" w:sz="8" w:color="auto"/>
            </w:tcBorders>
            <w:vMerge w:val="continue"/>
          </w:tcPr>
          <w:p>
            <w:pPr>
              <w:spacing w:after="0"/>
              <w:rPr>
                <w:sz w:val="14"/>
                <w:szCs w:val="14"/>
                <w:color w:val="auto"/>
              </w:rPr>
            </w:pPr>
          </w:p>
        </w:tc>
        <w:tc>
          <w:tcPr>
            <w:tcW w:w="1380" w:type="dxa"/>
            <w:vAlign w:val="bottom"/>
            <w:tcBorders>
              <w:right w:val="single" w:sz="8" w:color="auto"/>
            </w:tcBorders>
            <w:vMerge w:val="continue"/>
          </w:tcPr>
          <w:p>
            <w:pPr>
              <w:spacing w:after="0"/>
              <w:rPr>
                <w:sz w:val="14"/>
                <w:szCs w:val="14"/>
                <w:color w:val="auto"/>
              </w:rPr>
            </w:pPr>
          </w:p>
        </w:tc>
        <w:tc>
          <w:tcPr>
            <w:tcW w:w="160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Offering Price</w:t>
            </w:r>
          </w:p>
        </w:tc>
        <w:tc>
          <w:tcPr>
            <w:tcW w:w="1780" w:type="dxa"/>
            <w:vAlign w:val="bottom"/>
            <w:tcBorders>
              <w:right w:val="single" w:sz="8" w:color="auto"/>
            </w:tcBorders>
            <w:vMerge w:val="continue"/>
          </w:tcPr>
          <w:p>
            <w:pPr>
              <w:spacing w:after="0"/>
              <w:rPr>
                <w:sz w:val="14"/>
                <w:szCs w:val="14"/>
                <w:color w:val="auto"/>
              </w:rPr>
            </w:pPr>
          </w:p>
        </w:tc>
        <w:tc>
          <w:tcPr>
            <w:tcW w:w="1440" w:type="dxa"/>
            <w:vAlign w:val="bottom"/>
            <w:tcBorders>
              <w:right w:val="single" w:sz="8" w:color="auto"/>
            </w:tcBorders>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Fee Rate</w:t>
            </w: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 w:type="dxa"/>
            <w:vAlign w:val="bottom"/>
            <w:tcBorders>
              <w:bottom w:val="single" w:sz="8" w:color="auto"/>
              <w:right w:val="single" w:sz="8" w:color="auto"/>
            </w:tcBorders>
            <w:vMerge w:val="continue"/>
          </w:tcPr>
          <w:p>
            <w:pPr>
              <w:spacing w:after="0"/>
              <w:rPr>
                <w:sz w:val="18"/>
                <w:szCs w:val="18"/>
                <w:color w:val="auto"/>
              </w:rPr>
            </w:pPr>
          </w:p>
        </w:tc>
        <w:tc>
          <w:tcPr>
            <w:tcW w:w="126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160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6"/>
              </w:rPr>
              <w:t>Registered</w:t>
            </w:r>
            <w:r>
              <w:rPr>
                <w:rFonts w:ascii="Times New Roman" w:cs="Times New Roman" w:eastAsia="Times New Roman" w:hAnsi="Times New Roman"/>
                <w:sz w:val="21"/>
                <w:szCs w:val="21"/>
                <w:b w:val="1"/>
                <w:bCs w:val="1"/>
                <w:color w:val="auto"/>
                <w:w w:val="96"/>
                <w:vertAlign w:val="superscript"/>
              </w:rPr>
              <w:t>(1)</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 Price</w:t>
            </w:r>
          </w:p>
        </w:tc>
        <w:tc>
          <w:tcPr>
            <w:tcW w:w="1440" w:type="dxa"/>
            <w:vAlign w:val="bottom"/>
            <w:tcBorders>
              <w:bottom w:val="single" w:sz="8" w:color="auto"/>
              <w:right w:val="single" w:sz="8" w:color="auto"/>
            </w:tcBorders>
            <w:vMerge w:val="continue"/>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Fee</w:t>
            </w:r>
          </w:p>
        </w:tc>
        <w:tc>
          <w:tcPr>
            <w:tcW w:w="0" w:type="dxa"/>
            <w:vAlign w:val="bottom"/>
          </w:tcPr>
          <w:p>
            <w:pPr>
              <w:spacing w:after="0"/>
              <w:rPr>
                <w:sz w:val="1"/>
                <w:szCs w:val="1"/>
                <w:color w:val="auto"/>
              </w:rPr>
            </w:pPr>
          </w:p>
        </w:tc>
      </w:tr>
      <w:tr>
        <w:trPr>
          <w:trHeight w:val="156"/>
        </w:trPr>
        <w:tc>
          <w:tcPr>
            <w:tcW w:w="10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6"/>
                <w:szCs w:val="16"/>
                <w:color w:val="auto"/>
              </w:rPr>
              <w:t>Equity</w:t>
            </w:r>
          </w:p>
        </w:tc>
        <w:tc>
          <w:tcPr>
            <w:tcW w:w="1260" w:type="dxa"/>
            <w:vAlign w:val="bottom"/>
            <w:tcBorders>
              <w:right w:val="single" w:sz="8" w:color="auto"/>
            </w:tcBorders>
          </w:tcPr>
          <w:p>
            <w:pPr>
              <w:ind w:left="40"/>
              <w:spacing w:after="0" w:line="155" w:lineRule="exact"/>
              <w:rPr>
                <w:sz w:val="20"/>
                <w:szCs w:val="20"/>
                <w:color w:val="auto"/>
              </w:rPr>
            </w:pPr>
            <w:r>
              <w:rPr>
                <w:rFonts w:ascii="Times New Roman" w:cs="Times New Roman" w:eastAsia="Times New Roman" w:hAnsi="Times New Roman"/>
                <w:sz w:val="16"/>
                <w:szCs w:val="16"/>
                <w:color w:val="auto"/>
              </w:rPr>
              <w:t>Class A common</w:t>
            </w:r>
          </w:p>
        </w:tc>
        <w:tc>
          <w:tcPr>
            <w:tcW w:w="138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$6,825,945.47</w:t>
            </w:r>
          </w:p>
        </w:tc>
        <w:tc>
          <w:tcPr>
            <w:tcW w:w="1440" w:type="dxa"/>
            <w:vAlign w:val="bottom"/>
            <w:tcBorders>
              <w:right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6"/>
                <w:szCs w:val="16"/>
                <w:color w:val="auto"/>
              </w:rPr>
              <w:t>$0.00014760</w:t>
            </w:r>
          </w:p>
        </w:tc>
        <w:tc>
          <w:tcPr>
            <w:tcW w:w="14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$1,007.51</w:t>
            </w:r>
          </w:p>
        </w:tc>
        <w:tc>
          <w:tcPr>
            <w:tcW w:w="0" w:type="dxa"/>
            <w:vAlign w:val="bottom"/>
          </w:tcPr>
          <w:p>
            <w:pPr>
              <w:spacing w:after="0"/>
              <w:rPr>
                <w:sz w:val="1"/>
                <w:szCs w:val="1"/>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stock, $0.0001</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Rule 457(c) and</w:t>
            </w:r>
          </w:p>
        </w:tc>
        <w:tc>
          <w:tcPr>
            <w:tcW w:w="16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par value per</w:t>
            </w:r>
          </w:p>
        </w:tc>
        <w:tc>
          <w:tcPr>
            <w:tcW w:w="1380" w:type="dxa"/>
            <w:vAlign w:val="bottom"/>
            <w:tcBorders>
              <w:right w:val="single" w:sz="8" w:color="auto"/>
            </w:tcBorders>
            <w:vMerge w:val="continue"/>
          </w:tcPr>
          <w:p>
            <w:pPr>
              <w:spacing w:after="0"/>
              <w:rPr>
                <w:sz w:val="14"/>
                <w:szCs w:val="14"/>
                <w:color w:val="auto"/>
              </w:rPr>
            </w:pPr>
          </w:p>
        </w:tc>
        <w:tc>
          <w:tcPr>
            <w:tcW w:w="1600" w:type="dxa"/>
            <w:vAlign w:val="bottom"/>
            <w:tcBorders>
              <w:right w:val="single" w:sz="8" w:color="auto"/>
            </w:tcBorders>
            <w:vMerge w:val="restart"/>
          </w:tcPr>
          <w:p>
            <w:pPr>
              <w:jc w:val="center"/>
              <w:ind w:right="319"/>
              <w:spacing w:after="0"/>
              <w:rPr>
                <w:sz w:val="20"/>
                <w:szCs w:val="20"/>
                <w:color w:val="auto"/>
              </w:rPr>
            </w:pPr>
            <w:r>
              <w:rPr>
                <w:rFonts w:ascii="Times New Roman" w:cs="Times New Roman" w:eastAsia="Times New Roman" w:hAnsi="Times New Roman"/>
                <w:sz w:val="16"/>
                <w:szCs w:val="16"/>
                <w:color w:val="auto"/>
              </w:rPr>
              <w:t xml:space="preserve">1,298,943 </w:t>
            </w:r>
            <w:r>
              <w:rPr>
                <w:rFonts w:ascii="Times New Roman" w:cs="Times New Roman" w:eastAsia="Times New Roman" w:hAnsi="Times New Roman"/>
                <w:sz w:val="21"/>
                <w:szCs w:val="21"/>
                <w:color w:val="auto"/>
                <w:vertAlign w:val="superscript"/>
              </w:rPr>
              <w:t>(2)</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$5.2550</w:t>
            </w:r>
            <w:r>
              <w:rPr>
                <w:rFonts w:ascii="Times New Roman" w:cs="Times New Roman" w:eastAsia="Times New Roman" w:hAnsi="Times New Roman"/>
                <w:sz w:val="21"/>
                <w:szCs w:val="21"/>
                <w:color w:val="auto"/>
                <w:w w:val="96"/>
                <w:vertAlign w:val="superscript"/>
              </w:rPr>
              <w:t>(3)</w:t>
            </w:r>
          </w:p>
        </w:tc>
        <w:tc>
          <w:tcPr>
            <w:tcW w:w="178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share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Rule 457(h)</w:t>
            </w:r>
          </w:p>
        </w:tc>
        <w:tc>
          <w:tcPr>
            <w:tcW w:w="1600" w:type="dxa"/>
            <w:vAlign w:val="bottom"/>
            <w:tcBorders>
              <w:bottom w:val="single" w:sz="8" w:color="auto"/>
              <w:right w:val="single" w:sz="8" w:color="auto"/>
            </w:tcBorders>
            <w:vMerge w:val="continue"/>
          </w:tcPr>
          <w:p>
            <w:pPr>
              <w:spacing w:after="0"/>
              <w:rPr>
                <w:sz w:val="18"/>
                <w:szCs w:val="18"/>
                <w:color w:val="auto"/>
              </w:rPr>
            </w:pPr>
          </w:p>
        </w:tc>
        <w:tc>
          <w:tcPr>
            <w:tcW w:w="1280" w:type="dxa"/>
            <w:vAlign w:val="bottom"/>
            <w:tcBorders>
              <w:bottom w:val="single" w:sz="8" w:color="auto"/>
              <w:right w:val="single" w:sz="8" w:color="auto"/>
            </w:tcBorders>
            <w:vMerge w:val="continue"/>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6"/>
                <w:szCs w:val="16"/>
                <w:color w:val="auto"/>
              </w:rPr>
              <w:t>Equity</w:t>
            </w:r>
          </w:p>
        </w:tc>
        <w:tc>
          <w:tcPr>
            <w:tcW w:w="1260" w:type="dxa"/>
            <w:vAlign w:val="bottom"/>
            <w:tcBorders>
              <w:right w:val="single" w:sz="8" w:color="auto"/>
            </w:tcBorders>
          </w:tcPr>
          <w:p>
            <w:pPr>
              <w:ind w:left="40"/>
              <w:spacing w:after="0" w:line="155" w:lineRule="exact"/>
              <w:rPr>
                <w:sz w:val="20"/>
                <w:szCs w:val="20"/>
                <w:color w:val="auto"/>
              </w:rPr>
            </w:pPr>
            <w:r>
              <w:rPr>
                <w:rFonts w:ascii="Times New Roman" w:cs="Times New Roman" w:eastAsia="Times New Roman" w:hAnsi="Times New Roman"/>
                <w:sz w:val="16"/>
                <w:szCs w:val="16"/>
                <w:color w:val="auto"/>
              </w:rPr>
              <w:t>Class A common</w:t>
            </w:r>
          </w:p>
        </w:tc>
        <w:tc>
          <w:tcPr>
            <w:tcW w:w="138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$1,160,421.04</w:t>
            </w:r>
          </w:p>
        </w:tc>
        <w:tc>
          <w:tcPr>
            <w:tcW w:w="1440" w:type="dxa"/>
            <w:vAlign w:val="bottom"/>
            <w:tcBorders>
              <w:right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6"/>
                <w:szCs w:val="16"/>
                <w:color w:val="auto"/>
              </w:rPr>
              <w:t>$0.00014760</w:t>
            </w:r>
          </w:p>
        </w:tc>
        <w:tc>
          <w:tcPr>
            <w:tcW w:w="14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$171.28</w:t>
            </w:r>
          </w:p>
        </w:tc>
        <w:tc>
          <w:tcPr>
            <w:tcW w:w="0" w:type="dxa"/>
            <w:vAlign w:val="bottom"/>
          </w:tcPr>
          <w:p>
            <w:pPr>
              <w:spacing w:after="0"/>
              <w:rPr>
                <w:sz w:val="1"/>
                <w:szCs w:val="1"/>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stock, $0.0001</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Rule 457(c) and</w:t>
            </w:r>
          </w:p>
        </w:tc>
        <w:tc>
          <w:tcPr>
            <w:tcW w:w="16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par value per</w:t>
            </w:r>
          </w:p>
        </w:tc>
        <w:tc>
          <w:tcPr>
            <w:tcW w:w="1380" w:type="dxa"/>
            <w:vAlign w:val="bottom"/>
            <w:tcBorders>
              <w:right w:val="single" w:sz="8" w:color="auto"/>
            </w:tcBorders>
            <w:vMerge w:val="continue"/>
          </w:tcPr>
          <w:p>
            <w:pPr>
              <w:spacing w:after="0"/>
              <w:rPr>
                <w:sz w:val="14"/>
                <w:szCs w:val="14"/>
                <w:color w:val="auto"/>
              </w:rPr>
            </w:pPr>
          </w:p>
        </w:tc>
        <w:tc>
          <w:tcPr>
            <w:tcW w:w="1600" w:type="dxa"/>
            <w:vAlign w:val="bottom"/>
            <w:tcBorders>
              <w:right w:val="single" w:sz="8" w:color="auto"/>
            </w:tcBorders>
            <w:vMerge w:val="restart"/>
          </w:tcPr>
          <w:p>
            <w:pPr>
              <w:jc w:val="center"/>
              <w:ind w:right="379"/>
              <w:spacing w:after="0"/>
              <w:rPr>
                <w:sz w:val="20"/>
                <w:szCs w:val="20"/>
                <w:color w:val="auto"/>
              </w:rPr>
            </w:pPr>
            <w:r>
              <w:rPr>
                <w:rFonts w:ascii="Times New Roman" w:cs="Times New Roman" w:eastAsia="Times New Roman" w:hAnsi="Times New Roman"/>
                <w:sz w:val="16"/>
                <w:szCs w:val="16"/>
                <w:color w:val="auto"/>
              </w:rPr>
              <w:t>259,788</w:t>
            </w:r>
            <w:r>
              <w:rPr>
                <w:rFonts w:ascii="Times New Roman" w:cs="Times New Roman" w:eastAsia="Times New Roman" w:hAnsi="Times New Roman"/>
                <w:sz w:val="21"/>
                <w:szCs w:val="21"/>
                <w:color w:val="auto"/>
                <w:vertAlign w:val="superscript"/>
              </w:rPr>
              <w:t>(4)</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$4.4668</w:t>
            </w:r>
            <w:r>
              <w:rPr>
                <w:rFonts w:ascii="Times New Roman" w:cs="Times New Roman" w:eastAsia="Times New Roman" w:hAnsi="Times New Roman"/>
                <w:sz w:val="21"/>
                <w:szCs w:val="21"/>
                <w:color w:val="auto"/>
                <w:w w:val="96"/>
                <w:vertAlign w:val="superscript"/>
              </w:rPr>
              <w:t>(5)</w:t>
            </w:r>
          </w:p>
        </w:tc>
        <w:tc>
          <w:tcPr>
            <w:tcW w:w="178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share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Rule 457(h)</w:t>
            </w:r>
          </w:p>
        </w:tc>
        <w:tc>
          <w:tcPr>
            <w:tcW w:w="1600" w:type="dxa"/>
            <w:vAlign w:val="bottom"/>
            <w:tcBorders>
              <w:bottom w:val="single" w:sz="8" w:color="auto"/>
              <w:right w:val="single" w:sz="8" w:color="auto"/>
            </w:tcBorders>
            <w:vMerge w:val="continue"/>
          </w:tcPr>
          <w:p>
            <w:pPr>
              <w:spacing w:after="0"/>
              <w:rPr>
                <w:sz w:val="18"/>
                <w:szCs w:val="18"/>
                <w:color w:val="auto"/>
              </w:rPr>
            </w:pPr>
          </w:p>
        </w:tc>
        <w:tc>
          <w:tcPr>
            <w:tcW w:w="1280" w:type="dxa"/>
            <w:vAlign w:val="bottom"/>
            <w:tcBorders>
              <w:bottom w:val="single" w:sz="8" w:color="auto"/>
              <w:right w:val="single" w:sz="8" w:color="auto"/>
            </w:tcBorders>
            <w:vMerge w:val="continue"/>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Total Offering Amounts</w:t>
            </w:r>
          </w:p>
        </w:tc>
        <w:tc>
          <w:tcPr>
            <w:tcW w:w="1380" w:type="dxa"/>
            <w:vAlign w:val="bottom"/>
            <w:tcBorders>
              <w:bottom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$7,986,366.51</w:t>
            </w:r>
          </w:p>
        </w:tc>
        <w:tc>
          <w:tcPr>
            <w:tcW w:w="144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$1,178.79</w:t>
            </w:r>
          </w:p>
        </w:tc>
        <w:tc>
          <w:tcPr>
            <w:tcW w:w="0" w:type="dxa"/>
            <w:vAlign w:val="bottom"/>
          </w:tcPr>
          <w:p>
            <w:pPr>
              <w:spacing w:after="0"/>
              <w:rPr>
                <w:sz w:val="1"/>
                <w:szCs w:val="1"/>
                <w:color w:val="auto"/>
              </w:rPr>
            </w:pPr>
          </w:p>
        </w:tc>
      </w:tr>
      <w:tr>
        <w:trPr>
          <w:trHeight w:val="209"/>
        </w:trPr>
        <w:tc>
          <w:tcPr>
            <w:tcW w:w="2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Total Fee Offsets</w:t>
            </w:r>
          </w:p>
        </w:tc>
        <w:tc>
          <w:tcPr>
            <w:tcW w:w="138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9"/>
        </w:trPr>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Net Fee Due</w:t>
            </w:r>
          </w:p>
        </w:tc>
        <w:tc>
          <w:tcPr>
            <w:tcW w:w="1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$1,178.79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660" w:right="20" w:hanging="328"/>
        <w:spacing w:after="0" w:line="213"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the Class A common stock of GeneDx Holdings Corp. (the “Registrant”) that become issuable in respect of the securities identified in the above table by reason of any stock dividend, stock split, recapitalization or other similar transaction effected without the Registrant’s receipt of consideration that increases the number of the Registrant’s outstanding shares of Class A common stock.</w:t>
      </w:r>
    </w:p>
    <w:p>
      <w:pPr>
        <w:jc w:val="both"/>
        <w:ind w:left="660" w:right="20" w:hanging="328"/>
        <w:spacing w:after="0" w:line="208"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shares of the Registrant’s Class A common stock to be registered and available for grant under its Amended and Restated 2021 Equity Incentive Plan (the “2021 EIP”) resulting from the automatic 5% annual increase in the number of authorized shares reserved and available for issuance under the 2021 EIP.</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08"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and 457(h) of the Securities Act solely for the purpose of calculating the registration fee. The proposed maximum offering price per share of $5.2550 was computed by averaging the high and low prices of a share of the Registrant’s Class A common stock as reported on the Nasdaq Global Select Market on February 20, 2024.</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08"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shares of the Registrant’s Class A common stock to be registered and available for grant under its 2021 Employee Stock Purchase Plan (the “2021 ESPP”) resulting from the automatic 1% annual increase in the number of authorized shares reserved and available for issuance under the 2021 ESPP.</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18"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and 457(h) of the Securities Act solely for the purpose of calculating the registration fee. The proposed maximum offering price per share of $4.4668 was computed by averaging the high and low prices of a share of the Registrant’s Class A common stock as reported on the Nasdaq Global Select Market on February 20, 2024, multiplied by 85% pursuant to the purchase price terms of the 2021 ESPP.</w:t>
      </w:r>
    </w:p>
    <w:p>
      <w:pPr>
        <w:sectPr>
          <w:pgSz w:w="11900" w:h="16838" w:orient="portrait"/>
          <w:cols w:equalWidth="0" w:num="1">
            <w:col w:w="11260"/>
          </w:cols>
          <w:pgMar w:left="320" w:top="1392" w:right="319" w:bottom="1440" w:gutter="0" w:footer="0" w:header="0"/>
        </w:sectPr>
      </w:pPr>
    </w:p>
    <w:bookmarkStart w:id="7" w:name="page8"/>
    <w:bookmarkEnd w:id="7"/>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94935" cy="668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194935" cy="6686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February 23,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GeneDx Holdings Corp.</w:t>
      </w:r>
    </w:p>
    <w:p>
      <w:pPr>
        <w:spacing w:after="0" w:line="211" w:lineRule="auto"/>
        <w:rPr>
          <w:sz w:val="20"/>
          <w:szCs w:val="20"/>
          <w:color w:val="auto"/>
        </w:rPr>
      </w:pPr>
      <w:r>
        <w:rPr>
          <w:rFonts w:ascii="Times New Roman" w:cs="Times New Roman" w:eastAsia="Times New Roman" w:hAnsi="Times New Roman"/>
          <w:sz w:val="20"/>
          <w:szCs w:val="20"/>
          <w:color w:val="auto"/>
        </w:rPr>
        <w:t>333 Ludlow Street, North Tower, 6th Floor</w:t>
      </w:r>
    </w:p>
    <w:p>
      <w:pPr>
        <w:spacing w:after="0"/>
        <w:rPr>
          <w:sz w:val="20"/>
          <w:szCs w:val="20"/>
          <w:color w:val="auto"/>
        </w:rPr>
      </w:pPr>
      <w:r>
        <w:rPr>
          <w:rFonts w:ascii="Times New Roman" w:cs="Times New Roman" w:eastAsia="Times New Roman" w:hAnsi="Times New Roman"/>
          <w:sz w:val="20"/>
          <w:szCs w:val="20"/>
          <w:color w:val="auto"/>
        </w:rPr>
        <w:t>Stamford, Connecticut 06902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171"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At your request, as your counsel, we have examined the Registration Statement on Form S-8 (the “</w:t>
      </w:r>
      <w:r>
        <w:rPr>
          <w:rFonts w:ascii="Times New Roman" w:cs="Times New Roman" w:eastAsia="Times New Roman" w:hAnsi="Times New Roman"/>
          <w:sz w:val="20"/>
          <w:szCs w:val="20"/>
          <w:b w:val="1"/>
          <w:bCs w:val="1"/>
          <w:i w:val="1"/>
          <w:iCs w:val="1"/>
          <w:color w:val="auto"/>
        </w:rPr>
        <w:t>Registration Statement</w:t>
      </w:r>
      <w:r>
        <w:rPr>
          <w:rFonts w:ascii="Times New Roman" w:cs="Times New Roman" w:eastAsia="Times New Roman" w:hAnsi="Times New Roman"/>
          <w:sz w:val="20"/>
          <w:szCs w:val="20"/>
          <w:color w:val="auto"/>
        </w:rPr>
        <w:t>”) to be filed by GeneDx Holdings Corp.,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with the Securities and Exchange Commission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Commission</w:t>
      </w:r>
      <w:r>
        <w:rPr>
          <w:rFonts w:ascii="Times New Roman" w:cs="Times New Roman" w:eastAsia="Times New Roman" w:hAnsi="Times New Roman"/>
          <w:sz w:val="19"/>
          <w:szCs w:val="19"/>
          <w:color w:val="auto"/>
        </w:rPr>
        <w:t>”) on or about February 23, 2024 in connection with the registration under the Securities Act of 1933, as amended (the “</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of an aggregate of 1,558,731 shares (the “</w:t>
      </w:r>
      <w:r>
        <w:rPr>
          <w:rFonts w:ascii="Times New Roman" w:cs="Times New Roman" w:eastAsia="Times New Roman" w:hAnsi="Times New Roman"/>
          <w:sz w:val="19"/>
          <w:szCs w:val="19"/>
          <w:b w:val="1"/>
          <w:bCs w:val="1"/>
          <w:i w:val="1"/>
          <w:iCs w:val="1"/>
          <w:color w:val="auto"/>
        </w:rPr>
        <w:t>Shares</w:t>
      </w:r>
      <w:r>
        <w:rPr>
          <w:rFonts w:ascii="Times New Roman" w:cs="Times New Roman" w:eastAsia="Times New Roman" w:hAnsi="Times New Roman"/>
          <w:sz w:val="19"/>
          <w:szCs w:val="19"/>
          <w:color w:val="auto"/>
        </w:rPr>
        <w:t>”) of the Company’s Class A common stock, par value $0.0001 per share</w:t>
      </w:r>
    </w:p>
    <w:p>
      <w:pPr>
        <w:spacing w:after="0" w:line="211"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subject to issuance by the Company (a) upon exercise or settlement of awards to be granted under the Company’s</w:t>
      </w:r>
    </w:p>
    <w:p>
      <w:pPr>
        <w:spacing w:after="0" w:line="204" w:lineRule="auto"/>
        <w:rPr>
          <w:sz w:val="20"/>
          <w:szCs w:val="20"/>
          <w:color w:val="auto"/>
        </w:rPr>
      </w:pPr>
      <w:r>
        <w:rPr>
          <w:rFonts w:ascii="Times New Roman" w:cs="Times New Roman" w:eastAsia="Times New Roman" w:hAnsi="Times New Roman"/>
          <w:sz w:val="20"/>
          <w:szCs w:val="20"/>
          <w:color w:val="auto"/>
        </w:rPr>
        <w:t>Amended and Restated 2021 Equity Incentive Plan (the “</w:t>
      </w:r>
      <w:r>
        <w:rPr>
          <w:rFonts w:ascii="Times New Roman" w:cs="Times New Roman" w:eastAsia="Times New Roman" w:hAnsi="Times New Roman"/>
          <w:sz w:val="20"/>
          <w:szCs w:val="20"/>
          <w:b w:val="1"/>
          <w:bCs w:val="1"/>
          <w:i w:val="1"/>
          <w:iCs w:val="1"/>
          <w:color w:val="auto"/>
        </w:rPr>
        <w:t>2021 Plan</w:t>
      </w:r>
      <w:r>
        <w:rPr>
          <w:rFonts w:ascii="Times New Roman" w:cs="Times New Roman" w:eastAsia="Times New Roman" w:hAnsi="Times New Roman"/>
          <w:sz w:val="20"/>
          <w:szCs w:val="20"/>
          <w:color w:val="auto"/>
        </w:rPr>
        <w:t>”) pursuant to the provision of the 2021 Plan providing for an automatic annual increase in the number of shares reserved and available for issuance under the 2021 Plan and (b) upon exercise of purchase rights to</w:t>
      </w:r>
    </w:p>
    <w:p>
      <w:pPr>
        <w:spacing w:after="0" w:line="211" w:lineRule="auto"/>
        <w:rPr>
          <w:sz w:val="20"/>
          <w:szCs w:val="20"/>
          <w:color w:val="auto"/>
        </w:rPr>
      </w:pPr>
      <w:r>
        <w:rPr>
          <w:rFonts w:ascii="Times New Roman" w:cs="Times New Roman" w:eastAsia="Times New Roman" w:hAnsi="Times New Roman"/>
          <w:sz w:val="20"/>
          <w:szCs w:val="20"/>
          <w:color w:val="auto"/>
        </w:rPr>
        <w:t>acquire shares of Common Stock to be granted under the Company’s 2021 Employee Stock Purchase Plan (the “</w:t>
      </w:r>
      <w:r>
        <w:rPr>
          <w:rFonts w:ascii="Times New Roman" w:cs="Times New Roman" w:eastAsia="Times New Roman" w:hAnsi="Times New Roman"/>
          <w:sz w:val="20"/>
          <w:szCs w:val="20"/>
          <w:b w:val="1"/>
          <w:bCs w:val="1"/>
          <w:i w:val="1"/>
          <w:iCs w:val="1"/>
          <w:color w:val="auto"/>
        </w:rPr>
        <w:t>Purchase Plan</w:t>
      </w:r>
      <w:r>
        <w:rPr>
          <w:rFonts w:ascii="Times New Roman" w:cs="Times New Roman" w:eastAsia="Times New Roman" w:hAnsi="Times New Roman"/>
          <w:sz w:val="20"/>
          <w:szCs w:val="20"/>
          <w:color w:val="auto"/>
        </w:rPr>
        <w:t>”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together with the 2021 Plan, the “</w:t>
      </w:r>
      <w:r>
        <w:rPr>
          <w:rFonts w:ascii="Times New Roman" w:cs="Times New Roman" w:eastAsia="Times New Roman" w:hAnsi="Times New Roman"/>
          <w:sz w:val="20"/>
          <w:szCs w:val="20"/>
          <w:b w:val="1"/>
          <w:bCs w:val="1"/>
          <w:i w:val="1"/>
          <w:iCs w:val="1"/>
          <w:color w:val="auto"/>
        </w:rPr>
        <w:t>Plans</w:t>
      </w:r>
      <w:r>
        <w:rPr>
          <w:rFonts w:ascii="Times New Roman" w:cs="Times New Roman" w:eastAsia="Times New Roman" w:hAnsi="Times New Roman"/>
          <w:sz w:val="20"/>
          <w:szCs w:val="20"/>
          <w:color w:val="auto"/>
        </w:rPr>
        <w:t>”) pursuant to the provision of the Purchase Plan providing for an automatic annual increase in the number of shares reserved and available for issuance under the Purchase Plan.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 your request we are providing this letter to express our opinion on the matters set forth below in this letter (“</w:t>
      </w:r>
      <w:r>
        <w:rPr>
          <w:rFonts w:ascii="Times New Roman" w:cs="Times New Roman" w:eastAsia="Times New Roman" w:hAnsi="Times New Roman"/>
          <w:sz w:val="20"/>
          <w:szCs w:val="20"/>
          <w:b w:val="1"/>
          <w:bCs w:val="1"/>
          <w:i w:val="1"/>
          <w:iCs w:val="1"/>
          <w:color w:val="auto"/>
        </w:rPr>
        <w:t>our opinion</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In connection with our opinion, we have examined such matters of fact as we have deemed necessary, which included examination of originals or copies of: (a) the Company’s Third Amended and Restated Certificate of Incorporation, as amended (the “</w:t>
      </w:r>
      <w:r>
        <w:rPr>
          <w:rFonts w:ascii="Times New Roman" w:cs="Times New Roman" w:eastAsia="Times New Roman" w:hAnsi="Times New Roman"/>
          <w:sz w:val="20"/>
          <w:szCs w:val="20"/>
          <w:b w:val="1"/>
          <w:bCs w:val="1"/>
          <w:i w:val="1"/>
          <w:iCs w:val="1"/>
          <w:color w:val="auto"/>
        </w:rPr>
        <w:t>Certificate of</w:t>
      </w:r>
    </w:p>
    <w:p>
      <w:pPr>
        <w:spacing w:after="0" w:line="212" w:lineRule="auto"/>
        <w:rPr>
          <w:sz w:val="20"/>
          <w:szCs w:val="20"/>
          <w:color w:val="auto"/>
        </w:rPr>
      </w:pPr>
      <w:r>
        <w:rPr>
          <w:rFonts w:ascii="Times New Roman" w:cs="Times New Roman" w:eastAsia="Times New Roman" w:hAnsi="Times New Roman"/>
          <w:sz w:val="20"/>
          <w:szCs w:val="20"/>
          <w:b w:val="1"/>
          <w:bCs w:val="1"/>
          <w:i w:val="1"/>
          <w:iCs w:val="1"/>
          <w:color w:val="auto"/>
        </w:rPr>
        <w:t>Incorporation</w:t>
      </w:r>
      <w:r>
        <w:rPr>
          <w:rFonts w:ascii="Times New Roman" w:cs="Times New Roman" w:eastAsia="Times New Roman" w:hAnsi="Times New Roman"/>
          <w:sz w:val="20"/>
          <w:szCs w:val="20"/>
          <w:color w:val="auto"/>
        </w:rPr>
        <w:t>”), the Company’s Amended and Restated Bylaws (the “</w:t>
      </w:r>
      <w:r>
        <w:rPr>
          <w:rFonts w:ascii="Times New Roman" w:cs="Times New Roman" w:eastAsia="Times New Roman" w:hAnsi="Times New Roman"/>
          <w:sz w:val="20"/>
          <w:szCs w:val="20"/>
          <w:b w:val="1"/>
          <w:bCs w:val="1"/>
          <w:i w:val="1"/>
          <w:iCs w:val="1"/>
          <w:color w:val="auto"/>
        </w:rPr>
        <w:t>Bylaws</w:t>
      </w:r>
      <w:r>
        <w:rPr>
          <w:rFonts w:ascii="Times New Roman" w:cs="Times New Roman" w:eastAsia="Times New Roman" w:hAnsi="Times New Roman"/>
          <w:sz w:val="20"/>
          <w:szCs w:val="20"/>
          <w:color w:val="auto"/>
        </w:rPr>
        <w:t>” and, together with the Certificate of Incorporation,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Charter Documents</w:t>
      </w:r>
      <w:r>
        <w:rPr>
          <w:rFonts w:ascii="Times New Roman" w:cs="Times New Roman" w:eastAsia="Times New Roman" w:hAnsi="Times New Roman"/>
          <w:sz w:val="19"/>
          <w:szCs w:val="19"/>
          <w:color w:val="auto"/>
        </w:rPr>
        <w:t>”), the Plans and related form agreements for use thereunder, and the Registration Statement and the exhibits thereto, (b) certain corporate proceedings of the Company’s board of directors and the Company’s stockholders relating to adoption or approval of the</w:t>
      </w:r>
    </w:p>
    <w:p>
      <w:pPr>
        <w:spacing w:after="0" w:line="228" w:lineRule="auto"/>
        <w:rPr>
          <w:sz w:val="20"/>
          <w:szCs w:val="20"/>
          <w:color w:val="auto"/>
        </w:rPr>
      </w:pPr>
      <w:r>
        <w:rPr>
          <w:rFonts w:ascii="Times New Roman" w:cs="Times New Roman" w:eastAsia="Times New Roman" w:hAnsi="Times New Roman"/>
          <w:sz w:val="20"/>
          <w:szCs w:val="20"/>
          <w:color w:val="auto"/>
        </w:rPr>
        <w:t>Charter Documents and the Plans, and (c) such other documents as we have deemed advisable, and we have examined such questions of law as we have considered necessary.</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In our examination of documents for purposes of this opinion, we have assumed, and express no opinion as to, the authenticity and completeness of all documents submitted to us as originals, the genuineness of signatures on documents reviewed by us, the conformity to</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originals and the completeness of all documents submitted to us as copies, the legal capacity of all parties executing any documents (other than the Company), the lack of any undisclosed termination or modification or waiver of any document, the absence of any extrinsic</w:t>
      </w:r>
    </w:p>
    <w:p>
      <w:pPr>
        <w:spacing w:after="0" w:line="211" w:lineRule="auto"/>
        <w:rPr>
          <w:sz w:val="20"/>
          <w:szCs w:val="20"/>
          <w:color w:val="auto"/>
        </w:rPr>
      </w:pPr>
      <w:r>
        <w:rPr>
          <w:rFonts w:ascii="Times New Roman" w:cs="Times New Roman" w:eastAsia="Times New Roman" w:hAnsi="Times New Roman"/>
          <w:sz w:val="20"/>
          <w:szCs w:val="20"/>
          <w:color w:val="auto"/>
        </w:rPr>
        <w:t>agreements or documents that might change or affect the interpretation or terms of documents, and the due authorization, execution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delivery of all documents by each party thereto other than the Company. We have also assumed that any certificates or instruments representing the Shares, when issued, will be executed by the Company and by officers of the Company duly authorized to do so. In</w:t>
      </w:r>
    </w:p>
    <w:p>
      <w:pPr>
        <w:spacing w:after="0" w:line="211" w:lineRule="auto"/>
        <w:rPr>
          <w:sz w:val="20"/>
          <w:szCs w:val="20"/>
          <w:color w:val="auto"/>
        </w:rPr>
      </w:pPr>
      <w:r>
        <w:rPr>
          <w:rFonts w:ascii="Times New Roman" w:cs="Times New Roman" w:eastAsia="Times New Roman" w:hAnsi="Times New Roman"/>
          <w:sz w:val="20"/>
          <w:szCs w:val="20"/>
          <w:color w:val="auto"/>
        </w:rPr>
        <w:t>rendering our opinion, we have also relied upon a certificate of good standing issued by the Delaware Secretary of State with respect to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Company and representations and certifications made to us by the Company, including without limitation representations in a Management Certificate addressed to us of even date herewith that the Company has available a sufficient number of authorized shares of Common Stock</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that are not currently outstanding or reserved for issuance under other outstanding securities or plans of the Company, to enable the Company to issue and deliver all of the Shares as of the date of this letter.</w:t>
      </w:r>
    </w:p>
    <w:p>
      <w:pPr>
        <w:spacing w:after="0" w:line="175"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We render this opinion only with respect to, and we express no opinion herein concerning the application or effect of the laws of any jurisdiction other than, the existing Delaware General Corporation Law now in effect.</w:t>
      </w:r>
    </w:p>
    <w:p>
      <w:pPr>
        <w:sectPr>
          <w:pgSz w:w="11900" w:h="16838" w:orient="portrait"/>
          <w:cols w:equalWidth="0" w:num="1">
            <w:col w:w="11240"/>
          </w:cols>
          <w:pgMar w:left="320" w:top="1440" w:right="339" w:bottom="1440" w:gutter="0" w:footer="0" w:header="0"/>
        </w:sectPr>
      </w:pPr>
    </w:p>
    <w:bookmarkStart w:id="8" w:name="page9"/>
    <w:bookmarkEnd w:id="8"/>
    <w:p>
      <w:pPr>
        <w:spacing w:after="0" w:line="108"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Based upon, and subject to, the foregoing, it is our opinion that the Shares have been duly authorized and, when the Shares that may be issued and sold (a) upon the exercise or settlement of awards to be granted under the 2021 Plan and (b) pursuant to purchase rights to</w:t>
      </w:r>
    </w:p>
    <w:p>
      <w:pPr>
        <w:spacing w:after="0" w:line="212" w:lineRule="auto"/>
        <w:rPr>
          <w:sz w:val="20"/>
          <w:szCs w:val="20"/>
          <w:color w:val="auto"/>
        </w:rPr>
      </w:pPr>
      <w:r>
        <w:rPr>
          <w:rFonts w:ascii="Times New Roman" w:cs="Times New Roman" w:eastAsia="Times New Roman" w:hAnsi="Times New Roman"/>
          <w:sz w:val="20"/>
          <w:szCs w:val="20"/>
          <w:color w:val="auto"/>
        </w:rPr>
        <w:t>acquire shares of Common Stock to be granted under the Purchase Plan, have been issued and sold by the Company against the Company’s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receipt of payment therefor (in an amount and type of consideration not less than the par value per Share) in accordance with the terms (including, without limitation, payment and authorization provisions) of the applicable Plan, and have been duly registered on the books of</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the transfer agent and registrar for the Shares in the name or on behalf of the holders thereof, such Shares will be validly issued, fully paid and non-assessable.</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We consent to the use of this opinion as an exhibit to the Registration Statement and further consent to all references to us, if any, in</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the Registration Statement and any amendments or supplements thereto. We do not thereby admit that we are within the category of persons whose consent is required under Section 7 of the Securities Act or the rules and regulations of the Commission thereunder</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This opinion is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color w:val="auto"/>
        </w:rPr>
        <w:t>intended solely for use in connection with the issuance, sale and resale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i w:val="1"/>
          <w:iCs w:val="1"/>
          <w:color w:val="auto"/>
        </w:rPr>
        <w:t>/s/ Fenwick &amp; West LLP</w:t>
      </w: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FENWICK &amp; WEST LLP</w:t>
      </w:r>
    </w:p>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39" w:lineRule="exact"/>
        <w:rPr>
          <w:sz w:val="20"/>
          <w:szCs w:val="20"/>
          <w:color w:val="auto"/>
        </w:rPr>
      </w:pPr>
    </w:p>
    <w:p>
      <w:pPr>
        <w:ind w:right="2820"/>
        <w:spacing w:after="0" w:line="24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GeneDx Holdings Corp. Amended and Restated 2021 Equity Incentive Plan and GeneDx Holdings Corp. 2021 Employee Stock Purchase Plan of our report dated February 23, 2024, with respect to the consolidated financial statements of GeneDx Holding Corp. included in its Annual Report (Form 10-K) for the year ended December 31, 2023, filed with the Securities and Exchange Commission.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sectPr>
      <w:pgSz w:w="11900" w:h="16838" w:orient="portrait"/>
      <w:cols w:equalWidth="0" w:num="1">
        <w:col w:w="11240"/>
      </w:cols>
      <w:pgMar w:left="32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07"/>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8" Type="http://schemas.openxmlformats.org/officeDocument/2006/relationships/image" Target="media/image5.png"/><Relationship Id="rId29" Type="http://schemas.openxmlformats.org/officeDocument/2006/relationships/image" Target="media/image6.png"/><Relationship Id="rId30" Type="http://schemas.openxmlformats.org/officeDocument/2006/relationships/image" Target="media/image7.png"/><Relationship Id="rId31"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jpeg"/><Relationship Id="rId12" Type="http://schemas.openxmlformats.org/officeDocument/2006/relationships/hyperlink" Target="https://www.sec.gov/Archives/edgar/data/1818331/000162828021019193/s-8.htm" TargetMode="External"/><Relationship Id="rId13" Type="http://schemas.openxmlformats.org/officeDocument/2006/relationships/hyperlink" Target="https://www.sec.gov/Archives/edgar/data/1818331/000181833122000020/sema4-sx8filingx12422.htm" TargetMode="External"/><Relationship Id="rId14" Type="http://schemas.openxmlformats.org/officeDocument/2006/relationships/hyperlink" Target="https://www.sec.gov/Archives/edgar/data/1818331/000181833123000008/sema4-sx82023equityevergre.htm" TargetMode="External"/><Relationship Id="rId15" Type="http://schemas.openxmlformats.org/officeDocument/2006/relationships/hyperlink" Target="https://www.sec.gov/Archives/edgar/data/1818331/000162828023013004/genedx-sx8.htm" TargetMode="External"/><Relationship Id="rId16" Type="http://schemas.openxmlformats.org/officeDocument/2006/relationships/hyperlink" Target="https://www.sec.gov/Archives/edgar/data/1818331/000181833124000008/wgs-20231231.htm" TargetMode="External"/><Relationship Id="rId17" Type="http://schemas.openxmlformats.org/officeDocument/2006/relationships/hyperlink" Target="https://www.sec.gov/Archives/edgar/data/0001818331/000121390020024549/ea126225-8a12b_cmlifescience.htm" TargetMode="External"/><Relationship Id="rId18" Type="http://schemas.openxmlformats.org/officeDocument/2006/relationships/hyperlink" Target="https://www.sec.gov/ix?doc=/Archives/edgar/data/1818331/000181833123000024/wgs-20221231.htm" TargetMode="External"/><Relationship Id="rId19" Type="http://schemas.openxmlformats.org/officeDocument/2006/relationships/hyperlink" Target="https://www.sec.gov/Archives/edgar/data/1818331/000162828021014760/exhibit31-super8xk.htm" TargetMode="External"/><Relationship Id="rId20" Type="http://schemas.openxmlformats.org/officeDocument/2006/relationships/hyperlink" Target="https://www.sec.gov/Archives/edgar/data/1818331/000162828022011605/exhibit31-closing8xk.htm" TargetMode="External"/><Relationship Id="rId21" Type="http://schemas.openxmlformats.org/officeDocument/2006/relationships/hyperlink" Target="https://www.sec.gov/Archives/edgar/data/1818331/000181833123000006/sema4-certificateofamendme.htm" TargetMode="External"/><Relationship Id="rId22" Type="http://schemas.openxmlformats.org/officeDocument/2006/relationships/hyperlink" Target="https://www.sec.gov/Archives/edgar/data/1818331/000181833123000030/exhibit31exhibita-genedxxc.htm" TargetMode="External"/><Relationship Id="rId23" Type="http://schemas.openxmlformats.org/officeDocument/2006/relationships/hyperlink" Target="https://www.sec.gov/Archives/edgar/data/1818331/000181833123000006/sema4-amendedandrestatedby.htm" TargetMode="External"/><Relationship Id="rId24" Type="http://schemas.openxmlformats.org/officeDocument/2006/relationships/hyperlink" Target="https://www.sec.gov/Archives/edgar/data/1818331/000162828023011808/exhibit101-8xkx4172023.htm" TargetMode="External"/><Relationship Id="rId25" Type="http://schemas.openxmlformats.org/officeDocument/2006/relationships/hyperlink" Target="https://www.sec.gov/Archives/edgar/data/1818331/000162828021014760/exhibit106-super8xk.htm" TargetMode="External"/><Relationship Id="rId26" Type="http://schemas.openxmlformats.org/officeDocument/2006/relationships/hyperlink" Target="https://www.sec.gov/Archives/edgar/data/1818331/000162828021014760/exhibit107-super8xk.htm" TargetMode="External"/><Relationship Id="rId27" Type="http://schemas.openxmlformats.org/officeDocument/2006/relationships/hyperlink" Target="https://www.sec.gov/Archives/edgar/data/1818331/000162828021014760/exhibit109-super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2024-02-26T05:05:57Z</dcterms:created>
  <dcterms:modified xsi:type="dcterms:W3CDTF">2024-02-26T05:05:57Z</dcterms:modified>
</cp:coreProperties>
</file>