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399415</wp:posOffset>
            </wp:positionH>
            <wp:positionV relativeFrom="paragraph">
              <wp:posOffset>738505</wp:posOffset>
            </wp:positionV>
            <wp:extent cx="6801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148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763270</wp:posOffset>
            </wp:positionV>
            <wp:extent cx="6801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1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0" w:lineRule="exact"/>
        <w:rPr>
          <w:sz w:val="24"/>
          <w:szCs w:val="24"/>
          <w:color w:val="auto"/>
        </w:rPr>
      </w:pPr>
    </w:p>
    <w:p>
      <w:pPr>
        <w:ind w:left="1200" w:hanging="1179"/>
        <w:spacing w:after="0"/>
        <w:tabs>
          <w:tab w:leader="none" w:pos="120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24" w:lineRule="exact"/>
        <w:rPr>
          <w:rFonts w:ascii="Wingdings" w:cs="Wingdings" w:eastAsia="Wingdings" w:hAnsi="Wingdings"/>
          <w:sz w:val="16"/>
          <w:szCs w:val="16"/>
          <w:b w:val="1"/>
          <w:bCs w:val="1"/>
          <w:color w:val="auto"/>
          <w:highlight w:val="black"/>
        </w:rPr>
      </w:pPr>
    </w:p>
    <w:p>
      <w:pPr>
        <w:ind w:left="4220"/>
        <w:spacing w:after="0"/>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7"/>
          <w:szCs w:val="17"/>
          <w:b w:val="1"/>
          <w:bCs w:val="1"/>
          <w:color w:val="auto"/>
        </w:rPr>
        <w:t>For the fiscal year ended December 31, 2022</w:t>
      </w:r>
    </w:p>
    <w:p>
      <w:pPr>
        <w:spacing w:after="0" w:line="116" w:lineRule="exact"/>
        <w:rPr>
          <w:rFonts w:ascii="Wingdings" w:cs="Wingdings" w:eastAsia="Wingdings" w:hAnsi="Wingdings"/>
          <w:sz w:val="16"/>
          <w:szCs w:val="16"/>
          <w:b w:val="1"/>
          <w:bCs w:val="1"/>
          <w:color w:val="auto"/>
          <w:highlight w:val="black"/>
        </w:rPr>
      </w:pPr>
    </w:p>
    <w:p>
      <w:pPr>
        <w:ind w:left="5500"/>
        <w:spacing w:after="0"/>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7"/>
          <w:szCs w:val="17"/>
          <w:b w:val="1"/>
          <w:bCs w:val="1"/>
          <w:color w:val="auto"/>
        </w:rPr>
        <w:t>OR</w:t>
      </w:r>
    </w:p>
    <w:p>
      <w:pPr>
        <w:spacing w:after="0" w:line="164" w:lineRule="exact"/>
        <w:rPr>
          <w:sz w:val="24"/>
          <w:szCs w:val="24"/>
          <w:color w:val="auto"/>
        </w:rPr>
      </w:pPr>
    </w:p>
    <w:p>
      <w:pPr>
        <w:ind w:left="1000" w:hanging="979"/>
        <w:spacing w:after="0"/>
        <w:tabs>
          <w:tab w:leader="none" w:pos="100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37" w:lineRule="exact"/>
        <w:rPr>
          <w:rFonts w:ascii="Wingdings" w:cs="Wingdings" w:eastAsia="Wingdings" w:hAnsi="Wingdings"/>
          <w:sz w:val="17"/>
          <w:szCs w:val="17"/>
          <w:b w:val="1"/>
          <w:bCs w:val="1"/>
          <w:color w:val="auto"/>
          <w:highlight w:val="black"/>
        </w:rPr>
      </w:pPr>
    </w:p>
    <w:p>
      <w:pPr>
        <w:ind w:left="3740"/>
        <w:spacing w:after="0"/>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For the transition period from __________ to __________</w:t>
      </w:r>
    </w:p>
    <w:p>
      <w:pPr>
        <w:spacing w:after="0" w:line="116" w:lineRule="exact"/>
        <w:rPr>
          <w:rFonts w:ascii="Wingdings" w:cs="Wingdings" w:eastAsia="Wingdings" w:hAnsi="Wingdings"/>
          <w:sz w:val="17"/>
          <w:szCs w:val="17"/>
          <w:b w:val="1"/>
          <w:bCs w:val="1"/>
          <w:color w:val="auto"/>
          <w:highlight w:val="black"/>
        </w:rPr>
      </w:pPr>
    </w:p>
    <w:p>
      <w:pPr>
        <w:ind w:left="4320"/>
        <w:spacing w:after="0"/>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2745105</wp:posOffset>
            </wp:positionH>
            <wp:positionV relativeFrom="paragraph">
              <wp:posOffset>86995</wp:posOffset>
            </wp:positionV>
            <wp:extent cx="1858645" cy="520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8645" cy="520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GeneDx Holdings Corp.</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416"/>
        </w:trPr>
        <w:tc>
          <w:tcPr>
            <w:tcW w:w="4580" w:type="dxa"/>
            <w:vAlign w:val="bottom"/>
          </w:tcPr>
          <w:p>
            <w:pPr>
              <w:jc w:val="center"/>
              <w:ind w:left="95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920" w:type="dxa"/>
            <w:vAlign w:val="bottom"/>
          </w:tcPr>
          <w:p>
            <w:pPr>
              <w:spacing w:after="0"/>
              <w:rPr>
                <w:sz w:val="24"/>
                <w:szCs w:val="24"/>
                <w:color w:val="auto"/>
              </w:rPr>
            </w:pPr>
          </w:p>
        </w:tc>
        <w:tc>
          <w:tcPr>
            <w:tcW w:w="4740" w:type="dxa"/>
            <w:vAlign w:val="bottom"/>
          </w:tcPr>
          <w:p>
            <w:pPr>
              <w:jc w:val="right"/>
              <w:ind w:right="2393"/>
              <w:spacing w:after="0"/>
              <w:rPr>
                <w:sz w:val="20"/>
                <w:szCs w:val="20"/>
                <w:color w:val="auto"/>
              </w:rPr>
            </w:pPr>
            <w:r>
              <w:rPr>
                <w:rFonts w:ascii="Times New Roman" w:cs="Times New Roman" w:eastAsia="Times New Roman" w:hAnsi="Times New Roman"/>
                <w:sz w:val="17"/>
                <w:szCs w:val="17"/>
                <w:b w:val="1"/>
                <w:bCs w:val="1"/>
                <w:color w:val="auto"/>
              </w:rPr>
              <w:t>85-1966622</w:t>
            </w:r>
          </w:p>
        </w:tc>
      </w:tr>
      <w:tr>
        <w:trPr>
          <w:trHeight w:val="437"/>
        </w:trPr>
        <w:tc>
          <w:tcPr>
            <w:tcW w:w="4580" w:type="dxa"/>
            <w:vAlign w:val="bottom"/>
          </w:tcPr>
          <w:p>
            <w:pPr>
              <w:jc w:val="center"/>
              <w:ind w:left="953"/>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1920" w:type="dxa"/>
            <w:vAlign w:val="bottom"/>
          </w:tcPr>
          <w:p>
            <w:pPr>
              <w:spacing w:after="0"/>
              <w:rPr>
                <w:sz w:val="24"/>
                <w:szCs w:val="24"/>
                <w:color w:val="auto"/>
              </w:rPr>
            </w:pPr>
          </w:p>
        </w:tc>
        <w:tc>
          <w:tcPr>
            <w:tcW w:w="4740" w:type="dxa"/>
            <w:vAlign w:val="bottom"/>
          </w:tcPr>
          <w:p>
            <w:pPr>
              <w:jc w:val="center"/>
              <w:ind w:right="91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7"/>
        </w:trPr>
        <w:tc>
          <w:tcPr>
            <w:tcW w:w="4580" w:type="dxa"/>
            <w:vAlign w:val="bottom"/>
          </w:tcPr>
          <w:p>
            <w:pPr>
              <w:jc w:val="center"/>
              <w:ind w:left="953"/>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1920" w:type="dxa"/>
            <w:vAlign w:val="bottom"/>
          </w:tcPr>
          <w:p>
            <w:pPr>
              <w:spacing w:after="0"/>
              <w:rPr>
                <w:sz w:val="19"/>
                <w:szCs w:val="19"/>
                <w:color w:val="auto"/>
              </w:rPr>
            </w:pPr>
          </w:p>
        </w:tc>
        <w:tc>
          <w:tcPr>
            <w:tcW w:w="4740" w:type="dxa"/>
            <w:vAlign w:val="bottom"/>
          </w:tcPr>
          <w:p>
            <w:pPr>
              <w:jc w:val="center"/>
              <w:ind w:right="91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299"/>
        </w:trPr>
        <w:tc>
          <w:tcPr>
            <w:tcW w:w="6500" w:type="dxa"/>
            <w:vAlign w:val="bottom"/>
            <w:gridSpan w:val="2"/>
          </w:tcPr>
          <w:p>
            <w:pPr>
              <w:jc w:val="center"/>
              <w:ind w:right="813"/>
              <w:spacing w:after="0"/>
              <w:rPr>
                <w:sz w:val="20"/>
                <w:szCs w:val="20"/>
                <w:color w:val="auto"/>
              </w:rPr>
            </w:pPr>
            <w:r>
              <w:rPr>
                <w:rFonts w:ascii="Times New Roman" w:cs="Times New Roman" w:eastAsia="Times New Roman" w:hAnsi="Times New Roman"/>
                <w:sz w:val="17"/>
                <w:szCs w:val="17"/>
                <w:b w:val="1"/>
                <w:bCs w:val="1"/>
                <w:color w:val="auto"/>
              </w:rPr>
              <w:t>333 Ludlow Street, North Tower, 6th Floor Stamford, Connecticut</w:t>
            </w:r>
          </w:p>
        </w:tc>
        <w:tc>
          <w:tcPr>
            <w:tcW w:w="4740" w:type="dxa"/>
            <w:vAlign w:val="bottom"/>
          </w:tcPr>
          <w:p>
            <w:pPr>
              <w:jc w:val="center"/>
              <w:ind w:right="913"/>
              <w:spacing w:after="0"/>
              <w:rPr>
                <w:sz w:val="20"/>
                <w:szCs w:val="20"/>
                <w:color w:val="auto"/>
              </w:rPr>
            </w:pPr>
            <w:r>
              <w:rPr>
                <w:rFonts w:ascii="Times New Roman" w:cs="Times New Roman" w:eastAsia="Times New Roman" w:hAnsi="Times New Roman"/>
                <w:sz w:val="17"/>
                <w:szCs w:val="17"/>
                <w:b w:val="1"/>
                <w:bCs w:val="1"/>
                <w:color w:val="auto"/>
                <w:w w:val="98"/>
              </w:rPr>
              <w:t>06902</w:t>
            </w:r>
          </w:p>
        </w:tc>
      </w:tr>
      <w:tr>
        <w:trPr>
          <w:trHeight w:val="247"/>
        </w:trPr>
        <w:tc>
          <w:tcPr>
            <w:tcW w:w="4580" w:type="dxa"/>
            <w:vAlign w:val="bottom"/>
          </w:tcPr>
          <w:p>
            <w:pPr>
              <w:jc w:val="center"/>
              <w:ind w:left="9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920" w:type="dxa"/>
            <w:vAlign w:val="bottom"/>
          </w:tcPr>
          <w:p>
            <w:pPr>
              <w:spacing w:after="0"/>
              <w:rPr>
                <w:sz w:val="21"/>
                <w:szCs w:val="21"/>
                <w:color w:val="auto"/>
              </w:rPr>
            </w:pPr>
          </w:p>
        </w:tc>
        <w:tc>
          <w:tcPr>
            <w:tcW w:w="4740" w:type="dxa"/>
            <w:vAlign w:val="bottom"/>
          </w:tcPr>
          <w:p>
            <w:pPr>
              <w:jc w:val="center"/>
              <w:ind w:right="913"/>
              <w:spacing w:after="0"/>
              <w:rPr>
                <w:sz w:val="20"/>
                <w:szCs w:val="20"/>
                <w:color w:val="auto"/>
              </w:rPr>
            </w:pPr>
            <w:r>
              <w:rPr>
                <w:rFonts w:ascii="Times New Roman" w:cs="Times New Roman" w:eastAsia="Times New Roman" w:hAnsi="Times New Roman"/>
                <w:sz w:val="17"/>
                <w:szCs w:val="17"/>
                <w:color w:val="auto"/>
              </w:rPr>
              <w:t>(Zip Code)</w:t>
            </w:r>
          </w:p>
        </w:tc>
      </w:tr>
      <w:tr>
        <w:trPr>
          <w:trHeight w:val="411"/>
        </w:trPr>
        <w:tc>
          <w:tcPr>
            <w:tcW w:w="4580" w:type="dxa"/>
            <w:vAlign w:val="bottom"/>
          </w:tcPr>
          <w:p>
            <w:pPr>
              <w:spacing w:after="0"/>
              <w:rPr>
                <w:sz w:val="24"/>
                <w:szCs w:val="24"/>
                <w:color w:val="auto"/>
              </w:rPr>
            </w:pPr>
          </w:p>
        </w:tc>
        <w:tc>
          <w:tcPr>
            <w:tcW w:w="192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(800) 298-6470</w:t>
            </w:r>
          </w:p>
        </w:tc>
        <w:tc>
          <w:tcPr>
            <w:tcW w:w="4740" w:type="dxa"/>
            <w:vAlign w:val="bottom"/>
          </w:tcPr>
          <w:p>
            <w:pPr>
              <w:spacing w:after="0"/>
              <w:rPr>
                <w:sz w:val="24"/>
                <w:szCs w:val="24"/>
                <w:color w:val="auto"/>
              </w:rPr>
            </w:pPr>
          </w:p>
        </w:tc>
      </w:tr>
      <w:tr>
        <w:trPr>
          <w:trHeight w:val="227"/>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r>
      <w:tr>
        <w:trPr>
          <w:trHeight w:val="416"/>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9"/>
        </w:trPr>
        <w:tc>
          <w:tcPr>
            <w:tcW w:w="45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r>
      <w:tr>
        <w:trPr>
          <w:trHeight w:val="214"/>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4"/>
        </w:trPr>
        <w:tc>
          <w:tcPr>
            <w:tcW w:w="45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Class A common stock, par value $0.0001 per share</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WGS</w:t>
            </w:r>
          </w:p>
        </w:tc>
        <w:tc>
          <w:tcPr>
            <w:tcW w:w="4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Global Select Market</w:t>
            </w:r>
          </w:p>
        </w:tc>
      </w:tr>
      <w:tr>
        <w:trPr>
          <w:trHeight w:val="162"/>
        </w:trPr>
        <w:tc>
          <w:tcPr>
            <w:tcW w:w="4580" w:type="dxa"/>
            <w:vAlign w:val="bottom"/>
            <w:tcBorders>
              <w:left w:val="single" w:sz="8" w:color="auto"/>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Warrants to purchase one share of Class A common stock,</w:t>
            </w:r>
          </w:p>
        </w:tc>
        <w:tc>
          <w:tcPr>
            <w:tcW w:w="192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WGSWW</w:t>
            </w:r>
          </w:p>
        </w:tc>
        <w:tc>
          <w:tcPr>
            <w:tcW w:w="474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The Nasdaq Global Select Market</w:t>
            </w:r>
          </w:p>
        </w:tc>
      </w:tr>
      <w:tr>
        <w:trPr>
          <w:trHeight w:val="231"/>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each at an exercise price of $11.50 per share</w:t>
            </w:r>
          </w:p>
        </w:tc>
        <w:tc>
          <w:tcPr>
            <w:tcW w:w="19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r>
    </w:tbl>
    <w:p>
      <w:pPr>
        <w:spacing w:after="0" w:line="17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color w:val="auto"/>
        </w:rPr>
        <w:t xml:space="preserve">Securities registered pursuant to section 12(g) of the Act: </w:t>
      </w:r>
      <w:r>
        <w:rPr>
          <w:rFonts w:ascii="Times New Roman" w:cs="Times New Roman" w:eastAsia="Times New Roman" w:hAnsi="Times New Roman"/>
          <w:sz w:val="17"/>
          <w:szCs w:val="17"/>
          <w:b w:val="1"/>
          <w:bCs w:val="1"/>
          <w:color w:val="auto"/>
        </w:rPr>
        <w:t>None</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17"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1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50" w:lineRule="exact"/>
        <w:rPr>
          <w:sz w:val="24"/>
          <w:szCs w:val="24"/>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80" w:type="dxa"/>
            <w:vAlign w:val="bottom"/>
          </w:tcPr>
          <w:p>
            <w:pPr>
              <w:ind w:left="1700"/>
              <w:spacing w:after="0"/>
              <w:rPr>
                <w:sz w:val="20"/>
                <w:szCs w:val="20"/>
                <w:color w:val="auto"/>
              </w:rPr>
            </w:pPr>
            <w:r>
              <w:rPr>
                <w:rFonts w:ascii="Wingdings" w:cs="Wingdings" w:eastAsia="Wingdings" w:hAnsi="Wingdings"/>
                <w:sz w:val="17"/>
                <w:szCs w:val="17"/>
                <w:b w:val="1"/>
                <w:bCs w:val="1"/>
                <w:color w:val="auto"/>
              </w:rPr>
              <w:t>o</w:t>
            </w:r>
          </w:p>
        </w:tc>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Accelerated filer</w:t>
            </w:r>
          </w:p>
        </w:tc>
        <w:tc>
          <w:tcPr>
            <w:tcW w:w="1720" w:type="dxa"/>
            <w:vAlign w:val="bottom"/>
          </w:tcPr>
          <w:p>
            <w:pPr>
              <w:ind w:left="1540"/>
              <w:spacing w:after="0"/>
              <w:rPr>
                <w:sz w:val="20"/>
                <w:szCs w:val="20"/>
                <w:color w:val="auto"/>
              </w:rPr>
            </w:pPr>
            <w:r>
              <w:rPr>
                <w:rFonts w:ascii="Wingdings" w:cs="Wingdings" w:eastAsia="Wingdings" w:hAnsi="Wingdings"/>
                <w:sz w:val="17"/>
                <w:szCs w:val="17"/>
                <w:b w:val="1"/>
                <w:bCs w:val="1"/>
                <w:color w:val="auto"/>
                <w:w w:val="88"/>
              </w:rPr>
              <w:t>x</w:t>
            </w:r>
          </w:p>
        </w:tc>
      </w:tr>
      <w:tr>
        <w:trPr>
          <w:trHeight w:val="260"/>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80" w:type="dxa"/>
            <w:vAlign w:val="bottom"/>
          </w:tcPr>
          <w:p>
            <w:pPr>
              <w:ind w:left="1700"/>
              <w:spacing w:after="0"/>
              <w:rPr>
                <w:sz w:val="20"/>
                <w:szCs w:val="20"/>
                <w:color w:val="auto"/>
              </w:rPr>
            </w:pPr>
            <w:r>
              <w:rPr>
                <w:rFonts w:ascii="Wingdings" w:cs="Wingdings" w:eastAsia="Wingdings" w:hAnsi="Wingdings"/>
                <w:sz w:val="16"/>
                <w:szCs w:val="16"/>
                <w:b w:val="1"/>
                <w:bCs w:val="1"/>
                <w:color w:val="auto"/>
              </w:rPr>
              <w:t>o</w:t>
            </w:r>
          </w:p>
        </w:tc>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720" w:type="dxa"/>
            <w:vAlign w:val="bottom"/>
          </w:tcPr>
          <w:p>
            <w:pPr>
              <w:ind w:left="1540"/>
              <w:spacing w:after="0"/>
              <w:rPr>
                <w:sz w:val="20"/>
                <w:szCs w:val="20"/>
                <w:color w:val="auto"/>
              </w:rPr>
            </w:pPr>
            <w:r>
              <w:rPr>
                <w:rFonts w:ascii="Wingdings" w:cs="Wingdings" w:eastAsia="Wingdings" w:hAnsi="Wingdings"/>
                <w:sz w:val="16"/>
                <w:szCs w:val="16"/>
                <w:b w:val="1"/>
                <w:bCs w:val="1"/>
                <w:color w:val="auto"/>
                <w:w w:val="94"/>
              </w:rPr>
              <w:t>x</w:t>
            </w:r>
          </w:p>
        </w:tc>
      </w:tr>
      <w:tr>
        <w:trPr>
          <w:trHeight w:val="260"/>
        </w:trPr>
        <w:tc>
          <w:tcPr>
            <w:tcW w:w="32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720" w:type="dxa"/>
            <w:vAlign w:val="bottom"/>
          </w:tcPr>
          <w:p>
            <w:pPr>
              <w:ind w:left="154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90" w:lineRule="exact"/>
        <w:rPr>
          <w:sz w:val="24"/>
          <w:szCs w:val="24"/>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ectPr>
          <w:pgSz w:w="11900" w:h="16838" w:orient="portrait"/>
          <w:cols w:equalWidth="0" w:num="1">
            <w:col w:w="11240"/>
          </w:cols>
          <w:pgMar w:left="320" w:top="225" w:right="339" w:bottom="0" w:gutter="0" w:footer="0" w:header="0"/>
        </w:sectPr>
      </w:pPr>
    </w:p>
    <w:bookmarkStart w:id="1" w:name="page2"/>
    <w:bookmarkEnd w:id="1"/>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7252(b)) by the registered public accounting firm that prepared or issued its audit report. </w:t>
      </w:r>
      <w:r>
        <w:rPr>
          <w:rFonts w:ascii="Wingdings" w:cs="Wingdings" w:eastAsia="Wingdings" w:hAnsi="Wingdings"/>
          <w:sz w:val="17"/>
          <w:szCs w:val="17"/>
          <w:b w:val="1"/>
          <w:bCs w:val="1"/>
          <w:color w:val="auto"/>
        </w:rPr>
        <w:t>o</w:t>
      </w:r>
    </w:p>
    <w:p>
      <w:pPr>
        <w:spacing w:after="0" w:line="59"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7"/>
          <w:szCs w:val="17"/>
          <w:color w:val="auto"/>
        </w:rPr>
        <w:t>☐</w:t>
      </w:r>
    </w:p>
    <w:p>
      <w:pPr>
        <w:spacing w:after="0" w:line="12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7"/>
          <w:szCs w:val="17"/>
          <w:color w:val="auto"/>
        </w:rPr>
        <w:t>ﬃ</w:t>
      </w:r>
      <w:r>
        <w:rPr>
          <w:rFonts w:ascii="Times New Roman" w:cs="Times New Roman" w:eastAsia="Times New Roman" w:hAnsi="Times New Roman"/>
          <w:sz w:val="17"/>
          <w:szCs w:val="17"/>
          <w:color w:val="auto"/>
        </w:rPr>
        <w:t xml:space="preserve">cers during the relevant recovery period pursuant to §240.10D-1(b). </w:t>
      </w:r>
      <w:r>
        <w:rPr>
          <w:rFonts w:ascii="Arial Unicode MS" w:cs="Arial Unicode MS" w:eastAsia="Arial Unicode MS" w:hAnsi="Arial Unicode MS"/>
          <w:sz w:val="17"/>
          <w:szCs w:val="17"/>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aggregate market value of voting common stock held by non-affiliates of the registrant (assuming for purposes of this calculation, without conceding, that all executive officers and directors are “affiliates”) was approximately $218 million as of June 30, 2022, based on the closing sale price of such stock as reported on the Nasdaq Global Select Market.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798,247,286 shares of Class A common stock as of March 14, 2023.</w:t>
      </w:r>
    </w:p>
    <w:p>
      <w:pPr>
        <w:spacing w:after="0" w:line="16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Part III incorporates information by reference from the registrant’s definitive proxy statement to be filed with the Securities and Exchange Commission pursuant to Regulation 14A, not later than 120 days after the end of the fiscal year covered by this Annual Report on Form 10-K, in connection with the registrant’s 2023 Annual Meeting of Stockholders (the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1077595</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139700</wp:posOffset>
            </wp:positionV>
            <wp:extent cx="7063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165100</wp:posOffset>
            </wp:positionV>
            <wp:extent cx="7063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310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40" w:type="dxa"/>
            <w:vAlign w:val="bottom"/>
            <w:gridSpan w:val="10"/>
          </w:tcPr>
          <w:p>
            <w:pPr>
              <w:ind w:left="3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720" w:type="dxa"/>
            <w:vAlign w:val="bottom"/>
            <w:gridSpan w:val="34"/>
          </w:tcPr>
          <w:p>
            <w:pPr>
              <w:spacing w:after="0" w:line="188" w:lineRule="exact"/>
              <w:rPr>
                <w:sz w:val="20"/>
                <w:szCs w:val="20"/>
                <w:color w:val="auto"/>
              </w:rPr>
            </w:pPr>
            <w:r>
              <w:rPr>
                <w:rFonts w:ascii="Times New Roman" w:cs="Times New Roman" w:eastAsia="Times New Roman" w:hAnsi="Times New Roman"/>
                <w:sz w:val="17"/>
                <w:szCs w:val="17"/>
                <w:color w:val="0000FF"/>
              </w:rPr>
              <w:t>Explanatory Note</w:t>
            </w:r>
          </w:p>
        </w:tc>
        <w:tc>
          <w:tcPr>
            <w:tcW w:w="1500" w:type="dxa"/>
            <w:vAlign w:val="bottom"/>
          </w:tcPr>
          <w:p>
            <w:pPr>
              <w:jc w:val="center"/>
              <w:ind w:left="793"/>
              <w:spacing w:after="0" w:line="188" w:lineRule="exact"/>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72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Cautionary Note Regarding Forward Looking Statements</w:t>
            </w: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9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5740" w:type="dxa"/>
            <w:vAlign w:val="bottom"/>
            <w:gridSpan w:val="12"/>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0000FF"/>
            </w:tcBorders>
            <w:gridSpan w:val="5"/>
          </w:tcPr>
          <w:p>
            <w:pPr>
              <w:spacing w:after="0" w:line="167" w:lineRule="exact"/>
              <w:rPr>
                <w:sz w:val="20"/>
                <w:szCs w:val="20"/>
                <w:color w:val="auto"/>
              </w:rPr>
            </w:pPr>
            <w:r>
              <w:rPr>
                <w:rFonts w:ascii="Times New Roman" w:cs="Times New Roman" w:eastAsia="Times New Roman" w:hAnsi="Times New Roman"/>
                <w:sz w:val="17"/>
                <w:szCs w:val="17"/>
                <w:color w:val="0000FF"/>
                <w:w w:val="99"/>
              </w:rPr>
              <w:t>Item 1. Business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jc w:val="center"/>
              <w:ind w:left="793"/>
              <w:spacing w:after="0" w:line="181"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Item 1A. Risk Factors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1B. Unresolved Staff Comments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Item 2. Properties</w:t>
            </w:r>
          </w:p>
        </w:tc>
        <w:tc>
          <w:tcPr>
            <w:tcW w:w="600" w:type="dxa"/>
            <w:vAlign w:val="bottom"/>
            <w:gridSpan w:val="2"/>
          </w:tcPr>
          <w:p>
            <w:pPr>
              <w:spacing w:after="0"/>
              <w:rPr>
                <w:sz w:val="19"/>
                <w:szCs w:val="19"/>
                <w:color w:val="auto"/>
              </w:rPr>
            </w:pPr>
          </w:p>
        </w:tc>
        <w:tc>
          <w:tcPr>
            <w:tcW w:w="80" w:type="dxa"/>
            <w:vAlign w:val="bottom"/>
            <w:vMerge w:val="restart"/>
          </w:tcPr>
          <w:p>
            <w:pPr>
              <w:spacing w:after="0"/>
              <w:rPr>
                <w:sz w:val="19"/>
                <w:szCs w:val="19"/>
                <w:color w:val="auto"/>
              </w:rPr>
            </w:pPr>
          </w:p>
        </w:tc>
        <w:tc>
          <w:tcPr>
            <w:tcW w:w="1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80" w:type="dxa"/>
            <w:vAlign w:val="bottom"/>
            <w:gridSpan w:val="2"/>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40" w:type="dxa"/>
            <w:vAlign w:val="bottom"/>
            <w:gridSpan w:val="2"/>
            <w:vMerge w:val="restart"/>
          </w:tcPr>
          <w:p>
            <w:pPr>
              <w:spacing w:after="0"/>
              <w:rPr>
                <w:sz w:val="19"/>
                <w:szCs w:val="19"/>
                <w:color w:val="auto"/>
              </w:rPr>
            </w:pPr>
          </w:p>
        </w:tc>
        <w:tc>
          <w:tcPr>
            <w:tcW w:w="240" w:type="dxa"/>
            <w:vAlign w:val="bottom"/>
            <w:vMerge w:val="restart"/>
          </w:tcPr>
          <w:p>
            <w:pPr>
              <w:spacing w:after="0"/>
              <w:rPr>
                <w:sz w:val="19"/>
                <w:szCs w:val="19"/>
                <w:color w:val="auto"/>
              </w:rPr>
            </w:pPr>
          </w:p>
        </w:tc>
        <w:tc>
          <w:tcPr>
            <w:tcW w:w="5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300" w:type="dxa"/>
            <w:vAlign w:val="bottom"/>
            <w:vMerge w:val="restart"/>
          </w:tcPr>
          <w:p>
            <w:pPr>
              <w:spacing w:after="0"/>
              <w:rPr>
                <w:sz w:val="19"/>
                <w:szCs w:val="19"/>
                <w:color w:val="auto"/>
              </w:rPr>
            </w:pPr>
          </w:p>
        </w:tc>
        <w:tc>
          <w:tcPr>
            <w:tcW w:w="500" w:type="dxa"/>
            <w:vAlign w:val="bottom"/>
            <w:vMerge w:val="restart"/>
          </w:tcPr>
          <w:p>
            <w:pPr>
              <w:spacing w:after="0"/>
              <w:rPr>
                <w:sz w:val="19"/>
                <w:szCs w:val="19"/>
                <w:color w:val="auto"/>
              </w:rPr>
            </w:pPr>
          </w:p>
        </w:tc>
        <w:tc>
          <w:tcPr>
            <w:tcW w:w="500" w:type="dxa"/>
            <w:vAlign w:val="bottom"/>
            <w:vMerge w:val="restart"/>
          </w:tcPr>
          <w:p>
            <w:pPr>
              <w:spacing w:after="0"/>
              <w:rPr>
                <w:sz w:val="19"/>
                <w:szCs w:val="19"/>
                <w:color w:val="auto"/>
              </w:rPr>
            </w:pPr>
          </w:p>
        </w:tc>
        <w:tc>
          <w:tcPr>
            <w:tcW w:w="8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780" w:type="dxa"/>
            <w:vAlign w:val="bottom"/>
            <w:vMerge w:val="restart"/>
          </w:tcPr>
          <w:p>
            <w:pPr>
              <w:spacing w:after="0"/>
              <w:rPr>
                <w:sz w:val="19"/>
                <w:szCs w:val="19"/>
                <w:color w:val="auto"/>
              </w:rPr>
            </w:pPr>
          </w:p>
        </w:tc>
        <w:tc>
          <w:tcPr>
            <w:tcW w:w="640" w:type="dxa"/>
            <w:vAlign w:val="bottom"/>
            <w:vMerge w:val="restart"/>
          </w:tcPr>
          <w:p>
            <w:pPr>
              <w:spacing w:after="0"/>
              <w:rPr>
                <w:sz w:val="19"/>
                <w:szCs w:val="19"/>
                <w:color w:val="auto"/>
              </w:rPr>
            </w:pPr>
          </w:p>
        </w:tc>
        <w:tc>
          <w:tcPr>
            <w:tcW w:w="1040" w:type="dxa"/>
            <w:vAlign w:val="bottom"/>
            <w:vMerge w:val="restart"/>
          </w:tcPr>
          <w:p>
            <w:pPr>
              <w:spacing w:after="0"/>
              <w:rPr>
                <w:sz w:val="19"/>
                <w:szCs w:val="19"/>
                <w:color w:val="auto"/>
              </w:rPr>
            </w:pPr>
          </w:p>
        </w:tc>
        <w:tc>
          <w:tcPr>
            <w:tcW w:w="1500" w:type="dxa"/>
            <w:vAlign w:val="bottom"/>
            <w:vMerge w:val="restart"/>
          </w:tcPr>
          <w:p>
            <w:pPr>
              <w:jc w:val="center"/>
              <w:ind w:left="793"/>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2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Borders>
              <w:bottom w:val="single" w:sz="8" w:color="0000FF"/>
            </w:tcBorders>
            <w:gridSpan w:val="9"/>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480" w:type="dxa"/>
            <w:vAlign w:val="bottom"/>
            <w:gridSpan w:val="2"/>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340" w:type="dxa"/>
            <w:vAlign w:val="bottom"/>
            <w:gridSpan w:val="2"/>
            <w:vMerge w:val="restart"/>
          </w:tcPr>
          <w:p>
            <w:pPr>
              <w:spacing w:after="0"/>
              <w:rPr>
                <w:sz w:val="15"/>
                <w:szCs w:val="15"/>
                <w:color w:val="auto"/>
              </w:rPr>
            </w:pPr>
          </w:p>
        </w:tc>
        <w:tc>
          <w:tcPr>
            <w:tcW w:w="24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500" w:type="dxa"/>
            <w:vAlign w:val="bottom"/>
            <w:vMerge w:val="restart"/>
          </w:tcPr>
          <w:p>
            <w:pPr>
              <w:spacing w:after="0"/>
              <w:rPr>
                <w:sz w:val="15"/>
                <w:szCs w:val="15"/>
                <w:color w:val="auto"/>
              </w:rPr>
            </w:pPr>
          </w:p>
        </w:tc>
        <w:tc>
          <w:tcPr>
            <w:tcW w:w="500" w:type="dxa"/>
            <w:vAlign w:val="bottom"/>
            <w:vMerge w:val="restart"/>
          </w:tcPr>
          <w:p>
            <w:pPr>
              <w:spacing w:after="0"/>
              <w:rPr>
                <w:sz w:val="15"/>
                <w:szCs w:val="15"/>
                <w:color w:val="auto"/>
              </w:rPr>
            </w:pPr>
          </w:p>
        </w:tc>
        <w:tc>
          <w:tcPr>
            <w:tcW w:w="88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780" w:type="dxa"/>
            <w:vAlign w:val="bottom"/>
            <w:vMerge w:val="restart"/>
          </w:tcPr>
          <w:p>
            <w:pPr>
              <w:spacing w:after="0"/>
              <w:rPr>
                <w:sz w:val="15"/>
                <w:szCs w:val="15"/>
                <w:color w:val="auto"/>
              </w:rPr>
            </w:pPr>
          </w:p>
        </w:tc>
        <w:tc>
          <w:tcPr>
            <w:tcW w:w="640" w:type="dxa"/>
            <w:vAlign w:val="bottom"/>
            <w:vMerge w:val="restart"/>
          </w:tcPr>
          <w:p>
            <w:pPr>
              <w:spacing w:after="0"/>
              <w:rPr>
                <w:sz w:val="15"/>
                <w:szCs w:val="15"/>
                <w:color w:val="auto"/>
              </w:rPr>
            </w:pPr>
          </w:p>
        </w:tc>
        <w:tc>
          <w:tcPr>
            <w:tcW w:w="1040" w:type="dxa"/>
            <w:vAlign w:val="bottom"/>
            <w:vMerge w:val="restart"/>
          </w:tcPr>
          <w:p>
            <w:pPr>
              <w:spacing w:after="0"/>
              <w:rPr>
                <w:sz w:val="15"/>
                <w:szCs w:val="15"/>
                <w:color w:val="auto"/>
              </w:rPr>
            </w:pPr>
          </w:p>
        </w:tc>
        <w:tc>
          <w:tcPr>
            <w:tcW w:w="1500" w:type="dxa"/>
            <w:vAlign w:val="bottom"/>
            <w:vMerge w:val="restart"/>
          </w:tcPr>
          <w:p>
            <w:pPr>
              <w:jc w:val="center"/>
              <w:ind w:left="793"/>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40" w:type="dxa"/>
            <w:vAlign w:val="bottom"/>
            <w:gridSpan w:val="13"/>
            <w:vMerge w:val="restart"/>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40" w:type="dxa"/>
            <w:vAlign w:val="bottom"/>
            <w:tcBorders>
              <w:bottom w:val="single" w:sz="8" w:color="0000FF"/>
            </w:tcBorders>
            <w:gridSpan w:val="1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00" w:type="dxa"/>
            <w:vAlign w:val="bottom"/>
            <w:vMerge w:val="restart"/>
          </w:tcPr>
          <w:p>
            <w:pPr>
              <w:jc w:val="center"/>
              <w:ind w:left="793"/>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9720" w:type="dxa"/>
            <w:vAlign w:val="bottom"/>
            <w:gridSpan w:val="34"/>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9720" w:type="dxa"/>
            <w:vAlign w:val="bottom"/>
            <w:gridSpan w:val="34"/>
            <w:vMerge w:val="continue"/>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80" w:type="dxa"/>
            <w:vAlign w:val="bottom"/>
            <w:tcBorders>
              <w:bottom w:val="single" w:sz="8" w:color="0000FF"/>
            </w:tcBorders>
            <w:gridSpan w:val="32"/>
          </w:tcPr>
          <w:p>
            <w:pPr>
              <w:spacing w:after="0" w:line="167" w:lineRule="exact"/>
              <w:rPr>
                <w:sz w:val="20"/>
                <w:szCs w:val="20"/>
                <w:color w:val="auto"/>
              </w:rPr>
            </w:pPr>
            <w:r>
              <w:rPr>
                <w:rFonts w:ascii="Times New Roman" w:cs="Times New Roman" w:eastAsia="Times New Roman" w:hAnsi="Times New Roman"/>
                <w:sz w:val="17"/>
                <w:szCs w:val="17"/>
                <w:color w:val="0000FF"/>
              </w:rPr>
              <w:t>Item 5. Market for Registrant's Common Equity, Related Stockholder Matters and Issuer Purchases of Equity Securities</w:t>
            </w:r>
          </w:p>
        </w:tc>
        <w:tc>
          <w:tcPr>
            <w:tcW w:w="1040" w:type="dxa"/>
            <w:vAlign w:val="bottom"/>
          </w:tcPr>
          <w:p>
            <w:pPr>
              <w:spacing w:after="0"/>
              <w:rPr>
                <w:sz w:val="16"/>
                <w:szCs w:val="16"/>
                <w:color w:val="auto"/>
              </w:rPr>
            </w:pPr>
          </w:p>
        </w:tc>
        <w:tc>
          <w:tcPr>
            <w:tcW w:w="1500" w:type="dxa"/>
            <w:vAlign w:val="bottom"/>
          </w:tcPr>
          <w:p>
            <w:pPr>
              <w:jc w:val="center"/>
              <w:ind w:left="793"/>
              <w:spacing w:after="0" w:line="181" w:lineRule="exact"/>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6. Reserved</w:t>
            </w:r>
          </w:p>
        </w:tc>
        <w:tc>
          <w:tcPr>
            <w:tcW w:w="720" w:type="dxa"/>
            <w:vAlign w:val="bottom"/>
            <w:gridSpan w:val="4"/>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7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Item 7A. Quantitative and Qualitative Disclosures About Market Risk</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Item 8. Financial Statements and Supplementary Data</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3"/>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Loss</w:t>
            </w:r>
          </w:p>
        </w:tc>
        <w:tc>
          <w:tcPr>
            <w:tcW w:w="6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Consolidated Statement of Stockholders' Equity (Deficit</w:t>
            </w:r>
          </w:p>
        </w:tc>
        <w:tc>
          <w:tcPr>
            <w:tcW w:w="5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5"/>
          </w:tcPr>
          <w:p>
            <w:pPr>
              <w:spacing w:after="0"/>
              <w:rPr>
                <w:sz w:val="19"/>
                <w:szCs w:val="19"/>
                <w:color w:val="auto"/>
              </w:rPr>
            </w:pPr>
          </w:p>
        </w:tc>
        <w:tc>
          <w:tcPr>
            <w:tcW w:w="8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spacing w:after="0"/>
              <w:rPr>
                <w:sz w:val="24"/>
                <w:szCs w:val="24"/>
                <w:color w:val="auto"/>
              </w:rPr>
            </w:pPr>
          </w:p>
        </w:tc>
        <w:tc>
          <w:tcPr>
            <w:tcW w:w="8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gridSpan w:val="2"/>
          </w:tcPr>
          <w:p>
            <w:pPr>
              <w:spacing w:after="0"/>
              <w:rPr>
                <w:sz w:val="24"/>
                <w:szCs w:val="24"/>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Disclosures</w:t>
            </w:r>
          </w:p>
        </w:tc>
        <w:tc>
          <w:tcPr>
            <w:tcW w:w="78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Item 9A. Controls and Procedures</w:t>
            </w:r>
          </w:p>
        </w:tc>
        <w:tc>
          <w:tcPr>
            <w:tcW w:w="102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5"/>
          </w:tcPr>
          <w:p>
            <w:pPr>
              <w:spacing w:after="0"/>
              <w:rPr>
                <w:sz w:val="19"/>
                <w:szCs w:val="19"/>
                <w:color w:val="auto"/>
              </w:rPr>
            </w:pPr>
          </w:p>
        </w:tc>
        <w:tc>
          <w:tcPr>
            <w:tcW w:w="8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gridSpan w:val="3"/>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9B. Other Information</w:t>
            </w:r>
          </w:p>
        </w:tc>
        <w:tc>
          <w:tcPr>
            <w:tcW w:w="20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04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5"/>
          </w:tcPr>
          <w:p>
            <w:pPr>
              <w:spacing w:after="0"/>
              <w:rPr>
                <w:sz w:val="19"/>
                <w:szCs w:val="19"/>
                <w:color w:val="auto"/>
              </w:rPr>
            </w:pPr>
          </w:p>
        </w:tc>
        <w:tc>
          <w:tcPr>
            <w:tcW w:w="8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gridSpan w:val="3"/>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p>
        </w:tc>
        <w:tc>
          <w:tcPr>
            <w:tcW w:w="500" w:type="dxa"/>
            <w:vAlign w:val="bottom"/>
          </w:tcPr>
          <w:p>
            <w:pPr>
              <w:spacing w:after="0"/>
              <w:rPr>
                <w:sz w:val="19"/>
                <w:szCs w:val="19"/>
                <w:color w:val="auto"/>
              </w:rPr>
            </w:pPr>
          </w:p>
        </w:tc>
        <w:tc>
          <w:tcPr>
            <w:tcW w:w="1780" w:type="dxa"/>
            <w:vAlign w:val="bottom"/>
            <w:gridSpan w:val="3"/>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9720" w:type="dxa"/>
            <w:vAlign w:val="bottom"/>
            <w:gridSpan w:val="34"/>
          </w:tcPr>
          <w:p>
            <w:pPr>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60" w:type="dxa"/>
            <w:vAlign w:val="bottom"/>
            <w:tcBorders>
              <w:bottom w:val="single" w:sz="8" w:color="0000FF"/>
            </w:tcBorders>
            <w:gridSpan w:val="25"/>
          </w:tcPr>
          <w:p>
            <w:pPr>
              <w:spacing w:after="0" w:line="167" w:lineRule="exact"/>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1300" w:type="dxa"/>
            <w:vAlign w:val="bottom"/>
            <w:gridSpan w:val="3"/>
          </w:tcPr>
          <w:p>
            <w:pPr>
              <w:spacing w:after="0"/>
              <w:rPr>
                <w:sz w:val="16"/>
                <w:szCs w:val="16"/>
                <w:color w:val="auto"/>
              </w:rPr>
            </w:pPr>
          </w:p>
        </w:tc>
        <w:tc>
          <w:tcPr>
            <w:tcW w:w="1780" w:type="dxa"/>
            <w:vAlign w:val="bottom"/>
            <w:gridSpan w:val="3"/>
          </w:tcPr>
          <w:p>
            <w:pPr>
              <w:spacing w:after="0"/>
              <w:rPr>
                <w:sz w:val="16"/>
                <w:szCs w:val="16"/>
                <w:color w:val="auto"/>
              </w:rPr>
            </w:pPr>
          </w:p>
        </w:tc>
        <w:tc>
          <w:tcPr>
            <w:tcW w:w="1680" w:type="dxa"/>
            <w:vAlign w:val="bottom"/>
            <w:gridSpan w:val="2"/>
          </w:tcPr>
          <w:p>
            <w:pPr>
              <w:spacing w:after="0"/>
              <w:rPr>
                <w:sz w:val="16"/>
                <w:szCs w:val="16"/>
                <w:color w:val="auto"/>
              </w:rPr>
            </w:pPr>
          </w:p>
        </w:tc>
        <w:tc>
          <w:tcPr>
            <w:tcW w:w="1500" w:type="dxa"/>
            <w:vAlign w:val="bottom"/>
          </w:tcPr>
          <w:p>
            <w:pPr>
              <w:jc w:val="center"/>
              <w:ind w:left="793"/>
              <w:spacing w:after="0" w:line="188" w:lineRule="exact"/>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104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8"/>
          </w:tcPr>
          <w:p>
            <w:pPr>
              <w:spacing w:after="0"/>
              <w:rPr>
                <w:sz w:val="19"/>
                <w:szCs w:val="19"/>
                <w:color w:val="auto"/>
              </w:rPr>
            </w:pPr>
          </w:p>
        </w:tc>
        <w:tc>
          <w:tcPr>
            <w:tcW w:w="1780" w:type="dxa"/>
            <w:vAlign w:val="bottom"/>
            <w:gridSpan w:val="3"/>
          </w:tcPr>
          <w:p>
            <w:pPr>
              <w:spacing w:after="0"/>
              <w:rPr>
                <w:sz w:val="19"/>
                <w:szCs w:val="19"/>
                <w:color w:val="auto"/>
              </w:rPr>
            </w:pP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Stockholder Matters</w:t>
            </w:r>
          </w:p>
        </w:tc>
        <w:tc>
          <w:tcPr>
            <w:tcW w:w="1680" w:type="dxa"/>
            <w:vAlign w:val="bottom"/>
            <w:gridSpan w:val="2"/>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7"/>
                <w:szCs w:val="17"/>
                <w:color w:val="0000FF"/>
              </w:rPr>
              <w:t>Item 13. Certain Relationships and Related Transactions, and Director Independence</w:t>
            </w:r>
          </w:p>
        </w:tc>
        <w:tc>
          <w:tcPr>
            <w:tcW w:w="3460" w:type="dxa"/>
            <w:vAlign w:val="bottom"/>
            <w:gridSpan w:val="5"/>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Item 14. Principal Accounting Fees and Services</w:t>
            </w:r>
          </w:p>
        </w:tc>
        <w:tc>
          <w:tcPr>
            <w:tcW w:w="20" w:type="dxa"/>
            <w:vAlign w:val="bottom"/>
          </w:tcPr>
          <w:p>
            <w:pPr>
              <w:spacing w:after="0"/>
              <w:rPr>
                <w:sz w:val="19"/>
                <w:szCs w:val="19"/>
                <w:color w:val="auto"/>
              </w:rPr>
            </w:pPr>
          </w:p>
        </w:tc>
        <w:tc>
          <w:tcPr>
            <w:tcW w:w="5920" w:type="dxa"/>
            <w:vAlign w:val="bottom"/>
            <w:gridSpan w:val="13"/>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9720" w:type="dxa"/>
            <w:vAlign w:val="bottom"/>
            <w:gridSpan w:val="34"/>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0" w:type="dxa"/>
            <w:vAlign w:val="bottom"/>
            <w:tcBorders>
              <w:bottom w:val="single" w:sz="8" w:color="0000FF"/>
            </w:tcBorders>
            <w:gridSpan w:val="20"/>
          </w:tcPr>
          <w:p>
            <w:pPr>
              <w:spacing w:after="0" w:line="167" w:lineRule="exact"/>
              <w:rPr>
                <w:sz w:val="20"/>
                <w:szCs w:val="20"/>
                <w:color w:val="auto"/>
              </w:rPr>
            </w:pPr>
            <w:r>
              <w:rPr>
                <w:rFonts w:ascii="Times New Roman" w:cs="Times New Roman" w:eastAsia="Times New Roman" w:hAnsi="Times New Roman"/>
                <w:sz w:val="17"/>
                <w:szCs w:val="17"/>
                <w:color w:val="0000FF"/>
              </w:rPr>
              <w:t>Item 15. Exhibits, Financial Statement Schedules</w:t>
            </w:r>
          </w:p>
        </w:tc>
        <w:tc>
          <w:tcPr>
            <w:tcW w:w="5920" w:type="dxa"/>
            <w:vAlign w:val="bottom"/>
            <w:gridSpan w:val="13"/>
          </w:tcPr>
          <w:p>
            <w:pPr>
              <w:spacing w:after="0"/>
              <w:rPr>
                <w:sz w:val="16"/>
                <w:szCs w:val="16"/>
                <w:color w:val="auto"/>
              </w:rPr>
            </w:pPr>
          </w:p>
        </w:tc>
        <w:tc>
          <w:tcPr>
            <w:tcW w:w="1500" w:type="dxa"/>
            <w:vAlign w:val="bottom"/>
          </w:tcPr>
          <w:p>
            <w:pPr>
              <w:jc w:val="center"/>
              <w:ind w:left="793"/>
              <w:spacing w:after="0" w:line="181" w:lineRule="exact"/>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7220" w:type="dxa"/>
            <w:vAlign w:val="bottom"/>
            <w:gridSpan w:val="21"/>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4"/>
              </w:rPr>
              <w:t>Signatures</w:t>
            </w:r>
          </w:p>
        </w:tc>
        <w:tc>
          <w:tcPr>
            <w:tcW w:w="8600" w:type="dxa"/>
            <w:vAlign w:val="bottom"/>
            <w:gridSpan w:val="30"/>
          </w:tcPr>
          <w:p>
            <w:pPr>
              <w:spacing w:after="0"/>
              <w:rPr>
                <w:sz w:val="19"/>
                <w:szCs w:val="19"/>
                <w:color w:val="auto"/>
              </w:rPr>
            </w:pPr>
          </w:p>
        </w:tc>
        <w:tc>
          <w:tcPr>
            <w:tcW w:w="1500" w:type="dxa"/>
            <w:vAlign w:val="bottom"/>
          </w:tcPr>
          <w:p>
            <w:pPr>
              <w:jc w:val="center"/>
              <w:ind w:left="793"/>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172"/>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otherwise stated in this Annual Report or the context otherwise requires, references to:</w:t>
      </w:r>
    </w:p>
    <w:p>
      <w:pPr>
        <w:spacing w:after="0" w:line="247" w:lineRule="exact"/>
        <w:rPr>
          <w:sz w:val="20"/>
          <w:szCs w:val="20"/>
          <w:color w:val="auto"/>
        </w:rPr>
      </w:pPr>
    </w:p>
    <w:p>
      <w:pPr>
        <w:ind w:left="620" w:hanging="304"/>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GeneDx Holdings” refer to GeneDx Holdings Corp., a Delaware corporation (f/k/a Sema4 Holdings Corp. (“Sema4 Holdings”));</w:t>
      </w:r>
    </w:p>
    <w:p>
      <w:pPr>
        <w:spacing w:after="0" w:line="285" w:lineRule="exact"/>
        <w:rPr>
          <w:rFonts w:ascii="Arial" w:cs="Arial" w:eastAsia="Arial" w:hAnsi="Arial"/>
          <w:sz w:val="17"/>
          <w:szCs w:val="17"/>
          <w:color w:val="auto"/>
        </w:rPr>
      </w:pPr>
    </w:p>
    <w:p>
      <w:pPr>
        <w:ind w:left="620" w:hanging="304"/>
        <w:spacing w:after="0" w:line="238"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“Legacy GeneDx” refer to GeneDx, LLC, a Delaware limited liability company (formerly, GeneDx, Inc., a New Jersey corporation), which we acquired on April 29, 2022 (the “Acquisition”);</w:t>
      </w:r>
    </w:p>
    <w:p>
      <w:pPr>
        <w:spacing w:after="0" w:line="217" w:lineRule="exact"/>
        <w:rPr>
          <w:rFonts w:ascii="Arial" w:cs="Arial" w:eastAsia="Arial" w:hAnsi="Arial"/>
          <w:sz w:val="21"/>
          <w:szCs w:val="21"/>
          <w:color w:val="auto"/>
        </w:rPr>
      </w:pPr>
    </w:p>
    <w:p>
      <w:pPr>
        <w:ind w:left="620" w:hanging="304"/>
        <w:spacing w:after="0" w:line="293"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Sema4” refer to Mount Sinai Genomics, Inc. d/b/a as Sema4, a Delaware corporation, which consummated the business combination with CM Life Sciences, Inc. (“CMLS”) on July 22, 2021 (the “Business Combination”); and</w:t>
      </w:r>
    </w:p>
    <w:p>
      <w:pPr>
        <w:spacing w:after="0" w:line="17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and “our,” the “Company” and “GeneDx” refer, as the context requires, to:</w:t>
      </w:r>
    </w:p>
    <w:p>
      <w:pPr>
        <w:spacing w:after="0" w:line="246" w:lineRule="exact"/>
        <w:rPr>
          <w:rFonts w:ascii="Times New Roman" w:cs="Times New Roman" w:eastAsia="Times New Roman" w:hAnsi="Times New Roman"/>
          <w:sz w:val="17"/>
          <w:szCs w:val="17"/>
          <w:color w:val="auto"/>
        </w:rPr>
      </w:pPr>
    </w:p>
    <w:p>
      <w:pPr>
        <w:ind w:left="1260" w:hanging="319"/>
        <w:spacing w:after="0" w:line="293" w:lineRule="auto"/>
        <w:tabs>
          <w:tab w:leader="none" w:pos="125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Sema4 prior to the Business Combination, and GeneDx Holdings and its consolidated subsidiaries following the consummation of the Business Combination; and</w:t>
      </w:r>
    </w:p>
    <w:p>
      <w:pPr>
        <w:spacing w:after="0" w:line="173" w:lineRule="exact"/>
        <w:rPr>
          <w:rFonts w:ascii="Times New Roman" w:cs="Times New Roman" w:eastAsia="Times New Roman" w:hAnsi="Times New Roman"/>
          <w:sz w:val="17"/>
          <w:szCs w:val="17"/>
          <w:color w:val="auto"/>
        </w:rPr>
      </w:pPr>
    </w:p>
    <w:p>
      <w:pPr>
        <w:ind w:left="1260" w:hanging="319"/>
        <w:spacing w:after="0" w:line="266" w:lineRule="auto"/>
        <w:tabs>
          <w:tab w:leader="none" w:pos="1295"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GeneDx prior to the Acquisition, and GeneDx Holdings and its consolidated subsidiaries following the consummation of the Acquisition.</w:t>
      </w:r>
    </w:p>
    <w:p>
      <w:pPr>
        <w:spacing w:after="0" w:line="200" w:lineRule="exact"/>
        <w:rPr>
          <w:sz w:val="20"/>
          <w:szCs w:val="20"/>
          <w:color w:val="auto"/>
        </w:rPr>
      </w:pPr>
    </w:p>
    <w:p>
      <w:pPr>
        <w:spacing w:after="0" w:line="221" w:lineRule="exact"/>
        <w:rPr>
          <w:sz w:val="20"/>
          <w:szCs w:val="20"/>
          <w:color w:val="auto"/>
        </w:rPr>
      </w:pPr>
    </w:p>
    <w:p>
      <w:pPr>
        <w:ind w:right="80" w:firstLine="312"/>
        <w:spacing w:after="0" w:line="247" w:lineRule="auto"/>
        <w:rPr>
          <w:sz w:val="20"/>
          <w:szCs w:val="20"/>
          <w:color w:val="auto"/>
        </w:rPr>
      </w:pPr>
      <w:r>
        <w:rPr>
          <w:rFonts w:ascii="Times New Roman" w:cs="Times New Roman" w:eastAsia="Times New Roman" w:hAnsi="Times New Roman"/>
          <w:sz w:val="17"/>
          <w:szCs w:val="17"/>
          <w:color w:val="auto"/>
        </w:rPr>
        <w:t>In addition, as described in more detail herein, we are pursuing a new strategic direction focused on our whole exome and genome sequencing business coupled with our Centrellis® data platform. We completed the exit of our reproductive and women’s health testing business, during the first quarter of 2023, and we also completed the exit of our somatic tumor testing services during the fourth quarter of 2022. For more information, see Item 7.</w:t>
      </w:r>
    </w:p>
    <w:p>
      <w:pPr>
        <w:spacing w:after="0" w:line="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Unless the context otherwise requires, the description of our business and operations in this Annual Report assumes the completion of the exits from somatic tumor testing services and the reproductive and women’s health testing business.</w:t>
      </w:r>
    </w:p>
    <w:p>
      <w:pPr>
        <w:spacing w:after="0" w:line="20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8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Certain matters discussed in this Annual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Annual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323" w:lineRule="exact"/>
        <w:rPr>
          <w:sz w:val="20"/>
          <w:szCs w:val="20"/>
          <w:color w:val="auto"/>
        </w:rPr>
      </w:pPr>
    </w:p>
    <w:p>
      <w:pPr>
        <w:ind w:left="1260" w:right="60" w:hanging="631"/>
        <w:spacing w:after="0" w:line="251" w:lineRule="auto"/>
        <w:tabs>
          <w:tab w:leader="none" w:pos="12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the sufficiency of our existing capital resources combined with future anticipated cash flows and future capital requirements to finance our operating requirements, and capital expenditures;</w:t>
      </w:r>
    </w:p>
    <w:p>
      <w:pPr>
        <w:spacing w:after="0" w:line="1"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for generating revenue, incurring losses, and becoming profitable on a sustained basis;</w:t>
      </w:r>
    </w:p>
    <w:p>
      <w:pPr>
        <w:ind w:left="1260" w:right="760" w:hanging="631"/>
        <w:spacing w:after="0" w:line="253" w:lineRule="auto"/>
        <w:tabs>
          <w:tab w:leader="none" w:pos="12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circumstances or other disruptions to normal business operations, including supply chain interruptions and manufacturing constraints, arising from or related to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emergencies such as but not limited to the COVID-19 pandemic, natural disasters, acts of terrorism or other uncontrollable events;</w:t>
      </w:r>
    </w:p>
    <w:p>
      <w:pPr>
        <w:spacing w:after="0" w:line="20" w:lineRule="exact"/>
        <w:rPr>
          <w:sz w:val="20"/>
          <w:szCs w:val="20"/>
          <w:color w:val="auto"/>
        </w:rPr>
      </w:pPr>
    </w:p>
    <w:p>
      <w:pPr>
        <w:ind w:left="1260" w:right="120" w:hanging="631"/>
        <w:spacing w:after="0" w:line="246" w:lineRule="auto"/>
        <w:tabs>
          <w:tab w:leader="none" w:pos="1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implement our business strategy;</w:t>
      </w:r>
    </w:p>
    <w:p>
      <w:pPr>
        <w:spacing w:after="0" w:line="25"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or ability to enter into service, collaboration and other partnership agreements;</w:t>
      </w:r>
    </w:p>
    <w:p>
      <w:pPr>
        <w:spacing w:after="0" w:line="33"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or ability to build our own commercial infrastructure to scale market and sell our products;</w:t>
      </w:r>
    </w:p>
    <w:p>
      <w:pPr>
        <w:spacing w:after="0" w:line="31"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or authorizations by the U.S. Food and Drug Administration, (the “FDA”), or other regulatory authorities;</w:t>
      </w:r>
    </w:p>
    <w:p>
      <w:pPr>
        <w:spacing w:after="0" w:line="25" w:lineRule="exact"/>
        <w:rPr>
          <w:rFonts w:ascii="Times New Roman" w:cs="Times New Roman" w:eastAsia="Times New Roman" w:hAnsi="Times New Roman"/>
          <w:sz w:val="17"/>
          <w:szCs w:val="17"/>
          <w:color w:val="auto"/>
        </w:rPr>
      </w:pPr>
    </w:p>
    <w:p>
      <w:pPr>
        <w:ind w:left="1260" w:hanging="631"/>
        <w:spacing w:after="0" w:line="268" w:lineRule="auto"/>
        <w:tabs>
          <w:tab w:leader="none" w:pos="1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governmental regulation and other legal obligations, including privacy, data protection, information security, consumer protection, and anti-corruption and anti-bribery;</w:t>
      </w: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intellectual property protection for our product candidates;</w:t>
      </w:r>
    </w:p>
    <w:p>
      <w:pPr>
        <w:spacing w:after="0" w:line="31"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against existing and emerging technologies;</w:t>
      </w:r>
    </w:p>
    <w:p>
      <w:pPr>
        <w:spacing w:after="0" w:line="14"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payor reimbursement and coverage decisions, negotiations and settlements;</w:t>
      </w:r>
    </w:p>
    <w:p>
      <w:pPr>
        <w:spacing w:after="0" w:line="11"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third-party service providers for our data programs;</w:t>
      </w:r>
    </w:p>
    <w:p>
      <w:pPr>
        <w:spacing w:after="0" w:line="25" w:lineRule="exact"/>
        <w:rPr>
          <w:rFonts w:ascii="Times New Roman" w:cs="Times New Roman" w:eastAsia="Times New Roman" w:hAnsi="Times New Roman"/>
          <w:sz w:val="17"/>
          <w:szCs w:val="17"/>
          <w:color w:val="auto"/>
        </w:rPr>
      </w:pPr>
    </w:p>
    <w:p>
      <w:pPr>
        <w:jc w:val="both"/>
        <w:ind w:left="1260" w:hanging="631"/>
        <w:spacing w:after="0" w:line="258" w:lineRule="auto"/>
        <w:tabs>
          <w:tab w:leader="none" w:pos="1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accounting estimates and judgments, including our expectations regarding the adequacy of our reserves for third party payor claims, our estimates of the fair value of the milestone payments related to the Acquisition and our conclusions regarding the appropriateness of the carrying value of intangible assets and goodwill;</w:t>
      </w:r>
    </w:p>
    <w:p>
      <w:pPr>
        <w:spacing w:after="0" w:line="1"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satisfy Nasdaq listing rules;</w:t>
      </w:r>
    </w:p>
    <w:p>
      <w:pPr>
        <w:spacing w:after="0" w:line="31"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and its volatility; and</w:t>
      </w:r>
    </w:p>
    <w:p>
      <w:pPr>
        <w:spacing w:after="0" w:line="25"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personnel.</w:t>
      </w:r>
    </w:p>
    <w:p>
      <w:pPr>
        <w:spacing w:after="0" w:line="189"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forward-looking statements contained in this Annual Report reflect our views and assumptions only as of the date that this report is signed. Except as required by law, we assume no responsibility for updating any forward-looking statements.</w:t>
      </w:r>
    </w:p>
    <w:p>
      <w:pPr>
        <w:spacing w:after="0" w:line="108"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6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i w:val="1"/>
          <w:iCs w:val="1"/>
          <w:color w:val="auto"/>
        </w:rPr>
        <w:t>We are pursuing a new strategic direction focused on our exome and genome sequencing business coupled with our Centrellis® data platform. We completed the exit of our reproductive and women’s health testing business, during the first quarter of 2023, and we also completed the exit of the somatic tumor testing business during the fourth quarter of 2022. For more information, see “Management’s Discussion and Analysis of Financial Condition and Results of Operations.” Unless the context otherwise requires, the description of our business and operations below assumes the completion of the exits from the somatic tumor testing and the reproductive and women’s health testing businesses.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operate with conviction that what is best for patients must be embedded in every aspect of our work. At GeneDx, we believe:</w:t>
      </w:r>
    </w:p>
    <w:p>
      <w:pPr>
        <w:spacing w:after="0" w:line="169" w:lineRule="exact"/>
        <w:rPr>
          <w:sz w:val="20"/>
          <w:szCs w:val="20"/>
          <w:color w:val="auto"/>
        </w:rPr>
      </w:pPr>
    </w:p>
    <w:p>
      <w:pPr>
        <w:ind w:left="620" w:hanging="304"/>
        <w:spacing w:after="0" w:line="293" w:lineRule="auto"/>
        <w:tabs>
          <w:tab w:leader="none" w:pos="6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genomic information has broad utility, and every person should have access to their genome—delivered expertly, ethically and responsibly—to guide health decisions throughout life;</w:t>
      </w:r>
    </w:p>
    <w:p>
      <w:pPr>
        <w:spacing w:after="0" w:line="95"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exome and Whole Genome Sequencing (“WGS”) will facilitate a transition from hypothesis-based to genome-guided healthcare which will improve outcomes for patients and healthcare systems that benefit society as a whole;</w:t>
      </w:r>
    </w:p>
    <w:p>
      <w:pPr>
        <w:spacing w:after="0" w:line="95"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curate and combine genomic information with clinical and electronic medical record (“EMR”) data will transform therapeutic development, bringing better therapies to patients, faster; and</w:t>
      </w:r>
    </w:p>
    <w:p>
      <w:pPr>
        <w:spacing w:after="0" w:line="95"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should control and have the ability to direct the use of their genomic information to both benefit themselves and advance scientific understanding that helps others.</w:t>
      </w:r>
    </w:p>
    <w:p>
      <w:pPr>
        <w:spacing w:after="0" w:line="95"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support of these beliefs, we value equitability, simplicity and transparency. Through this value system, we aim to deliver personalized and actionable health insights to inform diagnosis, direct treatment and improve drug discovery, bringing better health from genomics to patients around the world.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GeneDx is focused on delivering personalized and actionable health insights to inform diagnosis, direct treatment and improve drug discovery. We sit at the intersection of diagnostics and data science, pairing decades of genomic expertise with an ability to interpret clinical data at scale.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w:t>
      </w:r>
    </w:p>
    <w:p>
      <w:pPr>
        <w:spacing w:after="0" w:line="11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More than 20 years later, we have amassed one of the world’s largest rare disease data sets and remain a leader in genomics. In May 2022, GeneDx was acquired by and integrated with Sema4 Holdings, adding Legacy Sema4’s Centrellis®, a highly innovative health information platform to our portfolio of solutions. Centrellis® integrates digital tools and artificial intelligence, allowing our scientists to ingest and synthesize clinical and genomic data to deliver better, more comprehensive health insights.</w:t>
      </w:r>
    </w:p>
    <w:p>
      <w:pPr>
        <w:spacing w:after="0" w:line="198"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Today, we are powered by our industry-leading genomic interpretation platform and Centrellis®. We believe exome and genome testing will become the standard for diagnosis of genetic disease, with the potential to transform healthcare and improve patients’ quality of life for generations by sequencing once and analyzing for a lifetime.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680720</wp:posOffset>
            </wp:positionV>
            <wp:extent cx="4956175" cy="2073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56175" cy="207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171"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Targeted genetic tests and panel testing make up the vast majority of diagnostics tests ordered today. While panel testing can be immensely valuable, it has an increasing limitation as we move towards genetic-based healthcare. Panels only allow you to test for insights that physicians predefine based on symptoms, which can lead to inconclusive results and an inefficient process. It is hypothesis-based medicine based on symptoms that may overlap across diseases. We firmly believe that an affordable, scalable and actionable genome is the future of medicine. The barrier to having actionable information from a genomic sequence is significant—and not just due to costs, which are coming down. The less-discussed barrier to having actionable information lies in the ability to process a genome’s worth of information—quickly and scalably—and to deliver both a result that a clinician can easily act upon to help a patient and a robust dataset that enables clinicians to drive precise diagnosis and researchers to develop and advance therapeutics.</w:t>
      </w:r>
    </w:p>
    <w:p>
      <w:pPr>
        <w:spacing w:after="0" w:line="20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Most companies in today’s genetics industry are taking a test-by-test approach to cross the chasm from genetics early adopters to genome guided healthcare in the mainstream market. We believe that driving clinician and patient awareness and influencing policy decisions may facilitate uptake within the industry. In addition, making genetics part of mainstream medicine requires advancing the technology to provide personalized and actionable health insights. It also will require having a robust, well-characterized dataset that can maximize answers and minimize unknowns and that can drive a new era of discovery.</w:t>
      </w:r>
    </w:p>
    <w:p>
      <w:pPr>
        <w:spacing w:after="0" w:line="19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Exome and whole genome sequencing provide the broadest view into the genomic variant—we are looking comprehensively into over 20,000 genes, while panels look at anywhere from two to a few hundred genes. While most companies in the industry have grown through a focus on panels, we have focused on exome and whole genome developing structured gene-disease knowledge curated by our team of experts to power automated interpretation and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One Test</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genome is composed of 3 billion “letters”, or base pairs, of DNA. The exome is a portion of the genome that encodes proteins, which are involved in many different types of cellular functions. Changes in the genome and exome can change the way proteins are formed or are utilized by the cell, potentially causing disease.</w:t>
      </w:r>
    </w:p>
    <w:p>
      <w:pPr>
        <w:spacing w:after="0" w:line="18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When patients present with complex issues, a genetic diagnosis may be available, but a traditional genetic panel test may be too narrow to identify the cause. Some genetic disorders present with very specific symptoms, so tests that read the “letters” of a single gene or a small panel of genes, may make sense for physicians to use in diagnosis. But for many other genetic diseases, patients can present with overlapping symptoms so finding the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diagnosis is not always straightforward and may require multiple tests, costly evaluations, invasive procedures, and long hospital stays. Exome and genome sequencing can find different genetic alterations, or variants, that more targeted tests miss and are especially useful when the timing is critical to directing or altering medical management.</w:t>
      </w:r>
    </w:p>
    <w:p>
      <w:pPr>
        <w:spacing w:after="0" w:line="18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With over 20 years of operation, GeneDx has a proven track record of expertise in genetic testing. We launched the industry’s first commercially available next generation sequencing panels in 2008, pioneered exome sequencing in 2012 and have sequenced over 400,000 exomes to date. We have performed over a million genetic tests and worked tirelessly to develop the following:</w:t>
      </w:r>
    </w:p>
    <w:p>
      <w:pPr>
        <w:spacing w:after="0" w:line="189" w:lineRule="exact"/>
        <w:rPr>
          <w:sz w:val="20"/>
          <w:szCs w:val="20"/>
          <w:color w:val="auto"/>
        </w:rPr>
      </w:pPr>
    </w:p>
    <w:p>
      <w:pPr>
        <w:ind w:left="620" w:hanging="304"/>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curated database of disease-associated genomic variants.</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Proprietary bioinformatics and variant interpretation pipelines.</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 exome and whole genome sequencing testing options.</w:t>
      </w:r>
    </w:p>
    <w:p>
      <w:pPr>
        <w:spacing w:after="0" w:line="247"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status quo of genetic testing requires repeated and fragmented testing, which in many cases, is conducted too late for physicians to use in treatment of patients. Targeted genetic tests and panels have been largely commoditized leaving physicians, healthcare partners and patients searching for deeper answers and enhanced utility. The scalable exome and whole genome interpretation that we can deliver at speed do not require a long, complex, expensive, expert-guided search and may make most other genetic tests obsolete. In addition, using whole genome testing is incredibly simple: it’s designed to be Just One Test.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Advanced Technology with a Human Touch</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Our team includes approximately 250 genetic counselors, physicians, scientists, and clinical and molecular genomics specialists. We believe we are one of the industry’s leading genetic testing experts. We share the same goal as healthcare providers, patients, and families: to provide personalized and actionable health insights.</w:t>
      </w:r>
    </w:p>
    <w:p>
      <w:pPr>
        <w:spacing w:after="0" w:line="18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Our years of exome and genome sequencing experience have provided us with a substantial dataset, including over 2.7 million structured phenotypes with nearly 60% of all exomes to date processed as parent-child trios. We have invested resources over time to annotate the phenotypes and sequence the parents of patients, because their genetic sequences can often provide additional diagnostic information, potentially improving the precision of genetic analysis. In addition, the data from more families allows us to continually improve interpretation of genetic code and variants that may cause disease. We believe we have more expertly annotated disease-causing variants than the largest public archive.</w:t>
      </w:r>
    </w:p>
    <w:p>
      <w:pPr>
        <w:spacing w:after="0" w:line="196"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Internally developed with over one million sequenced specimens, our database is designed to lead to increasingly reliable diagnostic test results. The structured gene-disease knowledge curated by our team of experts is powering automated interpretation and reporting built to handle genomic data at scale. Combined with our proprietary, state-of-the-art variant identification software, our ability to deliver highly accurate test results makes finding definitive diagnoses, even in complex cases, possible. Implemented with expert oversight, our advanced interpretation methods incorporate automation, bioinformatics, and cloud-based machine learning, enabling efficient discovery of genetic differences at previously undetectable levels.</w:t>
      </w:r>
    </w:p>
    <w:p>
      <w:pPr>
        <w:spacing w:after="0" w:line="19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As the number of new patients we test grows, so does our database, as new data increases the potential for greater insights. Comparing new cases against the data from previous cases helps to confirm whether a genetic variant is significant. Once new findings are identified, we aim to proactively reach out to healthcare providers and offer to reanalyze their patients’ previous results. Over time, our objective is to fully automate this reanalysis process in a convenient, easy to understand, efficient method.</w:t>
      </w:r>
    </w:p>
    <w:p>
      <w:pPr>
        <w:spacing w:after="0" w:line="19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this new world of “one test,” people may be able to carry their genomic data—their DNA blueprints—with them throughout their life. GeneDx intends to assist in providing new answers from within, decoding more insights over time. As we capture more genomic and phenotypic data, we hope to fuel a positive feedback cycle of discovery that continuously delivers more value for patients, providers and healthcare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Delivering Health Insights</w:t>
      </w:r>
    </w:p>
    <w:p>
      <w:pPr>
        <w:spacing w:after="0" w:line="158" w:lineRule="exact"/>
        <w:rPr>
          <w:sz w:val="20"/>
          <w:szCs w:val="20"/>
          <w:color w:val="auto"/>
        </w:rPr>
      </w:pPr>
    </w:p>
    <w:p>
      <w:pPr>
        <w:ind w:right="60" w:firstLine="312"/>
        <w:spacing w:after="0" w:line="242" w:lineRule="auto"/>
        <w:rPr>
          <w:sz w:val="20"/>
          <w:szCs w:val="20"/>
          <w:color w:val="auto"/>
        </w:rPr>
      </w:pPr>
      <w:r>
        <w:rPr>
          <w:rFonts w:ascii="Times New Roman" w:cs="Times New Roman" w:eastAsia="Times New Roman" w:hAnsi="Times New Roman"/>
          <w:sz w:val="17"/>
          <w:szCs w:val="17"/>
          <w:color w:val="auto"/>
        </w:rPr>
        <w:t>Centrellis®, our health information platform, is supported and fueled by genomic information from our diagnostic business and combined with an ever growing population of clinical health records and data. We engage with patients, physicians, health systems, and other partners based on principles of transparency, choice, and consent. Driven by our direct engagement with patients and strategic relationships with multiple health systems, the database we have built contains extensive Electronic Medical Record (EMR) data, totaling approximately 3.1 million patient health records, and has been designed to enable Centrellis® to draw from its extensive data assets in a way that enables physicians to proactively diagnose and manage disease. Our datasets include over 20 years of records abstracted from approximately 56 million clinical documents, 47 million phenotypes and 8 million disease diagnoses. We expect our current and targeted strategic relationships will provide us with access to additional active patient cohorts and datasets to continue to build our information base and enable our iterative, data-driven business model, including our genomic test solutions franchise.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Our primary growth engine in the short term will be expanding our current market-leading exome sequencing capabilities in the Neonatal Intensive Care Units (“NICU”) and Pediatric Developmental Disorder setting, as well as providing interpretation and information services for customers that sequence locally but look to GeneDx for analysis and interpretation, and providing our Centrellis® platform services to biopharmaceutical (“biopharma”) partners.</w:t>
      </w:r>
    </w:p>
    <w:p>
      <w:pPr>
        <w:spacing w:after="0" w:line="11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believe we are particularly well-suited for helping rare disease and pediatric developmental disorder patients, their care teams and biopharma companies today. This is a large market with immense unmet medical need. There are nearly 7,000 individual diseases affecting nearly 10% of the total population in the United States, of which 50% are children. As a result, there are over 700 medicines in development for these diseases, with a regulatory pathway facilitated by the Orphan Drug Act of 1983. By providing the precise genetic diagnosis of patients with rare disease, our expertise and technology may provide researchers and biopharma companies with the information needed to develop and commercialize a new treatment for the disease.</w:t>
      </w:r>
    </w:p>
    <w:p>
      <w:pPr>
        <w:spacing w:after="0" w:line="196" w:lineRule="exact"/>
        <w:rPr>
          <w:sz w:val="20"/>
          <w:szCs w:val="20"/>
          <w:color w:val="auto"/>
        </w:rPr>
      </w:pPr>
    </w:p>
    <w:p>
      <w:pPr>
        <w:jc w:val="both"/>
        <w:ind w:firstLine="312"/>
        <w:spacing w:after="0" w:line="286" w:lineRule="auto"/>
        <w:rPr>
          <w:sz w:val="20"/>
          <w:szCs w:val="20"/>
          <w:color w:val="auto"/>
        </w:rPr>
      </w:pPr>
      <w:r>
        <w:rPr>
          <w:rFonts w:ascii="Times New Roman" w:cs="Times New Roman" w:eastAsia="Times New Roman" w:hAnsi="Times New Roman"/>
          <w:sz w:val="17"/>
          <w:szCs w:val="17"/>
          <w:color w:val="auto"/>
        </w:rPr>
        <w:t>Our longer-term growth strategy is the expansion into whole genome testing for Adult Disorders and Newborn Screening, supported with the launch of a new customer experience platform for non-geneticists, patients and caregivers, and evidence generation to establish the clinical and economic benefits of screening.</w:t>
      </w:r>
    </w:p>
    <w:p>
      <w:pPr>
        <w:spacing w:after="0" w:line="39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By unlocking the value of the products, our knowledge base, network of relationships, and expertise, our team is well positioned to lead what we believe is a nearly $30 billion global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1423670</wp:posOffset>
            </wp:positionH>
            <wp:positionV relativeFrom="paragraph">
              <wp:posOffset>121920</wp:posOffset>
            </wp:positionV>
            <wp:extent cx="4502150" cy="2073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02150" cy="207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believe that the span and depth of our experience and dataset allows us to return more positive findings and thus clinical utility both immediately and over time through reanalysis. Importantly, we believe that we return fewer uncertain findings compared to public data sets, which makes our analysis easier to interpret outside of the medical genetics community.</w:t>
      </w:r>
    </w:p>
    <w:p>
      <w:pPr>
        <w:spacing w:after="0" w:line="11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At the same time, we have improved quality and speed to delivery of exome and genome tests and have significantly lowered exome sequencing costs since 2013. Much of this decline was driven by reduced sequencing costs shared across the industry; however, we have reduced costs in the interpretation layer through accumulating data and experience, and we expect further decline in costs going forward.</w:t>
      </w:r>
    </w:p>
    <w:p>
      <w:pPr>
        <w:spacing w:after="0" w:line="11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Leveraging these capabilities, we aim to be the global market leader in the development and delivery of reliable, actionable, scalable exome and genome sequencing and interpretation and information services. Our strategy focuses on the following objectives:</w:t>
      </w:r>
    </w:p>
    <w:p>
      <w:pPr>
        <w:spacing w:after="0" w:line="95" w:lineRule="exact"/>
        <w:rPr>
          <w:sz w:val="20"/>
          <w:szCs w:val="20"/>
          <w:color w:val="auto"/>
        </w:rPr>
      </w:pPr>
    </w:p>
    <w:p>
      <w:pPr>
        <w:ind w:left="620" w:hanging="304"/>
        <w:spacing w:after="0" w:line="293"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the utilization of exome and genome sequencing as the first- or second-tier test over most other genetically targeted tests by leveraging decades of earned trust amongst expert geneticists; and</w:t>
      </w:r>
    </w:p>
    <w:p>
      <w:pPr>
        <w:spacing w:after="0" w:line="95"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the utilization of industry-leading exome and genome sequencing beyond the genetic experts into the non-expert setting, potentially creating a new standard of care which enables faster diagnoses, reduces suffering, and helps healthcare systems save money. In the near term, our principal target markets will be settings with the most vulnerable patients who can benefit the most including, but not limited to, NICU and patients with Pediatric Developmental Disorders.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 achieve these objectives, we plan to:</w:t>
      </w:r>
    </w:p>
    <w:p>
      <w:pPr>
        <w:spacing w:after="0" w:line="169" w:lineRule="exact"/>
        <w:rPr>
          <w:sz w:val="20"/>
          <w:szCs w:val="20"/>
          <w:color w:val="auto"/>
        </w:rPr>
      </w:pPr>
    </w:p>
    <w:p>
      <w:pPr>
        <w:ind w:left="620" w:hanging="304"/>
        <w:spacing w:after="0" w:line="293"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the build out of our commercial footprint to nearly 60 field-based sales representatives in 2023, and construct an industry-leading brand, product, marketing, communications and market access platform by leveraging decades of earned trust across the genetics community.</w:t>
      </w:r>
    </w:p>
    <w:p>
      <w:pPr>
        <w:spacing w:after="0" w:line="95"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 with leaders across health systems, manufacturers, commercial and governmental payers and advocacy groups. We aim to collaborate on programs to establish definitive clinical and economic case for broad use of genomic-guided medicine. Such programs will focus on:</w:t>
      </w:r>
    </w:p>
    <w:p>
      <w:pPr>
        <w:spacing w:after="0" w:line="95"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for rapid whole genome sequencing in the NICU and Pediatric Developmental Disorder settings;</w:t>
      </w:r>
    </w:p>
    <w:p>
      <w:pPr>
        <w:spacing w:after="0" w:line="168"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diagnosis of disease and prevention of chronic conditions in adults; and</w:t>
      </w:r>
    </w:p>
    <w:p>
      <w:pPr>
        <w:spacing w:after="0" w:line="168"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rapid whole genome sequencing for broad newborn screening.</w:t>
      </w:r>
    </w:p>
    <w:p>
      <w:pPr>
        <w:spacing w:after="0" w:line="168"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 new markets and geographies and unlock the value of our dataset with independently scalable cloud-based interpretation and information service offerings. This will enable healthcare partners to incorporate genetics into clinical care by accessing our analysis and interpretation capabilities remotely while sequencing locally to reduce complexity, logistics cost and wait times, and align to local restrictions where applicable;</w:t>
      </w:r>
    </w:p>
    <w:p>
      <w:pPr>
        <w:spacing w:after="0" w:line="111"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 a new provider and patient experience with the eventual goal of providing lifelong access and portability of genomic information. At initial sequence, rapid results provide clinicians simple, actionable, easy to understand results for non-geneticists and tailored resources for patients and caregivers. On an ongoing basis, reanalysis unlocks a renewable source of insight, replacing any future germline screening. We will sequence once, and analyze for life.</w:t>
      </w:r>
    </w:p>
    <w:p>
      <w:pPr>
        <w:spacing w:after="0" w:line="115"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Optimize Centrellis® to become a solutions provider of choice for biopharma. Such solutions will focus on three value-added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60" w:hanging="319"/>
        <w:spacing w:after="0" w:line="293" w:lineRule="auto"/>
        <w:tabs>
          <w:tab w:leader="none" w:pos="125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FIND: Finding rare disease patients for clinical trial recruitment and/or delivery of targeted therapeutics, eventually moving into other disease areas such as cardiology and oncology.</w:t>
      </w:r>
    </w:p>
    <w:p>
      <w:pPr>
        <w:spacing w:after="0" w:line="95" w:lineRule="exact"/>
        <w:rPr>
          <w:rFonts w:ascii="Times New Roman" w:cs="Times New Roman" w:eastAsia="Times New Roman" w:hAnsi="Times New Roman"/>
          <w:sz w:val="17"/>
          <w:szCs w:val="17"/>
          <w:color w:val="auto"/>
        </w:rPr>
      </w:pPr>
    </w:p>
    <w:p>
      <w:pPr>
        <w:ind w:left="1260" w:hanging="319"/>
        <w:spacing w:after="0" w:line="293" w:lineRule="auto"/>
        <w:tabs>
          <w:tab w:leader="none" w:pos="126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UNDERSTAND: Supporting research and development for targeted therapies with analytic reports leveraging clinicogenomics data across multiple therapeutic areas with an initial emphasis in rare disease and oncology.</w:t>
      </w:r>
    </w:p>
    <w:p>
      <w:pPr>
        <w:spacing w:after="0" w:line="95" w:lineRule="exact"/>
        <w:rPr>
          <w:rFonts w:ascii="Times New Roman" w:cs="Times New Roman" w:eastAsia="Times New Roman" w:hAnsi="Times New Roman"/>
          <w:sz w:val="17"/>
          <w:szCs w:val="17"/>
          <w:color w:val="auto"/>
        </w:rPr>
      </w:pPr>
    </w:p>
    <w:p>
      <w:pPr>
        <w:ind w:left="1260" w:hanging="319"/>
        <w:spacing w:after="0" w:line="293" w:lineRule="auto"/>
        <w:tabs>
          <w:tab w:leader="none" w:pos="125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PLATFORM: In the long term, providing a therapeutic area agnostic platform to access to data, patients and insights for real world evidence and data to support end-to-end drug discovery pipeline.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Our research and development activities include information technology, product development, customer experience, medical affairs, collaborations and research. These activities are principally focused on our efforts to develop and improve the software we use to analyze data, process genomic test orders, deliver reports, and improve customer experience.</w:t>
      </w:r>
    </w:p>
    <w:p>
      <w:pPr>
        <w:spacing w:after="0" w:line="111"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are also participating in several collaborative studies aimed to provide evidence of the clinical and economic benefit for exome and whole genome sequencing. Two such studies currently underway include the SeqFirst study—in collaboration with Seattle Children’s Hospital and University of Washington— which is designed to demonstrate the broad utility of rapid whole genome sequencing for critically ill newborns and, the Genomic Uniform-Screening Against Rare Diseases In All Newborns (“GUARDIAN”) study—in collaboration with New York-Presbyterian, Columbia University, New York State Department of Health and Illumina—which is designed to assess whole genome sequencing to screen newborns for more conditions than those currently included in standard newborn screening in the United States. The goals of these studies are to drive earlier diagnosis and treatment to improve the health of the newborns who participate in such studies, generate evidence to support the expansion of newborn screening through genomic sequencing, and characterize the prevalence and natural history of rare genetic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71"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Our competitors include companies that offer molecular genetic testing and consulting services, including specialty and reference laboratories that offer traditional single- and multi-gene tests and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our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companies such Baylor, Centogene, Exact Sciences, Invitae as well as other commercial and academic labs.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 and Seasonality</w:t>
      </w:r>
    </w:p>
    <w:p>
      <w:pPr>
        <w:spacing w:after="0" w:line="17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receive payment for our products and services from third-party payers, patients, business-to-business clients, and from other healthcare partners. Substantially all of our revenue for the year ended December 31, 2022 has been primarily derived from diagnostic test reports and we expect this trend to continue in the near-term. During the year ended December 31, 2022, 94% of pediatric specialists in the United States who order exome testing have ordered from GeneDx. We expect over time to achieve a mix of revenue from diagnostic tests, data and information solutions, newborn screening products and information and interpretation services.</w:t>
      </w:r>
    </w:p>
    <w:p>
      <w:pPr>
        <w:spacing w:after="0" w:line="118"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Less than 5% of our revenues today are derived from referral sources outside of the United States. We expect over time to increase rest of world revenue as knowledge and understanding of the benefits of exome and whole genome sequencing continue to expand.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have historically experienced higher revenue in our fourth quarter compared to other quarters in our fiscal year due in part to seasonal demand of our tests from patients who have met their annual insurance deductible. However, changes in our product and payer mix might cause these historical seasonal patterns to be different than future patterns of revenue or financial performance.</w:t>
      </w:r>
    </w:p>
    <w:p>
      <w:pPr>
        <w:spacing w:after="0" w:line="11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For information regarding our customer concentration in relation to certain of the Company’s third-party payors, see Note 2, “Summary of Significant Accounting Policies” in the notes to our audited consolidated financial statements. We expect incrementally less concentration among third-party payors following the exits from reproductive health and somatic tumor testing.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Raw Materials and Suppliers</w:t>
      </w:r>
    </w:p>
    <w:p>
      <w:pPr>
        <w:spacing w:after="0" w:line="171"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rely on a limited number of suppliers, including Illumina, Inc., Integrated DNA Technologies Incorporated, Agilent Technologies, Roche Holdings Ltd., QIAGEN, Inc. and Twist Biosciences, for certain laboratory reagents, as well as sequencers and other equipment and materials, which we use in our laboratory operations. Our operations could be interrupted if we encounter delays or difficulties in securing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operations, including sequencers and various associated reagents and enzymes. The use of equipment or materials provided by these replacement suppliers would require us to alter our operations. Transitioning to a new supplier would be time consuming and expensive, may result in interruptions in operations, could affect the performance specifications of our laboratory operations or could require that we revalidate our tests. We cannot be certain that we will be able to secure alternative equipment, reagents and other materials, or bring such equipment, reagents and materials on-line and revalidate them without experiencing interruptions in our workflow. If we encounter delays or difficulties in securing, reconfiguring or revalidating equipment and materials, our business and reputation could be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7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rely on a combination of intellectual property rights, including trade secrets, copyrights, trademarks, customary contractual protections to protect our core technology and intellectual property.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Patents</w:t>
      </w:r>
    </w:p>
    <w:p>
      <w:pPr>
        <w:spacing w:after="0" w:line="173"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as of January 23, 2023, we have six pending non-provisional utility patent applications and one provisional patent application. The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 The claim scope of any potentially issued patents stemming from the present applications may be narrowed from initial filings due to any amendments that may arise throughout their prosecution.</w:t>
      </w:r>
    </w:p>
    <w:p>
      <w:pPr>
        <w:spacing w:after="0" w:line="202"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do not presently have any patents or patent applications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 secrets</w:t>
      </w:r>
    </w:p>
    <w:p>
      <w:pPr>
        <w:spacing w:after="0" w:line="160" w:lineRule="exact"/>
        <w:rPr>
          <w:sz w:val="20"/>
          <w:szCs w:val="20"/>
          <w:color w:val="auto"/>
        </w:rPr>
      </w:pPr>
    </w:p>
    <w:p>
      <w:pPr>
        <w:ind w:right="180" w:firstLine="312"/>
        <w:spacing w:after="0" w:line="245" w:lineRule="auto"/>
        <w:rPr>
          <w:sz w:val="20"/>
          <w:szCs w:val="20"/>
          <w:color w:val="auto"/>
        </w:rPr>
      </w:pPr>
      <w:r>
        <w:rPr>
          <w:rFonts w:ascii="Times New Roman" w:cs="Times New Roman" w:eastAsia="Times New Roman" w:hAnsi="Times New Roman"/>
          <w:sz w:val="17"/>
          <w:szCs w:val="17"/>
          <w:color w:val="auto"/>
        </w:rPr>
        <w:t>We rely on trade secrets, including unpatented know-how, technology and other proprietary information, to maintain and develop our competitive position. 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valuable trade secrets relate to proprietary bioinformatic tools such as:</w:t>
      </w:r>
    </w:p>
    <w:p>
      <w:pPr>
        <w:spacing w:after="0" w:line="247" w:lineRule="exact"/>
        <w:rPr>
          <w:sz w:val="20"/>
          <w:szCs w:val="20"/>
          <w:color w:val="auto"/>
        </w:rPr>
      </w:pPr>
    </w:p>
    <w:p>
      <w:pPr>
        <w:ind w:left="620" w:hanging="304"/>
        <w:spacing w:after="0" w:line="293" w:lineRule="auto"/>
        <w:tabs>
          <w:tab w:leader="none" w:pos="6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 data processing methods and analytical pipelines for NGS, aCGH, MLPA, Sanger, and other genomic data, optimized and validated to the highest performance standards;</w:t>
      </w:r>
    </w:p>
    <w:p>
      <w:pPr>
        <w:spacing w:after="0" w:line="17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novel detection method to uncover notoriously difficult to detect sequence variants called mobile element insertions and partial-exon deletions; and</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 variant analysis platforms built from the ground up for exome and genome-scale data interpretation.</w:t>
      </w:r>
    </w:p>
    <w:p>
      <w:pPr>
        <w:spacing w:after="0" w:line="247"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Although we take steps to protect our proprietary information and trade secrets, including through contractual means with our employees and consultants, these steps may be circumvented, or third parties may independently develop substantially equivalent proprietary information and techniques or otherwise gain access to our trade secrets or disclose our technology. Accordingly, we may not be able to meaningfully protect our trade secrets.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Trademarks</w:t>
      </w:r>
    </w:p>
    <w:p>
      <w:pPr>
        <w:spacing w:after="0" w:line="17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own or are applying for various trademarks, service marks, trade names, and product service names in the U.S and other commercially important markets. We intend to invest significant resources in the growth and protection of our reputation and trademarks. Our trademark portfolio is designed to protect the brands for our products and services, both current and in the pipeline.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17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aim to recruit, develop, and retain diverse, high-quality talent. We had 1,100 team members as of January 20, 2023 who are champions of not only our organization, but our patients, providers and partners.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values</w:t>
      </w:r>
    </w:p>
    <w:p>
      <w:pPr>
        <w:spacing w:after="0" w:line="17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Our values guide our interactions. Our model represents the interconnectedness of sometimes opposing values, where both are required to accomplish our mission. These values are:</w:t>
      </w:r>
    </w:p>
    <w:p>
      <w:pPr>
        <w:spacing w:after="0" w:line="95" w:lineRule="exact"/>
        <w:rPr>
          <w:sz w:val="20"/>
          <w:szCs w:val="20"/>
          <w:color w:val="auto"/>
        </w:rPr>
      </w:pPr>
    </w:p>
    <w:p>
      <w:pPr>
        <w:ind w:left="620" w:hanging="30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Bravery &amp; Humility</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Openness &amp; Accountability</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Equitability &amp; Integrity</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Rigorous &amp; Efficient Development</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Simplicity &amp; Curiosity</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Diversity and Inclusion</w:t>
      </w:r>
    </w:p>
    <w:p>
      <w:pPr>
        <w:spacing w:after="0" w:line="17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believe that a diverse and inclusive workforce is important. Our JEDI (Justice, Equity, Diversity and Inclusion) initiatives enable us to build a diverse and inclusive workplace that help make progress in our belief of equitability. Every team has a JEDI goal to ensure we are accountable to one another and this commitment.</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Talent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are committed to developing our workforce. Our talent development programs provide employees with the resources they need to achieve their career goals, build management skills and lead their teams. Managers coach and hold conversations with employees’ regarding their career and development plans, thereby staying true to our belief in accountability and openness.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Total Rewards</w:t>
      </w:r>
    </w:p>
    <w:p>
      <w:pPr>
        <w:spacing w:after="0" w:line="17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offer competitive compensation to attract and retain high quality talent, and we care for our people so they can focus on our mission. Our employees' total compensation package includes competitive salary, bonuses or sales incentives, equity and a 401(K) plan with matching opportunities. Equity participation is provided for certain positions because ownership in the company drives commitment to our long-term success. We provide programs including healthcare and insurance benefits, health savings and flexible spending accounts, paid time off, family leave, flexible work schedules, fertility, adoption and surrogacy assistance, employee assistance and wellness support, among many others.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7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Our business and the services (both current and in the pipeline) we provide are subject to and impacted by extensive and frequently changing laws and regulations in the United States (at both the federal and state levels) and internationally.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Clinical Laboratory Improvement Amendments of 1988 and State Regulation</w:t>
      </w:r>
    </w:p>
    <w:p>
      <w:pPr>
        <w:spacing w:after="0" w:line="199" w:lineRule="exact"/>
        <w:rPr>
          <w:sz w:val="20"/>
          <w:szCs w:val="20"/>
          <w:color w:val="auto"/>
        </w:rPr>
      </w:pPr>
    </w:p>
    <w:p>
      <w:pPr>
        <w:ind w:right="40" w:firstLine="312"/>
        <w:spacing w:after="0" w:line="242" w:lineRule="auto"/>
        <w:rPr>
          <w:sz w:val="20"/>
          <w:szCs w:val="20"/>
          <w:color w:val="auto"/>
        </w:rPr>
      </w:pPr>
      <w:r>
        <w:rPr>
          <w:rFonts w:ascii="Times New Roman" w:cs="Times New Roman" w:eastAsia="Times New Roman" w:hAnsi="Times New Roman"/>
          <w:sz w:val="17"/>
          <w:szCs w:val="17"/>
          <w:color w:val="auto"/>
        </w:rPr>
        <w:t>Our clinical laboratories must hold certain federal</w:t>
      </w:r>
      <w:r>
        <w:rPr>
          <w:rFonts w:ascii="Times New Roman" w:cs="Times New Roman" w:eastAsia="Times New Roman" w:hAnsi="Times New Roman"/>
          <w:sz w:val="17"/>
          <w:szCs w:val="17"/>
          <w:color w:val="008080"/>
        </w:rPr>
        <w:t>,</w:t>
      </w:r>
      <w:r>
        <w:rPr>
          <w:rFonts w:ascii="Times New Roman" w:cs="Times New Roman" w:eastAsia="Times New Roman" w:hAnsi="Times New Roman"/>
          <w:sz w:val="17"/>
          <w:szCs w:val="17"/>
          <w:color w:val="auto"/>
        </w:rPr>
        <w:t xml:space="preserve"> state and local licenses, certifications and permits to conduct our business. Laboratories in the United States that perform testing on human specimens for the purpose of providing information for the diagnosis, prevention, or treatment of disease or impairment, or the assessment of health are subject to the Clinical Laboratory Improvement Amendments of 1988, as amended, and its implementing regulations (“CLIA”). CLIA requires such laboratories to be certified by the federal government and mandates compliance with various operational, personnel, facilities administration, inspections, quality control, quality assessment and proficiency testing requirements intended to ensure that testing services are accurate, reliable and timely. CLIA certification also is a prerequisite to be eligible to bill state and federal health care programs, as well as many commercial third-party payers, for laboratory testing services. Our laboratory located in Gaithersburg, Maryland is CLIA certified to perform high complexity tests. Laboratories performing high complexity testing are required to meet more stringent requirements than laboratories performing less complex tests. The regulatory and compliance standards applicable to the testing we perform may change over time, and any such changes could have a material effect on our business.</w:t>
      </w:r>
    </w:p>
    <w:p>
      <w:pPr>
        <w:spacing w:after="0" w:line="203" w:lineRule="exact"/>
        <w:rPr>
          <w:sz w:val="20"/>
          <w:szCs w:val="20"/>
          <w:color w:val="auto"/>
        </w:rPr>
      </w:pPr>
    </w:p>
    <w:p>
      <w:pPr>
        <w:ind w:right="80" w:firstLine="312"/>
        <w:spacing w:after="0" w:line="246" w:lineRule="auto"/>
        <w:rPr>
          <w:sz w:val="20"/>
          <w:szCs w:val="20"/>
          <w:color w:val="auto"/>
        </w:rPr>
      </w:pPr>
      <w:r>
        <w:rPr>
          <w:rFonts w:ascii="Times New Roman" w:cs="Times New Roman" w:eastAsia="Times New Roman" w:hAnsi="Times New Roman"/>
          <w:sz w:val="17"/>
          <w:szCs w:val="17"/>
          <w:color w:val="auto"/>
        </w:rPr>
        <w:t>As a condition of CLIA certification, our laboratory is subject to survey and inspection every two years to assess compliance with program standards, in addition to being subject to additional random inspections. The biennial survey is conducted by the Centers for Medicare &amp; Medicaid Services (“CMS”), a CMS agent (typically a state agency), or a CMS-approved accreditation organization. Our Gaithersburg and Stamford laboratories have been accredited by the College of American Pathologists (“CAP”), which means that our laboratories have been certified as following CAP guidelines in operating the laboratory and in performing tests that ensure the quality of our results. Because our laboratories are accredited by CAP, which is a CMS-approved accreditation organization, CMS does not perform these biennial surveys and inspections and relies on our CAP surveys and inspections. We may also be subject to additional unannounced inspections.</w:t>
      </w:r>
    </w:p>
    <w:p>
      <w:pPr>
        <w:spacing w:after="0" w:line="200" w:lineRule="exact"/>
        <w:rPr>
          <w:sz w:val="20"/>
          <w:szCs w:val="20"/>
          <w:color w:val="auto"/>
        </w:rPr>
      </w:pPr>
    </w:p>
    <w:p>
      <w:pPr>
        <w:spacing w:after="0" w:line="211"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CLIA provides that a state may adopt laboratory regulations that are not inconsistent with those under federal law, and a number of states have implemented their own (sometimes more stringent) laboratory regulatory requirements. CLIA does not preempt state laws that have established laboratory quality standards that are at least as stringent as the federal law requirements under CLIA. State laws may require that nonresident laboratories, or out-of-state laboratories, maintain a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We maintain state laboratory licenses for our Gaithersburg and Stamford facilities in Maryland,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California, Pennsylvania and Rhode Island; our Stamford laboratory also maintains a Connecticut clinical laboratory permit. In addition to having laboratory licenses in New York, our laboratories are also required to obtain approval on a test-specific basis for the tests they run as laboratory developed tests (“LDTs”) by the New York Department of Health before specific testing is performed on samples from New York. If any states currently have or adopt similar licensure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requirements in the future, we may be required to modify, delay or stop our operations in those states.</w:t>
      </w:r>
    </w:p>
    <w:p>
      <w:pPr>
        <w:spacing w:after="0" w:line="234" w:lineRule="exact"/>
        <w:rPr>
          <w:sz w:val="20"/>
          <w:szCs w:val="20"/>
          <w:color w:val="auto"/>
        </w:rPr>
      </w:pPr>
    </w:p>
    <w:p>
      <w:pPr>
        <w:ind w:firstLine="312"/>
        <w:spacing w:after="0" w:line="249" w:lineRule="auto"/>
        <w:rPr>
          <w:sz w:val="20"/>
          <w:szCs w:val="20"/>
          <w:color w:val="auto"/>
        </w:rPr>
      </w:pPr>
      <w:r>
        <w:rPr>
          <w:rFonts w:ascii="Times New Roman" w:cs="Times New Roman" w:eastAsia="Times New Roman" w:hAnsi="Times New Roman"/>
          <w:sz w:val="17"/>
          <w:szCs w:val="17"/>
          <w:color w:val="auto"/>
        </w:rPr>
        <w:t>If a laboratory is out of compliance with state laws or regulations governing licensed laboratories or with CLIA, penalties may include suspension, limitation or revocation of the license or CLIA certificate, assessment of civil monetary penalties or fines, civil injunctive suit or criminal penalties. Failure to comply with CLIA could also result in a directed plan of correction and state on-site monitoring. Loss of a laboratory’s CLIA certificate or state license may also result in the inability to receive payments from state and federal health care programs as well as private third-party payers. We believe that we are in material compliance with CLIA and all applicable licensing laws and regulations.</w:t>
      </w:r>
    </w:p>
    <w:p>
      <w:pPr>
        <w:spacing w:after="0" w:line="20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CLIA and state laws and regulations, operating together, sometimes limit the ability of laboratories to offer consumer-initiated testing (also known as “direct access testing”). CLIA certified laboratories are permitted to perform testing only upon the order of an “authorized person,” defined as an individual authorized under state law to order tests or receive test results, or both. Many states do not permit persons other than licensed healthcare providers to order tests. We currently do not offer direct access testing and our CLIA tests may only be ordered by authorized healthcare providers.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Diagnostic Products and FDA Oversight of Laboratory Developed Tests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FDA Oversight of Laboratory Developed Tests</w:t>
      </w:r>
    </w:p>
    <w:p>
      <w:pPr>
        <w:spacing w:after="0" w:line="158" w:lineRule="exact"/>
        <w:rPr>
          <w:sz w:val="20"/>
          <w:szCs w:val="20"/>
          <w:color w:val="auto"/>
        </w:rPr>
      </w:pPr>
    </w:p>
    <w:p>
      <w:pPr>
        <w:ind w:right="40" w:firstLine="312"/>
        <w:spacing w:after="0" w:line="241" w:lineRule="auto"/>
        <w:rPr>
          <w:sz w:val="20"/>
          <w:szCs w:val="20"/>
          <w:color w:val="auto"/>
        </w:rPr>
      </w:pPr>
      <w:r>
        <w:rPr>
          <w:rFonts w:ascii="Times New Roman" w:cs="Times New Roman" w:eastAsia="Times New Roman" w:hAnsi="Times New Roman"/>
          <w:sz w:val="17"/>
          <w:szCs w:val="17"/>
          <w:color w:val="auto"/>
        </w:rPr>
        <w:t>We provide our tests as LDTs. Under the FDA’s regulatory framework, in vitro diagnostic devices (IVDs)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that is certified under CLIA. Such LDT testing is primarily under the purview of CMS and state agencies that provide oversight over clinical laboratory operations. Although the FDA has taken the position that it has statutory authority to assure that medical devices, including certain LDTs, are safe and effective for their intended use, the FDA has historically exercised enforcement discretion with respect to most LDTs and has not required laboratories that furnish LDTs to comply with the agency's requirements for medical devices (e.g., establishment registration, device listing, premarket clearance or approval, quality systems regulations, and post-market controls). In recent years, the FDA has stated it intends to end its policy of general enforcement discretion and regulate certain LDTs as medical devices. For example, in 2014 the FDA issued two draft guidance documents that set forth a proposed risk-based regulatory framework that would apply varying levels of FDA oversight to LDTs. These documents have not been finalized to date. Subsequently, in August 2020, the U.S. Department of Health and Human Services – the parent agency of the FDA – announced that the FDA will not require premarket review of LDTs absent notice-and-comment rulemaking, as opposed to through guidance documents and other informal issuances. In November 2021, the Biden Administration rescinded this policy. At this time, it is unclear when, or if, the FDA will finalize its plans to end enforcement discretion, and even then, the new regulatory requirements are expected to be phased-in over time. Nevertheless, the FDA may decide to regulate certain LDTs on a case-by-case basis at any time.</w:t>
      </w:r>
    </w:p>
    <w:p>
      <w:pPr>
        <w:spacing w:after="0" w:line="205" w:lineRule="exact"/>
        <w:rPr>
          <w:sz w:val="20"/>
          <w:szCs w:val="20"/>
          <w:color w:val="auto"/>
        </w:rPr>
      </w:pPr>
    </w:p>
    <w:p>
      <w:pPr>
        <w:ind w:right="120" w:firstLine="312"/>
        <w:spacing w:after="0" w:line="242" w:lineRule="auto"/>
        <w:rPr>
          <w:sz w:val="20"/>
          <w:szCs w:val="20"/>
          <w:color w:val="auto"/>
        </w:rPr>
      </w:pPr>
      <w:r>
        <w:rPr>
          <w:rFonts w:ascii="Times New Roman" w:cs="Times New Roman" w:eastAsia="Times New Roman" w:hAnsi="Times New Roman"/>
          <w:sz w:val="17"/>
          <w:szCs w:val="17"/>
          <w:color w:val="auto"/>
        </w:rPr>
        <w:t>Legislative proposals addressing the FDA's oversight of LDTs have also been introduced in previous Congresses, and we expect that new legislative proposals will be introduced from time- to- time. For example, versions of the Verifying Accurate Leading-edge IVCT Development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Federal Food, Drug, and Cosmetic Act (the “FDCA”) and establish a risk-based approach to imposing requirements related to premarket review, quality systems, and labeling requirements on all IVCTs, including LDTs, but a grandfathering provision would create exemptions from certain requirements for certain LDTs offered for clinical use within 45 days of enactment of the bill. The likelihood that Congress will pass such legislation and the extent to which such legislation may affect the FDA's plans to regulate certain LDTs as medical devices is difficult to predict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20"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9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Additionally, certain of our diagnostic products in development may be subject to regulation by the FDA and similar international health authorities. For these products, we would have an obligation to adhere to the FDA’s current Good Manufacturing Practices (“cGMP”)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 quality control practices, it may impose restrictions on marketing specific products until corrected. Regulation by governmental authorities in the U.S. and other countries may be a significant factor in how we develop, test, produce and market our diagnostic test products.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Practice of Medicine</w:t>
      </w:r>
    </w:p>
    <w:p>
      <w:pPr>
        <w:spacing w:after="0" w:line="173"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and/or the professional through licensure proceedings.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Regulatory Requirements</w:t>
      </w:r>
    </w:p>
    <w:p>
      <w:pPr>
        <w:spacing w:after="0" w:line="173"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are subject to laws and regulations related to the protection of the environment, the health and safety of employees and the handling, transportation and disposal of regulated medical waste, hazardous waste and biohazardous waste, including chemical, biological agents and compounds, blood and bone marrow samples and other human tissue, and radioactive materials. For example, the U.S. Occupational Safety and Health Administration (“OSHA”) has established extensive requirements relating specifically to workplace safety for healthcare employers in the U.S. For purposes of transportation, some biological materials and laboratory supplies are classified as hazardous materials and are subject to regulation by one or more of the following: the U.S. Department of Transportation, the U.S. Public Health Service, the United States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These vendors are licensed or otherwise qualified to handle and dispose of such wastes.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and State Healthcare Fraud &amp; Abuse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Federal and State Physician Self-Referral Prohibitions</w:t>
      </w:r>
    </w:p>
    <w:p>
      <w:pPr>
        <w:spacing w:after="0" w:line="249"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are subject to the federal physician self-referral prohibitions, commonly known as the Stark Law. These restrictions generally prohibit a physician who has (or whose immediate family member has) a financial relationship, such as an ownership or investment interest in or compensation arrangement with us, from making referrals for “designated health services”, including clinical laboratory services, if payment for the services may be made under Medicare. If such a financial relationship exists, referrals are prohibited unless a statutory or regulatory exception applies. The Stark Law also prohibits us from billing for any such prohibited referral. These prohibitions apply regardless of any intent by the parties to induce or reward referrals or the reasons for the financial relationship and the referral. Several Stark Law exceptions are relevant to many common financial relationships involving clinical laboratories and referring physicians and may be relied upon if all of the elements of the applicable exception are satisfied. Penalties for violating the Stark Law include the return of funds received for all prohibited referrals, fines, civil monetary penalties and possible exclusion from federal health care programs. In addition, violations of the Stark Law may also serve as the basis for liability under the federal False Claims Act (the “FCA”), which can result in additional civil and criminal penalties. Several states have enacted comparable self-referral laws which may be broader in scope and apply regardless of payer.</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Federal and State Anti-Kickback Laws</w:t>
      </w:r>
    </w:p>
    <w:p>
      <w:pPr>
        <w:spacing w:after="0" w:line="249"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The federal Anti-Kickback Statute (the “AKS”), makes it a felony for a person or entity, including a clinical laboratory, to, among other things, knowingly and willfully offer, pay, solicit or receive any remuneration, directly or indirectly, overtly or covertly, in cash or in kind, in order to induce or reward either the referral of an individual for, or the purchase, order or recommendation of, any good or service, for which payment may be made under federal health care programs.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or to state program payers. Penalties for violations of such laws include imprisonment and significant monetary fines and, in the case of the AKS, exclusion from federal health care programs.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conditions of an applicable exception or safe harbor, it is deemed not to violate the AKS. An arrangement must fully meet each condition of an applicable exception or safe harbor in order to qualify for protection. Failure to meet the conditions of a safe harbor, however, does not render an arrangement illegal. Rather, the government may evaluate such arrangements on a case-by-case basis, taking into account all facts and circumstances.</w:t>
      </w:r>
    </w:p>
    <w:p>
      <w:pPr>
        <w:spacing w:after="0" w:line="204"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addition, the federal Eliminating Kickbacks in Recovery Act (the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and certain other entities or in exchange for an individual using the services of such entities. The EKRA applies to all payers including commercial payers and government payers, and EKRA violations result in significant fines and/or up to 10 years in jail, separate and apart from existing AKS liability. Several EKRA exceptions are relevant to many common financial relationships involving clinical laboratories and may be relied upon if all of the elements of the applicable exception are satisfied. Failure to meet the requirements of an exception, however, does not render an arrangement illegal. Rather, the government may evaluate such arrangements on a case-by-case basis, taking into account all facts and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Other Federal and State Fraud &amp; Abuse Healthcare Laws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to the requirements discussed above, several other health care fraud and abuse laws could have an effect on our business.</w:t>
      </w:r>
    </w:p>
    <w:p>
      <w:pPr>
        <w:spacing w:after="0" w:line="247"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Under the FCA, a person acts knowingly if he or she has actual knowledge of the information or acts in deliberate ignorance or in reckless disregard of the truth or falsity of the information. Specific intent to defraud is not required. FCA violations can result in penalties of up to three times the actual damages sustained by the government, plus civil penalties for each false claim.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Several states have enacted comparable false claims laws which may be broader in scope and apply regardless of payer.</w:t>
      </w:r>
    </w:p>
    <w:p>
      <w:pPr>
        <w:spacing w:after="0" w:line="202"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Several states have enacted comparable laws which may be broader in scope and apply regardless of payer.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law. Moreover, in certain cases, providers who routinely waive copayments and deductibles for Medicare and Medicaid beneficiaries, can also be held liable under the civil monetary penalty provisions and certain other laws, such as the AKS and FCA. One of the statutory exceptions to the civil monetary penalty prohibition is non-routine, unadvertised waivers of copayments or deductible amounts based on individualized determinations of financial need or exhaustion of reasonable collection efforts. The Office of Inspector General of the U.S. Department of Health and Human Services (“HHS”), emphasizes, however, that this exception should only be used occasionally to address special financial needs of a particular patient. States may have similar prohibitions.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Federal and State Healthcare Laws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to the fraud and abuse laws discussed above, our business potentially is subject to the following additional healthcare regulatory laws: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Laws Governing Genetic Counseling Services</w:t>
      </w:r>
    </w:p>
    <w:p>
      <w:pPr>
        <w:spacing w:after="0" w:line="249"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Our genetic counseling partner may provide services via electronic means that could subject it to various federal, state and local certification and licensing laws, regulations and approvals,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physician providing telehealth to be physically located in the same state as the patient. Any failure to comply with these laws and regulations could result in civil or criminal penalties against telehealth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Clinical and Human Subjects Research Regulations</w:t>
      </w:r>
    </w:p>
    <w:p>
      <w:pPr>
        <w:spacing w:after="0" w:line="24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may collaborate or support ongoing clinical or other human subjects research that could subject us to a number of laws and regulations pertaining to such research, including, but not limited to the Federal Policy for Protection of Human Subjects (as set forth in the implementing regulations of any signatory federal department or agency), the FDCA and its applicable implementing regulations at 21 C.F.R. Parts 11, 50, 54, 56, 58 and 812 and all equivalent legal requirements in other jurisdictions.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Privacy and Security Laws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Health Insurance Portability and Accountability Act</w:t>
      </w:r>
    </w:p>
    <w:p>
      <w:pPr>
        <w:spacing w:after="0" w:line="249"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Under the Health Insurance Portability and Accountability Act of 1996 (“HIPAA”), as amended by the Health Information Technology for Economic and Clinical Health Act (“HITECH”), HHS has issued regulations to protect the privacy and provide for the security of protected health information (“PHI”) used or disclosed by covered entities, including most health care providers and their respective business associates, as well as the business associates’ subcontractors. HIPAA also regulates standardization of data content, codes, and formats used in certain health care transactions and standardization of identifiers for health plans and providers. Four principal regulations with which we are required to comply have been issued in final form under HIPAA and HITECH: privacy regulations, security regulations, breach notification regulations, and standards for electronic transactions, which establish standards for common healthcare transactions.</w:t>
      </w:r>
    </w:p>
    <w:p>
      <w:pPr>
        <w:spacing w:after="0" w:line="200" w:lineRule="exact"/>
        <w:rPr>
          <w:sz w:val="20"/>
          <w:szCs w:val="20"/>
          <w:color w:val="auto"/>
        </w:rPr>
      </w:pPr>
    </w:p>
    <w:p>
      <w:pPr>
        <w:spacing w:after="0" w:line="211"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privacy regulations cover the use and disclosure of PHI by covered entities as well as business associates, which are persons or entities that perform certain functions for or on behalf of a covered entity that involve the creation, receipt, maintenance, or transmission of PHI. Business associates are defined to include a subcontractor to whom a business associate delegates a function, activity, or service, other than in the capacity of the business associate’s workforce. As a general rule, a covered entity or business associate may not use or disclose PHI except as permitted or required under the privacy regulations. The privacy regulations also set forth certain rights that an individual has with respect to his or her PHI maintained by a covered entity or business associate, including the right to access or amend certain records containing his, her or their PHI, request restrictions on the use or disclosure of his, her or their PHI, or request an accounting of disclosures of his or her PHI.</w:t>
      </w:r>
    </w:p>
    <w:p>
      <w:pPr>
        <w:spacing w:after="0" w:line="20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Covered entities and business associates also must comply with the security regulations, which establish requirements for safeguarding the confidentiality, integrity, and availability of PHI that is electronically transmitted or electronically stored. In addition, HITECH, among other things, established certain PHI breach notification requirements with which covered entities and business associates must comply. In particular, a covered entity must notify any individual whose unsecured PHI is breached according to the specifications set forth in the breach notification rule. A covered entity must also notify the Secretary of HHS and, under certain circumstances, the media of a breach of unsecured PHI.</w:t>
      </w:r>
    </w:p>
    <w:p>
      <w:pPr>
        <w:spacing w:after="0" w:line="19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HIPAA privacy, security, and breach notification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In addition, individuals (or their personal representatives, as applicable) generally have the right to access test reports directly from laboratories and to direct that copies of those reports be transmitted to persons or entities designated by the individual.</w:t>
      </w:r>
    </w:p>
    <w:p>
      <w:pPr>
        <w:spacing w:after="0" w:line="194"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violations of HIPAA could result in significant penalties imposed by the HHS’s Office for Civil Rights. HIPAA also mandates that the Secretary of HHS conduct periodic compliance audits of HIPAA covered entities, such as us, and their business associates for compliance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HIPAA privacy and security standards. It also tasks HHS with establishing a methodology whereby harmed individuals who were the victims of breaches of unsecured PHI may receive a percentage of the civil monetary penalty paid by the violator.</w:t>
      </w:r>
    </w:p>
    <w:p>
      <w:pPr>
        <w:spacing w:after="0" w:line="173"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Further, there are a number of state laws regarding the privacy and security of health information and personal data that are applicable to our clinical laboratories. We believe that we have taken the steps required of us to comply with health information privacy and security statutes and regulations in all jurisdictions, both state and federal, and we intend to continue to comprehensively protect all personal information and to comply with all applicable laws regarding the protection of such information. However, these laws constantly change, and we may not be able to maintain compliance in all jurisdictions where we do business. Failure to maintain compliance, including in connection with changes in state or federal laws regarding privacy or security, could result in civil and/or criminal penalties as well as significant reputational damage and could also have a material adverse effect on our business.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California Consumer Privacy Act</w:t>
      </w:r>
    </w:p>
    <w:p>
      <w:pPr>
        <w:spacing w:after="0" w:line="249"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California Consumer Privacy Act, as amended by the California Privacy Rights Act (“CPRA,” and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 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also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spacing w:after="0" w:line="203"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The CCPA does not apply to personal information that is PHI under HIPAA and that is collected by a business associate or covered entity under HIPAA. The CCPA also exempts patient information that is processed by a 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spacing w:after="0" w:line="200" w:lineRule="exact"/>
        <w:rPr>
          <w:sz w:val="20"/>
          <w:szCs w:val="20"/>
          <w:color w:val="auto"/>
        </w:rPr>
      </w:pPr>
    </w:p>
    <w:p>
      <w:pPr>
        <w:spacing w:after="0" w:line="208"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CCPA is enforceable through administrative fines of up to $2,500 for each violation, or $7,500 for intentional violations or where we have actual knowledge that the personal information relates to an individual under 16 years of age.</w:t>
      </w:r>
    </w:p>
    <w:p>
      <w:pPr>
        <w:spacing w:after="0" w:line="173"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addition to the CCPA, four new state privacy laws have gone or will go into effect in 2023, including the Virginia Consumer Data Protection Act, the Utah Consumer Privacy Act, the Colorado Privacy Act, and the Connecticut Data Privacy Act. In 2023, a number of other states are considering similar consumer privacy laws. These new state privacy laws and any potential federal consumer privacy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reputation, and loss of goodwill, any of which could have a material adverse effect on our operations, financial performance, and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Genetic Privacy and Testing Laws</w:t>
      </w:r>
    </w:p>
    <w:p>
      <w:pPr>
        <w:spacing w:after="0" w:line="173"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are subject to myriad laws that require us to establish safeguards for the conduct of genomic testing and analysis and to protect against the misuse of genetic information and human biological specimens (“samples”) from which genetic information can be derived. These laws vary in their scope and in the nature of their requirements and restrictions. For example, certain genetic privacy laws prohibit the retention of samples after performing a genomic analysis and prohibit the collection, use or disclosure of genetic information or samples for certain purposes, such as research, without appropriate informed consent from the individual or unless the genetic information or samples are appropriately de-identified. Other laws may impose additional requirements, including requirements regarding institutional review board review and approval for certain research uses of genetic information or samples or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Data Protection Laws</w:t>
      </w:r>
    </w:p>
    <w:p>
      <w:pPr>
        <w:spacing w:after="0" w:line="160" w:lineRule="exact"/>
        <w:rPr>
          <w:sz w:val="20"/>
          <w:szCs w:val="20"/>
          <w:color w:val="auto"/>
        </w:rPr>
      </w:pPr>
    </w:p>
    <w:p>
      <w:pPr>
        <w:ind w:right="60" w:firstLine="312"/>
        <w:spacing w:after="0" w:line="245" w:lineRule="auto"/>
        <w:rPr>
          <w:sz w:val="20"/>
          <w:szCs w:val="20"/>
          <w:color w:val="auto"/>
        </w:rPr>
      </w:pPr>
      <w:r>
        <w:rPr>
          <w:rFonts w:ascii="Times New Roman" w:cs="Times New Roman" w:eastAsia="Times New Roman" w:hAnsi="Times New Roman"/>
          <w:sz w:val="17"/>
          <w:szCs w:val="17"/>
          <w:color w:val="auto"/>
        </w:rPr>
        <w:t>There are a growing number of jurisdictions around the globe that have privacy and data protection laws that may apply to us as we enter or expand our business in jurisdictions outside of the United States.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 goods or services. Certain data protection laws, such as those in the European Union, (the “EU”) and United Kingdom, are comprehensive in nature and include significant requirements around the processing of personal information, while other jurisdictions may have laws less restrictive or prescriptive than those in the U.S. Enforcement of these laws varies from jurisdiction to jurisdiction, with a variety of consequences, including civil or criminal penalties, litigation private rights of action, or damage to our reputation.</w:t>
      </w:r>
    </w:p>
    <w:p>
      <w:pPr>
        <w:spacing w:after="0" w:line="190" w:lineRule="exact"/>
        <w:rPr>
          <w:sz w:val="20"/>
          <w:szCs w:val="20"/>
          <w:color w:val="auto"/>
        </w:rPr>
      </w:pPr>
    </w:p>
    <w:p>
      <w:pPr>
        <w:ind w:right="20" w:firstLine="312"/>
        <w:spacing w:after="0" w:line="243" w:lineRule="auto"/>
        <w:rPr>
          <w:sz w:val="20"/>
          <w:szCs w:val="20"/>
          <w:color w:val="auto"/>
        </w:rPr>
      </w:pPr>
      <w:r>
        <w:rPr>
          <w:rFonts w:ascii="Times New Roman" w:cs="Times New Roman" w:eastAsia="Times New Roman" w:hAnsi="Times New Roman"/>
          <w:sz w:val="17"/>
          <w:szCs w:val="17"/>
          <w:color w:val="auto"/>
        </w:rPr>
        <w:t>For example, the EU’s General Data Protection Regulation (“GDPR”), including as implemented and amended through the UK Data Protection Act 2018 (“UK GDPR”), applies to any data collection, use and sharing in the context of an establishment in the EU or UK as well as extraterritorially to any entity outside the EU and UK when they process personal information related to an offer of goods or services to, or monitoring the behavior of, individuals who are located in the EU or UK. The GDPR and UK GDPR impose requirements on controllers and processors of personal data, including when personal information is transferred outside of the EU or the UK to another country and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result in significant administrative fines issued by EU or UK regulators.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Blocking Prohibition</w:t>
      </w:r>
    </w:p>
    <w:p>
      <w:pPr>
        <w:spacing w:after="0" w:line="251"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On May 1, 2020, the Office of the National Coordinator for Health Information Technology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became effective on April 5, 2021. Under the 21st Century Cures Act, health care providers that violate the information blocking prohibition will be subject to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disincentives, which the HHS has yet to establish through required rulemaking. Developers of certified information technology and health information networks/health information exchanges, however, may be subject to civil monetary penalties of up to $1 million per violation. The HHS Office of Inspector General has the authority to impose such penalties and on April 24, 2020, published a proposed rule to codify new authority in regulation, which the agency proposed would be effective 60 days after it issues a final rule but in no event before November 2, 2020. The HHS Office of Inspector General has not yet issued a final rule.</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Federal and State Consumer Protection Laws</w:t>
      </w:r>
    </w:p>
    <w:p>
      <w:pPr>
        <w:spacing w:after="0" w:line="251"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Federal Trade Commission (the “FTC”) is an independent U.S. law enforcement agency charged with protecting consumers and enhancing competition across broad sectors of the economy. The FTC’s primary legal authority with respect to data privacy and security comes from Section 5 of the FTC Act, which prohibits unfair or deceptive acts or practices in the marketplace. The FTC has increasingly used this broad authority to police data privacy and security, using its powers to investigate and bring lawsuits. Where appropriate, the FTC can seek a variety of remedies, such as but not limited to requiring the implementation of comprehensive privacy and security programs, biennial assessments by independent experts, monetary redress to consumers, and provision of robust notice and choice mechanisms to consumers. In addition to its enforcement mechanisms, the FTC uses a variety of tools to protect consumers’ privacy and personal information, including pursuing enforcement actions to stop violations of law, conducting studies and issuing reports, hosting public workshops, developing educational materials and testifying before the U.S. Congress on issues that affect consumer privacy. Recently, the FTC has issued guidance emphasizing that their authority to prevent unfair or deceptive acts or practices extends to advertising and marketing claims for health care and health-related products.</w:t>
      </w:r>
    </w:p>
    <w:p>
      <w:pPr>
        <w:spacing w:after="0" w:line="202"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majority of data privacy cases brought by the FTC fall under the “deceptive” acts prong of Section 5. These cases often involve a failure on the part of a company to adhere to its own privacy and data protection principles set forth in its policies or other statements made to consumers. To avoid Section 5 violations, the FTC encourages companies to build privacy protections and safeguards into relevant portions of their business, and to consider privacy and data protection as the company grows and evolves. In addition, privacy notices should clearly and accurately disclose the type(s) of personal information the company collects, how the company uses and shares that information, and the security measures used by the company to protect that information.</w:t>
      </w:r>
    </w:p>
    <w:p>
      <w:pPr>
        <w:spacing w:after="0" w:line="196"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 recent years, the FTC’s enforcement under Section 5 related to data security has included alleged violations of the “unfairness” prong. Many of these cases have alleged that companies were unfair to consumers because they failed to take reasonable and necessary measures to protect consumer data. The FTC has not provided bright line rules defining what constitutes “reasonable and necessary measures” for implementing a cybersecurity program, but it has provided guidance, tips and advice for companies. The FTC has also published past complaints and consent orders, which it urges companies use as guidance to help avoid an FTC enforcement action, even if a data breach or loss occurs.</w:t>
      </w:r>
    </w:p>
    <w:p>
      <w:pPr>
        <w:spacing w:after="0" w:line="19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addition to the FTC Act, most U.S. states have unfair and deceptive acts and practices statutes, known as UDAP statutes, that substantially mirror the FTC Act and have been applied in the privacy and data security context. These vary in substance and strength from state to state. Many have broad prohibitions against unfair and deceptive acts and practices. These statutes generally allow for private rights of action and are enforced by the states’ Attorneys General.</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Reimbursement and Billing</w:t>
      </w:r>
    </w:p>
    <w:p>
      <w:pPr>
        <w:spacing w:after="0" w:line="25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2024 and every three years thereafter (or annually for “advanced diagnostic laboratory tests”), private payer payment rates and volumes for their tests. None of our tests meet the current definition of advanced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diagnostic laboratory tests, and therefore we believe we are required to report private payer rates for our tests on an every-three-years basis, starting next in 2024. CMS uses the rates and volumes reported by laboratories to develop Medicare payment rates for the tests equal to the volume-weighted median of the private payer payment rates for the tests. Laboratories that fail to report the required payment information may be subject to substantial civil money penalties.</w:t>
      </w:r>
    </w:p>
    <w:p>
      <w:pPr>
        <w:spacing w:after="0" w:line="18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As set forth under the regulations implementing PAMA, for tests furnished on or after January 1, 2018, Medicare payments for clinical diagnostic laboratory tests are paid based upon these reported private payer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194"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and 2022 and will continue to be held at such levels in 2023. Then, where applicable based upon median private payer rates reported in 2017 or 2024, reduced by up to 15% per test per year in each of 2024 through 2026 (with a second round of private payer rate reporting in 2024 to establish rates for 2025 through 2027).</w:t>
      </w:r>
    </w:p>
    <w:p>
      <w:pPr>
        <w:spacing w:after="0" w:line="194"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(“MACs”). These same contractors may also be designated to process claims if CMS determines that such a model is appropriate. It is unclear whether CMS will proceed with contractor consolidation under this authorization.</w:t>
      </w:r>
    </w:p>
    <w:p>
      <w:pPr>
        <w:spacing w:after="0" w:line="19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18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Reimbursement and billing for diagnostic services is highly complex, and errors in billing potentially can result denied claims and/or in substantial obligations to repay overpayments to payors. Laboratories must bill various payers, such as private third-party payers, including managed care organizations (“MCO”), and state and federal health care programs, such as Medicare and Medicaid, and each may have different billing requirements. Additionally, the audit requirements we must meet to ensure compliance with applicable laws and regulations, as well as our internal compliance policies and procedures, add further complexity to the billing process. Other factors that complicate billing include:</w:t>
      </w:r>
    </w:p>
    <w:p>
      <w:pPr>
        <w:spacing w:after="0" w:line="196" w:lineRule="exact"/>
        <w:rPr>
          <w:sz w:val="20"/>
          <w:szCs w:val="20"/>
          <w:color w:val="auto"/>
        </w:rPr>
      </w:pPr>
    </w:p>
    <w:p>
      <w:pPr>
        <w:ind w:left="620" w:hanging="30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variability in coverage and information requirements among various payers;</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financial assistance programs;</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missing, incomplete or inaccurate billing information provided by ordering physicians;</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billings to payers with whom we do not have contracts;</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payers as to which party is responsible for payment; and</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payers as to the appropriate level of reimbursement.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Depending on the reimbursement arrangement and applicable law, the party that reimburses us for our services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304"/>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 party who provides coverage to the patient, such as an insurance company or MCO;</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 or federal healthcare program; or</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4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make our annual reports on Form 10-K, quarterly reports on Form 10-Q, current reports on Form 8-K and amendments to these reports, as well as our other SEC filings, available on our website, free of charge, as soon as reasonably practicable after they are electronically filed with or furnished to the SEC. Our website address is www.genedx.com. The information contained on our website is not incorporated by reference in this document.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You should carefully review and consider the following risk factors and the other information contained in this Annual Report on Form 10-K as well as in our other filings with the SEC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consolidated financial statements and notes thereto included herein.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97" w:lineRule="exact"/>
        <w:rPr>
          <w:sz w:val="20"/>
          <w:szCs w:val="20"/>
          <w:color w:val="auto"/>
        </w:rPr>
      </w:pPr>
    </w:p>
    <w:p>
      <w:pPr>
        <w:ind w:right="600" w:firstLine="312"/>
        <w:spacing w:after="0" w:line="293" w:lineRule="auto"/>
        <w:rPr>
          <w:sz w:val="20"/>
          <w:szCs w:val="20"/>
          <w:color w:val="auto"/>
        </w:rPr>
      </w:pPr>
      <w:r>
        <w:rPr>
          <w:rFonts w:ascii="Times New Roman" w:cs="Times New Roman" w:eastAsia="Times New Roman" w:hAnsi="Times New Roman"/>
          <w:sz w:val="17"/>
          <w:szCs w:val="17"/>
          <w:color w:val="auto"/>
        </w:rPr>
        <w:t>Our business is subject to a number of risks and uncertainties, including those risks discussed at length below. These risks include, among others, the following:</w:t>
      </w:r>
    </w:p>
    <w:p>
      <w:pPr>
        <w:spacing w:after="0" w:line="173" w:lineRule="exact"/>
        <w:rPr>
          <w:sz w:val="20"/>
          <w:szCs w:val="20"/>
          <w:color w:val="auto"/>
        </w:rPr>
      </w:pPr>
    </w:p>
    <w:p>
      <w:pPr>
        <w:ind w:left="620" w:hanging="304"/>
        <w:spacing w:after="0" w:line="293"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95"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95"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1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with the development and commercialization of our databases and our health information and genomic platforms.</w:t>
      </w:r>
    </w:p>
    <w:p>
      <w:pPr>
        <w:spacing w:after="0" w:line="168"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additional capital to fund our existing operations, develop additional products and services, commercialize new products and services or expand our operations.</w:t>
      </w:r>
    </w:p>
    <w:p>
      <w:pPr>
        <w:spacing w:after="0" w:line="95"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federal and state laboratory licensing requirements or standards, we could lose the ability to perform our tests or experience disruptions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20" w:hanging="304"/>
        <w:spacing w:after="0" w:line="293"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69"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56"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71"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84"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in the development and commercialization of our enhanced or new tests or services could materially adversely affect our business, financial condition and results of operations.</w:t>
      </w:r>
    </w:p>
    <w:p>
      <w:pPr>
        <w:spacing w:after="0" w:line="56"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7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could be subject to significant fluctuation, which could increase the volatility of our stock and warrant prices and cause losses to our stockholders.</w:t>
      </w:r>
    </w:p>
    <w:p>
      <w:pPr>
        <w:spacing w:after="0" w:line="69"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7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realize the level of the anticipated benefits that we expect from exiting businesses and restructuring our operations, which may adversely impact our business and results of operations.</w:t>
      </w:r>
    </w:p>
    <w:p>
      <w:pPr>
        <w:spacing w:after="0" w:line="5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changes in FDA enforcement discretion for LDTs could subject our operations to much more significant regulatory requirements.</w:t>
      </w:r>
    </w:p>
    <w:p>
      <w:pPr>
        <w:spacing w:after="0" w:line="14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the HIPAA security, privacy and breach notification regulations may increase our costs.</w:t>
      </w:r>
    </w:p>
    <w:p>
      <w:pPr>
        <w:spacing w:after="0" w:line="129"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uncertainty related to healthcare reform, pricing, coverage and reimbursement, which could reduce our revenue.</w:t>
      </w:r>
    </w:p>
    <w:p>
      <w:pPr>
        <w:spacing w:after="0" w:line="129"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effectively protect our proprietary products, processes, and technologies, including the confidentiality of our trade secrets, could harm our competitive position.</w:t>
      </w:r>
    </w:p>
    <w:p>
      <w:pPr>
        <w:spacing w:after="0" w:line="69"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56"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the continued listing requirements of the Nasdaq, our Class A common stock may be delisted and the price of our Class A common stock and our ability to access the capital markets could be negatively impacted.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Industry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i w:val="1"/>
          <w:iCs w:val="1"/>
          <w:color w:val="auto"/>
        </w:rPr>
        <w:t>We nee</w:t>
      </w:r>
      <w:r>
        <w:rPr>
          <w:rFonts w:ascii="Times New Roman" w:cs="Times New Roman" w:eastAsia="Times New Roman" w:hAnsi="Times New Roman"/>
          <w:sz w:val="17"/>
          <w:szCs w:val="17"/>
          <w:b w:val="1"/>
          <w:bCs w:val="1"/>
          <w:i w:val="1"/>
          <w:iCs w:val="1"/>
          <w:color w:val="auto"/>
        </w:rPr>
        <w:t>d to scale our infrastructure in advance of demand for our tests, and our failure to generate sufficient demand for our tests would have a negative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impact on our business and our ability to attain profitability.</w:t>
      </w:r>
    </w:p>
    <w:p>
      <w:pPr>
        <w:spacing w:after="0" w:line="91"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Our success depends in large part on our ability to extend our market position, to provide customers with high-quality test reports quickly and at a lower price than our competitors, and to achieve sufficient test volume to realize economies of scale. In addition, we regularly evaluate and refine our testing process, often significantly updating our workflows, including with respect to exome sequencing and whole genome sequencing. In order to execute our business model, we intend to continue to invest heavily in order to significantly scale our infrastructure, including our testing capacity, particularly with respect to exome sequencing and whole genome sequencing to supplement our panel testing capabilities and information systems, expand our commercial operations, customer service, billing and systems processes and enhance our internal quality assurance program. We expect that much of this growth will be in advance of demand for our tests. Our current and future expense levels are to a large extent fixed and are largely based on investment plans and estimates of future revenue. Because the timing and amount of revenue from our tests is difficult to forecast, when revenue does not meet expectations, we may not be able to adjust our spending promptly or reduce spending to levels commensurate with our revenue. Even if we successfully scale our infrastructure and operations, there can be no assurance that tests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not able to continue to generate substantial demand for our tests, our commercial success will be negatively affected.</w:t>
      </w:r>
    </w:p>
    <w:p>
      <w:pPr>
        <w:spacing w:after="0" w:line="173"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Our business model assumes that we will be able to generate significant test volume, particularly with respect to exome sequencing and whole genome sequencing in addition to our panel testing offerings, and we may not succeed in continuing to drive adoption of our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ours, there may be distrust as to the reliability of such information when compared with more limited and focused genetic tests. To generate further demand for our tests, we will need to continue to make clinicians aware of the benefits of our tests, including the price, the breadth of our testing options, and the benefits of having additional genetic data available from which to make treatment decisions. A lack of or delay in clinical acceptance of our exome sequencing and whole genome sequencing testing, or our legacy broad-based panels testing, would negatively impact sales and market acceptance of our tests and limit our revenue growth and potential profitability. Genetic testing is expensive, and many potential customers may be sensitive to pricing. In addition, potential customers may not adopt our tests if adequate reimbursement is not available, or if we are not able to maintain low prices relative to our competitors.</w:t>
      </w:r>
    </w:p>
    <w:p>
      <w:pPr>
        <w:spacing w:after="0" w:line="34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If we are not able to generate demand for our tests at sufficient volume, or if it takes significantly more time to generate this demand than we anticipate, our business, prospects, financial condition and results of operations could be materially harmed.</w:t>
      </w:r>
    </w:p>
    <w:p>
      <w:pPr>
        <w:spacing w:after="0" w:line="9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our laboratories become inoperable due to disasters, health epidemics or for any other reasons, we will be unable to perform tests and our business will be harmed.</w:t>
      </w:r>
    </w:p>
    <w:p>
      <w:pPr>
        <w:spacing w:after="0" w:line="9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perform all of our exome sequencing and whole genome sequencing tests at our production facilities in Gaithersburg, Maryland. Our laboratories and the equipment we use to perform our tests would be costly to replace and could require substantial lead time to replace and qualify for use. Our laboratories may be harmed or rendered inoperable by natural or man-made disasters, including flooding, fire and power outages, or by health epidemics, which may render it difficult or impossible for us to perform our tests for some period of time. The inability to perform our tests or the backlog that could develop if our laboratories are inoperable for even a short period of time may result in the loss of customers or harm our reputation. Although we maintain insurance for damage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property and the disruption of our business, this insurance may not be sufficient to cover all potential losses and may not continue to be available to us on acceptable terms, if at all.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companies or institutions may develop and market novel or improved technologies, which may make our technologies less competitive or obsolete.</w:t>
      </w:r>
    </w:p>
    <w:p>
      <w:pPr>
        <w:spacing w:after="0" w:line="173"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exome and genome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testing and screening products, including exome and whole genome sequencing products, health information services, and analytics, and data science services, and other diagnostic products. These competitors include:</w:t>
      </w:r>
    </w:p>
    <w:p>
      <w:pPr>
        <w:spacing w:after="0" w:line="125" w:lineRule="exact"/>
        <w:rPr>
          <w:sz w:val="20"/>
          <w:szCs w:val="20"/>
          <w:color w:val="auto"/>
        </w:rPr>
      </w:pPr>
    </w:p>
    <w:p>
      <w:pPr>
        <w:ind w:left="620" w:hanging="304"/>
        <w:spacing w:after="0" w:line="293"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95"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academic and scientific institutions;</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agencies; and</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and private research organizations.</w:t>
      </w:r>
    </w:p>
    <w:p>
      <w:pPr>
        <w:spacing w:after="0" w:line="169"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exome and whole genome sequencing,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91"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20"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than our Company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aggressively for our customers and partners in the market for genetic testing and screening, health information and data science products and services. Our competitors may be able to innovate and provide products and services faster than we can or may foresee the need for products and services before we do.</w:t>
      </w:r>
    </w:p>
    <w:p>
      <w:pPr>
        <w:spacing w:after="0" w:line="9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genetic testing and screening, health information and data science products and services, our operating results could be harmed.</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r>
        <w:rPr>
          <w:rFonts w:ascii="Times New Roman" w:cs="Times New Roman" w:eastAsia="Times New Roman" w:hAnsi="Times New Roman"/>
          <w:sz w:val="17"/>
          <w:szCs w:val="17"/>
          <w:i w:val="1"/>
          <w:iCs w:val="1"/>
          <w:color w:val="auto"/>
        </w:rPr>
        <w:t>.</w:t>
      </w:r>
    </w:p>
    <w:p>
      <w:pPr>
        <w:spacing w:after="0" w:line="10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18"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2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1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1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including but not limited to the $42 million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regarding certain overpayments to Legacy Sema4 allegedly received from a payor, and may be required to repay other payers for alleged overpayments due to lack of compliance with their reimbursement policies. For more information regarding this matter, see Note 4, “Revenue Recognition” to our consolidated financial statements included within this Annual Report. In addition to potential repayment obligations, failure to comply with payor reimbursement policies could result in government enforcement actions and, potentially, exclusion from certain payor programs, which could have a material adverse effect on our business.</w:t>
      </w:r>
    </w:p>
    <w:p>
      <w:pPr>
        <w:spacing w:after="0" w:line="33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experience with the development and commercialization of our databases and our health information and genomic platforms.</w:t>
      </w:r>
    </w:p>
    <w:p>
      <w:pPr>
        <w:spacing w:after="0" w:line="173"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have limited experience with the development or commercialization of clinical or research products in connection with the databases we manage and to which we have access, including our Centrellis® platform.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spacing w:after="0" w:line="1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9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have incurred net losses and negative cash flows from operations since its inception, including net losses of $549.0 million, $245.4 million and $241.3 million for the years ended December 31, 2022, 2021 and 2020, respectively. As of December 31, 2022, we had an accumulated deficit of $1.1 billion. We expect to continue to generate significant operating losses for the foreseeable future.</w:t>
      </w:r>
    </w:p>
    <w:p>
      <w:pPr>
        <w:spacing w:after="0" w:line="11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may seek to sell common or preferred equity or convertible debt securities, enter into a credit facility or another form of third-party funding or seek other debt financing. For example, we have an effective shelf registration statement that we filed with the SEC in August of 2022, registering $300 million shares of our Class A common stock and other securities. Following our recent public offerings of Class A common stock in January 2023, approximately $150 million of securities remained available under this registration statement.</w:t>
      </w:r>
    </w:p>
    <w:p>
      <w:pPr>
        <w:spacing w:after="0" w:line="11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may also consider raising additional capital in the future to expand our business, to pursue strategic investments, to take advantage of financing opportunities or for other reasons, including to:</w:t>
      </w:r>
    </w:p>
    <w:p>
      <w:pPr>
        <w:spacing w:after="0" w:line="95" w:lineRule="exact"/>
        <w:rPr>
          <w:sz w:val="20"/>
          <w:szCs w:val="20"/>
          <w:color w:val="auto"/>
        </w:rPr>
      </w:pPr>
    </w:p>
    <w:p>
      <w:pPr>
        <w:ind w:left="620" w:hanging="304"/>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sales and marketing efforts to drive market adoption of our current and future products and services;</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development efforts for our current and future products and services;</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products and services into other disease indications and clinical applications;</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license or invest in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30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invest in complementary businesses or assets; and</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capital expenditures and general and administrative expenses.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present and future funding requirements will depend on many factors, including:</w:t>
      </w:r>
    </w:p>
    <w:p>
      <w:pPr>
        <w:spacing w:after="0" w:line="169" w:lineRule="exact"/>
        <w:rPr>
          <w:sz w:val="20"/>
          <w:szCs w:val="20"/>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revenue growth;</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progress in establishing payor coverage and reimbursement arrangements with commercial third-party payors and government payors;</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expanding our laboratory operations and offerings, including our sales and marketing efforts;</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progress in, and cost of the sales and marketing activities associated with, establishing adoption of our Centrellis® solution;</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progress in, and cost of research and development activities associated with, products and services in research and early development;</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technological, product and market developments;</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international expansion; and</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cost of and delays in product development as a result of any regulatory oversight applicable to our products and services.</w:t>
      </w:r>
    </w:p>
    <w:p>
      <w:pPr>
        <w:spacing w:after="0" w:line="169"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Ethical, legal and social concerns related to the use of genomic medicine and health information analysis could reduce demand for our tests.</w:t>
      </w:r>
    </w:p>
    <w:p>
      <w:pPr>
        <w:spacing w:after="0" w:line="173"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9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programs, as well as many private third-party payors, for our tests. We have current CLIA, CAP, and other certifications to conduct our tests at our laboratories in Maryland. To renew these certifications, we are subject to survey and inspection on a regular basis and at the request of the certifying bodies. Moreover, CLIA inspectors may make random inspections of our clinical reference laboratories.</w:t>
      </w:r>
    </w:p>
    <w:p>
      <w:pPr>
        <w:spacing w:after="0" w:line="11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would also be required to maintain in-state licenses if we were to conduct testing in other states. Several states require the licensure of out-of-state laboratories that accept specimens from certain states.</w:t>
      </w:r>
    </w:p>
    <w:p>
      <w:pPr>
        <w:spacing w:after="0" w:line="95"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25"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20"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2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117"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December 31, 2022, and December 31, 2021.</w:t>
      </w:r>
    </w:p>
    <w:p>
      <w:pPr>
        <w:spacing w:after="0" w:line="128"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Due to the high degree of uncertainty regarding the implementation of the CARES Act, the Consolidated Appropriations Act, 2021, other stimulus legislation and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terms and conditions of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affected and any similar public health emergency in the future may materially and adversely affect our business and financial results.</w:t>
      </w:r>
    </w:p>
    <w:p>
      <w:pPr>
        <w:spacing w:after="0" w:line="357"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COVID-19 pandemic, together with related precautionary measures in response to the pandemic, materially disrupted our business during certain periods in 2021. Although our test volumes improved to what would be considered normalized market conditions during 2022, the COVID-19 pandemic, or other similar public health emergencies in the future, may disrupt our business in the future and materially and adversely affect our business and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Model</w:t>
      </w:r>
    </w:p>
    <w:p>
      <w:pPr>
        <w:spacing w:after="0" w:line="19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geographies in which we operate.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organization grows, we may find it increasingly difficult to maintain the beneficial aspects of our corporate culture. This could negatively impact our ability to retain and attract employees and our future success.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any member or change in structure of our senior management team could adversely affect our business.</w:t>
      </w:r>
    </w:p>
    <w:p>
      <w:pPr>
        <w:spacing w:after="0" w:line="186"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manage our future growth effectively, which could make it difficult to execute our business strategy.</w:t>
      </w:r>
    </w:p>
    <w:p>
      <w:pPr>
        <w:spacing w:after="0" w:line="199" w:lineRule="exact"/>
        <w:rPr>
          <w:sz w:val="20"/>
          <w:szCs w:val="20"/>
          <w:color w:val="auto"/>
        </w:rPr>
      </w:pPr>
    </w:p>
    <w:p>
      <w:pPr>
        <w:jc w:val="both"/>
        <w:ind w:firstLine="312"/>
        <w:spacing w:after="0" w:line="243" w:lineRule="auto"/>
        <w:rPr>
          <w:sz w:val="20"/>
          <w:szCs w:val="20"/>
          <w:color w:val="auto"/>
        </w:rPr>
      </w:pPr>
      <w:r>
        <w:rPr>
          <w:rFonts w:ascii="Times New Roman" w:cs="Times New Roman" w:eastAsia="Times New Roman" w:hAnsi="Times New Roman"/>
          <w:sz w:val="17"/>
          <w:szCs w:val="17"/>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w:t>
      </w:r>
      <w:r>
        <w:rPr>
          <w:rFonts w:ascii="Times New Roman" w:cs="Times New Roman" w:eastAsia="Times New Roman" w:hAnsi="Times New Roman"/>
          <w:sz w:val="27"/>
          <w:szCs w:val="27"/>
          <w:color w:val="008080"/>
          <w:vertAlign w:val="superscript"/>
        </w:rPr>
        <w:t>®</w:t>
      </w:r>
      <w:r>
        <w:rPr>
          <w:rFonts w:ascii="Times New Roman" w:cs="Times New Roman" w:eastAsia="Times New Roman" w:hAnsi="Times New Roman"/>
          <w:sz w:val="17"/>
          <w:szCs w:val="17"/>
          <w:color w:val="auto"/>
        </w:rPr>
        <w:t xml:space="preserve"> platform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5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International expansion of our business could expose us to business, regulatory, political, operational, financial and economic risks associated with doing business outside of the United States and Canada.</w:t>
      </w:r>
    </w:p>
    <w:p>
      <w:pPr>
        <w:spacing w:after="0" w:line="104"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42" w:lineRule="exact"/>
        <w:rPr>
          <w:sz w:val="20"/>
          <w:szCs w:val="20"/>
          <w:color w:val="auto"/>
        </w:rPr>
      </w:pPr>
    </w:p>
    <w:p>
      <w:pPr>
        <w:jc w:val="both"/>
        <w:ind w:left="620" w:hanging="304"/>
        <w:spacing w:after="0" w:line="274" w:lineRule="auto"/>
        <w:tabs>
          <w:tab w:leader="none" w:pos="6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 approvals, permits and licenses;</w:t>
      </w:r>
    </w:p>
    <w:p>
      <w:pPr>
        <w:spacing w:after="0" w:line="124"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our collaborators or our distributors to obtain regulatory clearance, authorization or approval for the use of our products and services in various countries;</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potentially relevant third-party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and difficulties in obtaining intellectual property protection and enforcing our intellectual property;</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 including repatriating foreign earned profits;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multiple payor reimbursement regimes, government payors or patient self-pay systems;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negotiating favorable reimbursement negotiations with governmental authorities;</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logistics and regulations associated with shipping samples, including infrastructure conditions and transportation delays;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in our ability to penetrate international markets if we are not able to conduct our clinical diagnostic services locally;</w:t>
      </w:r>
    </w:p>
    <w:p>
      <w:pPr>
        <w:spacing w:after="0" w:line="18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2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regulations and license requirements that may restrict foreign investment in and operation of the internet, IT infrastructure, data centers and other sectors, and international transfers of data;</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political and economic instability, including wars, terrorism and political unrest, and outbreak of disease;</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boycotts, curtailment of trade and other business restrictions; and</w:t>
      </w:r>
    </w:p>
    <w:p>
      <w:pPr>
        <w:spacing w:after="0" w:line="19" w:lineRule="exact"/>
        <w:rPr>
          <w:rFonts w:ascii="Times New Roman" w:cs="Times New Roman" w:eastAsia="Times New Roman" w:hAnsi="Times New Roman"/>
          <w:sz w:val="17"/>
          <w:szCs w:val="17"/>
          <w:color w:val="auto"/>
        </w:rPr>
      </w:pPr>
    </w:p>
    <w:p>
      <w:pPr>
        <w:ind w:left="620" w:right="60" w:hanging="304"/>
        <w:spacing w:after="0" w:line="244" w:lineRule="auto"/>
        <w:tabs>
          <w:tab w:leader="none" w:pos="613" w:val="left"/>
        </w:tabs>
        <w:numPr>
          <w:ilvl w:val="0"/>
          <w:numId w:val="22"/>
        </w:numPr>
        <w:rPr>
          <w:rFonts w:ascii="Calibri" w:cs="Calibri" w:eastAsia="Calibri" w:hAnsi="Calibri"/>
          <w:sz w:val="17"/>
          <w:szCs w:val="17"/>
          <w:color w:val="auto"/>
        </w:rPr>
      </w:pPr>
      <w:r>
        <w:rPr>
          <w:rFonts w:ascii="Times New Roman" w:cs="Times New Roman" w:eastAsia="Times New Roman" w:hAnsi="Times New Roman"/>
          <w:sz w:val="17"/>
          <w:szCs w:val="17"/>
          <w:color w:val="auto"/>
        </w:rPr>
        <w:t>regulatory and compliance risks that relate to maintaining accurate information and control over sales and distributors’ activities that may fall within the purview of the Foreign Corrupt Practices Act of 1977 (the “FCPA”), its books and records provisions, or its anti-bribery provisions, Canada’s Corruption of Foreign Public Officials Act, or laws similar to the FCPA in other jurisdictions in which we may in the future operate, such as the United Kingdom’s Bribery Act of 2010 and anti-bribery requirements of member states in the European Union (the “EU”).</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U.S. or global economic conditions could adversely affect our business, financial condition or results of operations.</w:t>
      </w:r>
    </w:p>
    <w:p>
      <w:pPr>
        <w:spacing w:after="0" w:line="186"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financial markets. A severe or prolonged economic downturn or increase in inflation and interest rates could result in a variety of risks to our business, including weakened demand for our products and services, increased costs and expenses and a reduced ability to raise additional capital when needed on favorable terms, if at all. A weak declining or inflationary economy could also strain our collaborators and suppliers, resulting in supply disruption, or cause delays in their payments to us. For example, we have experienced and may continue to experience interruptions in the supply of the diagnostic testing materials necessary for our testing products and material and shipping cost increases. We also have significant supply contracts that are short-term and, as we enter into the renewal cycles for these contracts, we may face material price increases upon renewal.</w:t>
      </w:r>
    </w:p>
    <w:p>
      <w:pPr>
        <w:spacing w:after="0" w:line="138"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In particular, challenging macroeconomic conditions, including cost inflation, decreases in per capita income and levels of disposable income, increased and/or prolonged unemployment or a decline in consumer confidence, as well as limited or significantly reduced points of access of our tests, could have a material adverse effect on the demand for our tests. Under difficult economic conditions, consumers may seek to reduce discretionary spending by forgoing our tests. Decreased demand for our tests, could negatively affect our overall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Any of the foregoing could harm our business and we cannot anticipate all of the ways in which the current economic climate and financial market conditions could adversely impact our business, financial condition, or results of operations.</w:t>
      </w:r>
    </w:p>
    <w:p>
      <w:pPr>
        <w:spacing w:after="0" w:line="1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0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08"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53"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we face.</w:t>
      </w:r>
    </w:p>
    <w:p>
      <w:pPr>
        <w:spacing w:after="0" w:line="14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34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currently rely upon third-party services for data storage and workflow management, including cloud storage solution providers, such as Microsoft Azure (“Azure”), Amazon Web Services, (“AWS”), and Google Cloud Platform (“GCP”). We rely on each of these providers to complete several vital workflows in our health information and data science service delivery. To varying degrees some of those services are proprietary to how each platform performs in connection with our current usage of the services.</w:t>
      </w:r>
    </w:p>
    <w:p>
      <w:pPr>
        <w:spacing w:after="0" w:line="142"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Nearly all of our data storage and analytics are conducted on, and the data and content we generate on our platforms are processed through, servers hosted by these providers, particularly Azure,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Azure, AWS or GCP, and if such agreements are terminated, we may not be able to enter into similar relationships in the future on reasonable terms or at all.</w:t>
      </w:r>
    </w:p>
    <w:p>
      <w:pPr>
        <w:spacing w:after="0" w:line="346"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current and future products and services may never achieve significant commercial market acceptance.</w:t>
      </w:r>
    </w:p>
    <w:p>
      <w:pPr>
        <w:spacing w:after="0" w:line="199"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w:t>
      </w:r>
      <w:r>
        <w:rPr>
          <w:rFonts w:ascii="Times New Roman" w:cs="Times New Roman" w:eastAsia="Times New Roman" w:hAnsi="Times New Roman"/>
          <w:sz w:val="27"/>
          <w:szCs w:val="27"/>
          <w:color w:val="008080"/>
          <w:vertAlign w:val="superscript"/>
        </w:rPr>
        <w:t>®</w:t>
      </w:r>
      <w:r>
        <w:rPr>
          <w:rFonts w:ascii="Times New Roman" w:cs="Times New Roman" w:eastAsia="Times New Roman" w:hAnsi="Times New Roman"/>
          <w:sz w:val="17"/>
          <w:szCs w:val="17"/>
          <w:color w:val="auto"/>
        </w:rPr>
        <w:t xml:space="preserve"> platform in general.</w:t>
      </w:r>
    </w:p>
    <w:p>
      <w:pPr>
        <w:spacing w:after="0" w:line="39"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and our collaborators may not succeed in achieving significant commercial market acceptance for our current or future products and services due to a number of factors, including:</w:t>
      </w:r>
    </w:p>
    <w:p>
      <w:pPr>
        <w:spacing w:after="0" w:line="109" w:lineRule="exact"/>
        <w:rPr>
          <w:sz w:val="20"/>
          <w:szCs w:val="20"/>
          <w:color w:val="auto"/>
        </w:rPr>
      </w:pPr>
    </w:p>
    <w:p>
      <w:pPr>
        <w:ind w:left="620" w:right="280" w:hanging="304"/>
        <w:spacing w:after="0" w:line="228"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demonstrate the utility of our platforms including Centrellis</w:t>
      </w:r>
      <w:r>
        <w:rPr>
          <w:rFonts w:ascii="Times New Roman" w:cs="Times New Roman" w:eastAsia="Times New Roman" w:hAnsi="Times New Roman"/>
          <w:sz w:val="27"/>
          <w:szCs w:val="27"/>
          <w:color w:val="008080"/>
          <w:vertAlign w:val="superscript"/>
        </w:rPr>
        <w:t>®</w:t>
      </w:r>
      <w:r>
        <w:rPr>
          <w:rFonts w:ascii="Times New Roman" w:cs="Times New Roman" w:eastAsia="Times New Roman" w:hAnsi="Times New Roman"/>
          <w:sz w:val="17"/>
          <w:szCs w:val="17"/>
          <w:color w:val="auto"/>
        </w:rPr>
        <w:t>,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52" w:lineRule="exact"/>
        <w:rPr>
          <w:rFonts w:ascii="Arial" w:cs="Arial" w:eastAsia="Arial" w:hAnsi="Arial"/>
          <w:sz w:val="21"/>
          <w:szCs w:val="21"/>
          <w:color w:val="auto"/>
        </w:rPr>
      </w:pPr>
    </w:p>
    <w:p>
      <w:pPr>
        <w:ind w:left="620" w:hanging="304"/>
        <w:spacing w:after="0" w:line="293"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hanging="304"/>
        <w:spacing w:after="0" w:line="293"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2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adoption of our platforms and related products and services by academic institutions, clinicians, patients, key opinion leaders, advocacy groups and biopharma companies; and</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our investments in product and services, and technological innovation and commercial growth.</w:t>
      </w:r>
    </w:p>
    <w:p>
      <w:pPr>
        <w:spacing w:after="0" w:line="182" w:lineRule="exact"/>
        <w:rPr>
          <w:sz w:val="20"/>
          <w:szCs w:val="20"/>
          <w:color w:val="auto"/>
        </w:rPr>
      </w:pPr>
    </w:p>
    <w:p>
      <w:pPr>
        <w:ind w:right="40" w:firstLine="312"/>
        <w:spacing w:after="0" w:line="265" w:lineRule="auto"/>
        <w:rPr>
          <w:sz w:val="20"/>
          <w:szCs w:val="20"/>
          <w:color w:val="auto"/>
        </w:rPr>
      </w:pPr>
      <w:r>
        <w:rPr>
          <w:rFonts w:ascii="Times New Roman" w:cs="Times New Roman" w:eastAsia="Times New Roman" w:hAnsi="Times New Roman"/>
          <w:sz w:val="17"/>
          <w:szCs w:val="17"/>
          <w:color w:val="auto"/>
        </w:rPr>
        <w:t>Additionally, our customers and collaborators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21"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estimated the global market opportunity for our current and future products and services, and these markets may be smaller than we estimate.</w:t>
      </w:r>
    </w:p>
    <w:p>
      <w:pPr>
        <w:spacing w:after="0" w:line="199"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Our estimates of the global market opportunity for our current products and services and those under development are based on a number of internal and third-party estimates, including, the market opportunity for rare disease and pediatric developmental disorders, adult disorders and newborn screening.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17"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Our success will depend in part on our ability to effectively introduce enhanced or new offerings, with a focus on expanding the clinical utility and application of exome and whole genome sequencing and developing solutions our health information platform can provide to partners.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31"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have relatively limited experience developing and commercializing products and services outside of the diagnostics business,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w:t>
      </w:r>
    </w:p>
    <w:p>
      <w:pPr>
        <w:spacing w:after="0" w:line="135"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cannot provide assurance that we can successfully complete the development of any new or enhanced product, or that we can establish or maintain the collaborative relationships that may be essential to our collaborators’ goals, including clinical development or commercialization efforts. For example,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36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86" w:lineRule="exact"/>
        <w:rPr>
          <w:sz w:val="20"/>
          <w:szCs w:val="20"/>
          <w:color w:val="auto"/>
        </w:rPr>
      </w:pPr>
    </w:p>
    <w:p>
      <w:pPr>
        <w:ind w:right="160" w:firstLine="312"/>
        <w:spacing w:after="0" w:line="219" w:lineRule="auto"/>
        <w:rPr>
          <w:sz w:val="20"/>
          <w:szCs w:val="20"/>
          <w:color w:val="auto"/>
        </w:rPr>
      </w:pPr>
      <w:r>
        <w:rPr>
          <w:rFonts w:ascii="Times New Roman" w:cs="Times New Roman" w:eastAsia="Times New Roman" w:hAnsi="Times New Roman"/>
          <w:sz w:val="17"/>
          <w:szCs w:val="17"/>
          <w:color w:val="auto"/>
        </w:rPr>
        <w:t>Accessing, combining, curating, and analyzing health information, including longitudinal patient medical history data and genetic data, are core features of the Centrellis</w:t>
      </w:r>
      <w:r>
        <w:rPr>
          <w:rFonts w:ascii="Times New Roman" w:cs="Times New Roman" w:eastAsia="Times New Roman" w:hAnsi="Times New Roman"/>
          <w:sz w:val="27"/>
          <w:szCs w:val="27"/>
          <w:color w:val="008080"/>
          <w:vertAlign w:val="superscript"/>
        </w:rPr>
        <w:t>®</w:t>
      </w:r>
      <w:r>
        <w:rPr>
          <w:rFonts w:ascii="Times New Roman" w:cs="Times New Roman" w:eastAsia="Times New Roman" w:hAnsi="Times New Roman"/>
          <w:sz w:val="17"/>
          <w:szCs w:val="17"/>
          <w:color w:val="auto"/>
        </w:rPr>
        <w:t xml:space="preserve"> platform and key elements of our long-term business model. The regulatory landscape around the storage, processing and deidentification of genetic data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7"/>
          <w:szCs w:val="17"/>
          <w:color w:val="auto"/>
        </w:rPr>
        <w:t>evolving globally and greatly impacts the ability of us, our strategic partners and collaborators to process and use the data in connection with our products and services.</w:t>
      </w:r>
    </w:p>
    <w:p>
      <w:pPr>
        <w:spacing w:after="0" w:line="108"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356"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Our future success depends in part on our ability to maintain and grow our existing relationships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products and services do not perform as expected, we may not realize the expected benefits of such products and services.</w:t>
      </w:r>
    </w:p>
    <w:p>
      <w:pPr>
        <w:spacing w:after="0" w:line="18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137"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16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0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04"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never become profitable.</w:t>
      </w:r>
    </w:p>
    <w:p>
      <w:pPr>
        <w:spacing w:after="0" w:line="186"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have incurred losses since our formation and we expect to continue to generate significant operating losses for the foreseeable future. As of December 31, 2022, and December 31, 2021, we have an accumulated deficit of approximately $1.1 billion and $575.4 million, respectively. We expect to continue investing significantly toward development and commercialization of our products and services and expect to continue efforts to reduce operating costs. If our revenue does not grow significantly, or if we are unable to achieve planned cost reductions, we will not be profitable. We cannot be certain that the revenue from the sale of any products or services based on our technologies will be sufficient to make us profitable.</w:t>
      </w:r>
    </w:p>
    <w:p>
      <w:pPr>
        <w:spacing w:after="0" w:line="12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could be subject to significant fluctuation, which could increase the volatility of our stock and warrant prices and cause losses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revenues and results of operations may fluctuate significantly, depending on a variety of factors, including the following:</w:t>
      </w:r>
    </w:p>
    <w:p>
      <w:pPr>
        <w:spacing w:after="0" w:line="195" w:lineRule="exact"/>
        <w:rPr>
          <w:sz w:val="20"/>
          <w:szCs w:val="20"/>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marketing and selling, and changes in demand for, our tests, and the level of reimbursement and collection obtained for such tests;</w:t>
      </w:r>
    </w:p>
    <w:p>
      <w:pPr>
        <w:spacing w:after="0" w:line="181"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4"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collecting payments from third-party payors, patients and collaborative partners, variation in the timing of these payments and recognition of these payments as revenues;</w:t>
      </w:r>
    </w:p>
    <w:p>
      <w:pPr>
        <w:spacing w:after="0" w:line="12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of our tests, including potential changes in CMS or other reimbursement rates;</w:t>
      </w:r>
    </w:p>
    <w:p>
      <w:pPr>
        <w:spacing w:after="0" w:line="18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08"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12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amount and timing of our selling and marketing costs and our ability to manage costs and expenses and effectively implement our business;</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research and development activities; and</w:t>
      </w:r>
    </w:p>
    <w:p>
      <w:pPr>
        <w:spacing w:after="0" w:line="18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collect, use, and commercialize data in a changing regulatory environment at a time when the public is growing increasingly concerned about privacy.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growth rate could decline over time, and it may experience downward pressure on our operating margins in the future.</w:t>
      </w:r>
    </w:p>
    <w:p>
      <w:pPr>
        <w:spacing w:after="0" w:line="18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29"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4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Due to these factors and the evolving nature of our business, our historical projected revenue growth rate and historical gross operating margins may not be indicative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the course of preparing Legacy Sema4’s financial statements as of December 31, 2020, we previously identified material weaknesses in our internal control over financial reporting. Certain of these material weaknesses remain unremediated as of December 31, 2022. For a discussion of these material weaknesses, see “Item 9A. Controls and Procedures”,</w:t>
      </w:r>
    </w:p>
    <w:p>
      <w:pPr>
        <w:spacing w:after="0" w:line="12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Our management is actively engaged and committed to taking the steps necessary to remediate the control deficiencies that constituted the material weaknesses. However, we cannot guarantee that the steps we have taken or may subsequently take have been or will be sufficient to remediate the material weaknesses or ensure that our internal controls are effective. For a discussion of our remediation plan and actions, see “Item 9A. Controls and Procedures.”</w:t>
      </w:r>
    </w:p>
    <w:p>
      <w:pPr>
        <w:spacing w:after="0" w:line="124"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 w:cs="Times New Roman" w:eastAsia="Times New Roman" w:hAnsi="Times New Roman"/>
          <w:sz w:val="17"/>
          <w:szCs w:val="17"/>
          <w:i w:val="1"/>
          <w:iCs w:val="1"/>
          <w:color w:val="auto"/>
        </w:rPr>
        <w:t>Risks Related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 forwards and certain other tax attributes may be limited.</w:t>
      </w:r>
    </w:p>
    <w:p>
      <w:pPr>
        <w:spacing w:after="0" w:line="173" w:lineRule="exact"/>
        <w:rPr>
          <w:sz w:val="20"/>
          <w:szCs w:val="20"/>
          <w:color w:val="auto"/>
        </w:rPr>
      </w:pPr>
    </w:p>
    <w:p>
      <w:pPr>
        <w:jc w:val="both"/>
        <w:ind w:firstLine="312"/>
        <w:spacing w:after="0" w:line="247" w:lineRule="auto"/>
        <w:rPr>
          <w:sz w:val="20"/>
          <w:szCs w:val="20"/>
          <w:color w:val="auto"/>
        </w:rPr>
      </w:pPr>
      <w:r>
        <w:rPr>
          <w:rFonts w:ascii="Times New Roman" w:cs="Times New Roman" w:eastAsia="Times New Roman" w:hAnsi="Times New Roman"/>
          <w:sz w:val="17"/>
          <w:szCs w:val="17"/>
          <w:color w:val="auto"/>
        </w:rPr>
        <w:t>As of December 31, 2022, our total gross deferred tax assets were $281.0 million. Future realization of the tax benefits of existing temporary differences and carryforwards ultimately depends on the existence of sufficient taxable income within the carryforward period. As of December 31, 2022, 2021, and 2020,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partial valuation allowance as of December 31, 2022 and a full valuation allowance as of December 31, 2021 and 2020.</w:t>
      </w:r>
    </w:p>
    <w:p>
      <w:pPr>
        <w:spacing w:after="0" w:line="347"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Furthermore, under Section 382 of the Internal Revenue Code of 1986, as amended (the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Key Relationships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Mount Sinai, a related party, for a portion of our data programs, and we have entered into certain other arrangements with Mount Sinai.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rely on the Mount Sinai Health System (together with its related entities, (“Mount Sinai”), which is a related party, for substantially all of the de-identified clinical records in our databases. In addition, we sublease certain facilities from Mount Sinai, we provide certain research and data services to Mount Sinai, and we and Mount Sinai have entered into certain collaborative and commercial arrangements. Certain of our employees perform duties for or on behalf of Mount Sinai. Furthermore, we may in the future enter into other contracts for services or other engagements with Mount Sinai.</w:t>
      </w:r>
    </w:p>
    <w:p>
      <w:pPr>
        <w:spacing w:after="0" w:line="14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2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08"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addition, Icahn School of Medicine at Mount Sinai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w:t>
      </w:r>
    </w:p>
    <w:p>
      <w:pPr>
        <w:spacing w:after="0" w:line="13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rely on commercial delivery services to transport samples to our facilities in a timely and cost-efficient manner and if these delivery services are disrupted, our business could be harmed.</w:t>
      </w:r>
    </w:p>
    <w:p>
      <w:pPr>
        <w:spacing w:after="0" w:line="104"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Our core business depends on our ability to quickly and reliably deliver test results to our customers. We typically receive blood and saliva samples for analysis at our laboratory facilities within days of collection from the patient. Disruptions and errors in these delivery service and accessioning errors and breaches, whether due to error by the delivery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Acquisitions and Other Strategic Transactions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significant transaction and transition costs in connection with the Acquisition.</w:t>
      </w:r>
    </w:p>
    <w:p>
      <w:pPr>
        <w:spacing w:after="0" w:line="199"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have incurred significant, non-recurring costs in connection with consummating the Acquisition and with the integration of the businesses, which may adversely affect our results of operations.</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realize the level of the anticipated benefits that we expect from exiting businesses and restructuring our operations, which may adversely impact our business and results of operations.</w:t>
      </w:r>
    </w:p>
    <w:p>
      <w:pPr>
        <w:spacing w:after="0" w:line="169" w:lineRule="exact"/>
        <w:rPr>
          <w:sz w:val="20"/>
          <w:szCs w:val="20"/>
          <w:color w:val="auto"/>
        </w:rPr>
      </w:pPr>
    </w:p>
    <w:p>
      <w:pPr>
        <w:jc w:val="both"/>
        <w:ind w:firstLine="312"/>
        <w:spacing w:after="0" w:line="247" w:lineRule="auto"/>
        <w:rPr>
          <w:sz w:val="20"/>
          <w:szCs w:val="20"/>
          <w:color w:val="auto"/>
        </w:rPr>
      </w:pPr>
      <w:r>
        <w:rPr>
          <w:rFonts w:ascii="Times New Roman" w:cs="Times New Roman" w:eastAsia="Times New Roman" w:hAnsi="Times New Roman"/>
          <w:sz w:val="17"/>
          <w:szCs w:val="17"/>
          <w:color w:val="auto"/>
        </w:rPr>
        <w:t>From time to time, we may decide to exit certain businesses or otherwise undertake restructuring, reorganization, or other strategic initiatives and business transformation plans to realign our resources with our growth strategies, operate more efficiently and control costs. The successful implementation of our restructuring activities may from time to time require us to effect business and asset dispositions, workforce reductions, management restructurings, decisions to limit investments in or otherwise exit businesses, facility consolidations and closures, and other actions, each of which may depend on a number of factors that may not be within our control. For example, as described in more detail elsewhere in this Annual Report, we exited our reproductive and women’s health testing business, during the first quarter of 2023 and we exited our somatic tumor testing business during the fourth quarter of 2022.</w:t>
      </w:r>
    </w:p>
    <w:p>
      <w:pPr>
        <w:spacing w:after="0" w:line="198" w:lineRule="exact"/>
        <w:rPr>
          <w:sz w:val="20"/>
          <w:szCs w:val="20"/>
          <w:color w:val="auto"/>
        </w:rPr>
      </w:pPr>
    </w:p>
    <w:p>
      <w:pPr>
        <w:jc w:val="both"/>
        <w:ind w:firstLine="312"/>
        <w:spacing w:after="0" w:line="277" w:lineRule="auto"/>
        <w:rPr>
          <w:sz w:val="20"/>
          <w:szCs w:val="20"/>
          <w:color w:val="auto"/>
        </w:rPr>
      </w:pPr>
      <w:r>
        <w:rPr>
          <w:rFonts w:ascii="Times New Roman" w:cs="Times New Roman" w:eastAsia="Times New Roman" w:hAnsi="Times New Roman"/>
          <w:sz w:val="17"/>
          <w:szCs w:val="17"/>
          <w:color w:val="auto"/>
        </w:rPr>
        <w:t>Any such effort to realign or streamline our organization may result in the recording of restructuring or other charges, such as asset impairment charges, contract and lease termination costs, exit costs, termination benefits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other restructuring costs. In particular, we expect that material cash and non-cash charges will be incurred and recorded in our future reporting periods as a result of the exit of the reproductive and women’s health testing and somatic tumor testing businesses. Further, as a result of restructuring initiatives, we may experience a loss of continuity, loss of accumulated knowledge and proficiency, adverse effects on employee morale, loss of key employees and/or other retention issues during transitional periods. Reorganization and restructuring can impact a significant amount of management and other employees’ time and focus, which may divert attention from operating and growing our business. Further, upon completion of any restructuring initiatives, our business may not be more efficient or effective than prior to the implementation of the plan and we may be unable to achieve anticipated operating enhancements or cost reductions, which would adversely affect our business, competitive position, operating results and financial condition.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assumed Legacy GeneDx’s risks arising from various legal proceedings.</w:t>
      </w:r>
    </w:p>
    <w:p>
      <w:pPr>
        <w:spacing w:after="0" w:line="186"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In connection with the Acquisition, as of the closing, we assumed Legacy GeneDx’s risks arising from legal proceedings. In particular, Legacy GeneDx has received from the Medicaid offices of certain states requests for refunds of up to approximately $1.8 million of previously issued reimbursements for certain services and testing provided by Legacy GeneDx both prior to and following the Acquisition. This amount represents the initial amounts expressed in writing by the Medicaid offices as well as our estimate based on our participation in discussions with OPKO and the Medicaid offices. We are working with OPKO to investigate these issues and in discussions with these payors regarding their requests and, at this time, we can express no opinion as to the likelihood of an unfavorable outcome or the range of potential loss in this matter. Although we expect OPKO’s indemnification obligations under the merger agreement related to the Acquisition (the “Acquisition Merger Agreement”) would apply to certain of the requested refunds related to the services and testing provided prior to the closing of the Acquisition, we would be responsible for any refunds related to services and testing provided after the closing of the Acquisition. Furthermore, following the closing of the Acquisition, the strategies or motivations of a party or parties with respect to actual or potential litigation against us may change. We cannot predict with certainty the eventual outcome of Legacy GeneDx’s pending or future legal proceedings and the ultimate outcome of such matters could be material to our results of operations, cash flows and financial condition.</w:t>
      </w:r>
    </w:p>
    <w:p>
      <w:pPr>
        <w:spacing w:after="0" w:line="138"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Finally, the Acquisition may result in post-transaction disputes with OPKO or the other counterparties to the Acquisition Merger Agreement and the related agreements regarding a number of matters, including any post-closing adjustments to the Cash Consideration, the occurrence or non-occurrence of any Milestone Event (as defined in the Acquisition Merger Agreement for the Acquisition) or payment of any Milestone Payment (as defined in the Acquisition Merger Agreement) or any liabilities for which we or OPKO believes it was indemnified under the Acquisition Merger Agreement.</w:t>
      </w:r>
    </w:p>
    <w:p>
      <w:pPr>
        <w:spacing w:after="0" w:line="13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186" w:lineRule="exact"/>
        <w:rPr>
          <w:sz w:val="20"/>
          <w:szCs w:val="20"/>
          <w:color w:val="auto"/>
        </w:rPr>
      </w:pPr>
    </w:p>
    <w:p>
      <w:pPr>
        <w:jc w:val="both"/>
        <w:ind w:firstLine="312"/>
        <w:spacing w:after="0" w:line="252" w:lineRule="auto"/>
        <w:rPr>
          <w:sz w:val="20"/>
          <w:szCs w:val="20"/>
          <w:color w:val="auto"/>
        </w:rPr>
      </w:pPr>
      <w:r>
        <w:rPr>
          <w:rFonts w:ascii="Times New Roman" w:cs="Times New Roman" w:eastAsia="Times New Roman" w:hAnsi="Times New Roman"/>
          <w:sz w:val="17"/>
          <w:szCs w:val="17"/>
          <w:color w:val="auto"/>
        </w:rPr>
        <w:t>From time to time, we may consider additional opportunities to acquire other products or technologies that may enhance our product platform or technology, expand the breadth of our markets or customer base, or advance our business strategies. In addition, we exited both our reproductive and women's health testing business and our somatic tumor testing business, which involves the divestiture of these businesses, and we may consider disposing other assets or businesses in the future.</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Potential acquisitions involve numerous risks, including:</w:t>
      </w:r>
    </w:p>
    <w:p>
      <w:pPr>
        <w:spacing w:after="0" w:line="130" w:lineRule="exact"/>
        <w:rPr>
          <w:sz w:val="20"/>
          <w:szCs w:val="20"/>
          <w:color w:val="auto"/>
        </w:rPr>
      </w:pPr>
    </w:p>
    <w:p>
      <w:pPr>
        <w:ind w:left="1240" w:hanging="611"/>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assimilating the acquired products or technologies;</w:t>
      </w:r>
    </w:p>
    <w:p>
      <w:pPr>
        <w:spacing w:after="0" w:line="142"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maintaining uniform standards, procedures, controls and policies;</w:t>
      </w:r>
    </w:p>
    <w:p>
      <w:pPr>
        <w:spacing w:after="0" w:line="129"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costs associated with acquisitions;</w:t>
      </w:r>
    </w:p>
    <w:p>
      <w:pPr>
        <w:spacing w:after="0" w:line="129"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our existing business;</w:t>
      </w:r>
    </w:p>
    <w:p>
      <w:pPr>
        <w:spacing w:after="0" w:line="142"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entering new markets in which we have limited or no experience;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40" w:hanging="611"/>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legal and accounting costs relating to the acquisitions or compliance with regulatory matters.</w:t>
      </w:r>
    </w:p>
    <w:p>
      <w:pPr>
        <w:spacing w:after="0" w:line="195"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Dispositions may similarly involve </w:t>
      </w:r>
      <w:r>
        <w:rPr>
          <w:rFonts w:ascii="Times New Roman" w:cs="Times New Roman" w:eastAsia="Times New Roman" w:hAnsi="Times New Roman"/>
          <w:sz w:val="17"/>
          <w:szCs w:val="17"/>
          <w:color w:val="212529"/>
        </w:rPr>
        <w:t>risks associated with the potential disruption of our ongoing business and distraction of our management team, and the</w:t>
      </w:r>
    </w:p>
    <w:p>
      <w:pPr>
        <w:spacing w:after="0" w:line="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212529"/>
        </w:rPr>
        <w:t xml:space="preserve">anticipated benefits and cost savings of these transactions may not be realized fully, or at all, or take longer to realize than anticipated. In addition, dispositions </w:t>
      </w:r>
      <w:r>
        <w:rPr>
          <w:rFonts w:ascii="Times New Roman" w:cs="Times New Roman" w:eastAsia="Times New Roman" w:hAnsi="Times New Roman"/>
          <w:sz w:val="17"/>
          <w:szCs w:val="17"/>
          <w:color w:val="000000"/>
        </w:rPr>
        <w:t>may involve our continued financial involvement in a divested business, such as through continuing equity ownership, transition service 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Regulatory and Compliance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increased compliance risks as a result of our rapid growth, including our dependence on our sales, marketing and billing efforts.</w:t>
      </w:r>
    </w:p>
    <w:p>
      <w:pPr>
        <w:spacing w:after="0" w:line="186"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use hazardous materials in a manner that causes injury, we could be liable for resulting damages.</w:t>
      </w:r>
    </w:p>
    <w:p>
      <w:pPr>
        <w:spacing w:after="0" w:line="199"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changes in FDA enforcement discretion for LDTs could subject our operations to much more significant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 xml:space="preserve">We currently offer a laboratory-developed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60"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Recently, the FDA has also taken a more active role in certain diagnostic areas, including the oversight of pharmacogenetic (“PGx”)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0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2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particular, the clinical laboratory and healthcare industry is subject to significant governmental certification and licensing regulations, as well as federal, state and foreign laws regarding:</w:t>
      </w:r>
    </w:p>
    <w:p>
      <w:pPr>
        <w:spacing w:after="0" w:line="108" w:lineRule="exact"/>
        <w:rPr>
          <w:sz w:val="20"/>
          <w:szCs w:val="20"/>
          <w:color w:val="auto"/>
        </w:rPr>
      </w:pP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 ordering and billing practices;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sales and pricing practices;</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information privacy and security, including HIPAA and comparable state laws;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anti-markup legislation;</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fraud and abuse; and</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protection.</w:t>
      </w:r>
    </w:p>
    <w:p>
      <w:pPr>
        <w:spacing w:after="0" w:line="182"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(the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4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2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Compliance with the HIPAA security, privacy and breach notification regulations may increase our costs.</w:t>
      </w:r>
    </w:p>
    <w:p>
      <w:pPr>
        <w:spacing w:after="0" w:line="19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HIPAA privacy, security and breach notification regulations, which include requirements implemented under the HITECH Act, establish federal standards with respect to the uses and disclosures of protected health information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spacing w:after="0" w:line="131" w:lineRule="exact"/>
        <w:rPr>
          <w:sz w:val="20"/>
          <w:szCs w:val="20"/>
          <w:color w:val="auto"/>
        </w:rPr>
      </w:pPr>
    </w:p>
    <w:p>
      <w:pPr>
        <w:ind w:left="620" w:hanging="304"/>
        <w:spacing w:after="0" w:line="293" w:lineRule="auto"/>
        <w:tabs>
          <w:tab w:leader="none" w:pos="6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patient’s rights to access, amend and receive an accounting of certain disclosures of PHI;</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notify individuals if there is a breach of their PHI;</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contents of notices of privacy practices related to the use and disclosure of PHI;</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technical and physical safeguards required of entities that use or receive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hanging="30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criteria related to the deidentification and aggregation of PHI; and</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and protection of electronic PHI.</w:t>
      </w:r>
    </w:p>
    <w:p>
      <w:pPr>
        <w:spacing w:after="0" w:line="234" w:lineRule="exact"/>
        <w:rPr>
          <w:sz w:val="20"/>
          <w:szCs w:val="20"/>
          <w:color w:val="auto"/>
        </w:rPr>
      </w:pPr>
    </w:p>
    <w:p>
      <w:pPr>
        <w:ind w:right="20" w:firstLine="312"/>
        <w:spacing w:after="0" w:line="242" w:lineRule="auto"/>
        <w:rPr>
          <w:sz w:val="20"/>
          <w:szCs w:val="20"/>
          <w:color w:val="auto"/>
        </w:rPr>
      </w:pPr>
      <w:r>
        <w:rPr>
          <w:rFonts w:ascii="Times New Roman" w:cs="Times New Roman" w:eastAsia="Times New Roman" w:hAnsi="Times New Roman"/>
          <w:sz w:val="17"/>
          <w:szCs w:val="17"/>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205" w:lineRule="exact"/>
        <w:rPr>
          <w:sz w:val="20"/>
          <w:szCs w:val="20"/>
          <w:color w:val="auto"/>
        </w:rPr>
      </w:pPr>
    </w:p>
    <w:p>
      <w:pPr>
        <w:jc w:val="both"/>
        <w:ind w:firstLine="312"/>
        <w:spacing w:after="0" w:line="250" w:lineRule="auto"/>
        <w:rPr>
          <w:sz w:val="20"/>
          <w:szCs w:val="20"/>
          <w:color w:val="auto"/>
        </w:rPr>
      </w:pPr>
      <w:r>
        <w:rPr>
          <w:rFonts w:ascii="Times New Roman" w:cs="Times New Roman" w:eastAsia="Times New Roman" w:hAnsi="Times New Roman"/>
          <w:sz w:val="17"/>
          <w:szCs w:val="17"/>
          <w:color w:val="auto"/>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spacing w:after="0" w:line="183" w:lineRule="exact"/>
        <w:rPr>
          <w:sz w:val="20"/>
          <w:szCs w:val="20"/>
          <w:color w:val="auto"/>
        </w:rPr>
      </w:pPr>
    </w:p>
    <w:p>
      <w:pPr>
        <w:jc w:val="both"/>
        <w:ind w:firstLine="312"/>
        <w:spacing w:after="0" w:line="236" w:lineRule="auto"/>
        <w:rPr>
          <w:sz w:val="20"/>
          <w:szCs w:val="20"/>
          <w:color w:val="auto"/>
        </w:rPr>
      </w:pPr>
      <w:r>
        <w:rPr>
          <w:rFonts w:ascii="Times New Roman" w:cs="Times New Roman" w:eastAsia="Times New Roman" w:hAnsi="Times New Roman"/>
          <w:sz w:val="17"/>
          <w:szCs w:val="17"/>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 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92" w:lineRule="exact"/>
        <w:rPr>
          <w:sz w:val="20"/>
          <w:szCs w:val="20"/>
          <w:color w:val="auto"/>
        </w:rPr>
      </w:pPr>
    </w:p>
    <w:p>
      <w:pPr>
        <w:jc w:val="both"/>
        <w:ind w:firstLine="312"/>
        <w:spacing w:after="0" w:line="235" w:lineRule="auto"/>
        <w:rPr>
          <w:sz w:val="20"/>
          <w:szCs w:val="20"/>
          <w:color w:val="auto"/>
        </w:rPr>
      </w:pPr>
      <w:r>
        <w:rPr>
          <w:rFonts w:ascii="Times New Roman" w:cs="Times New Roman" w:eastAsia="Times New Roman" w:hAnsi="Times New Roman"/>
          <w:sz w:val="17"/>
          <w:szCs w:val="17"/>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was determined to be reportable breaches requiring disclosure to 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191" w:lineRule="exact"/>
        <w:rPr>
          <w:sz w:val="20"/>
          <w:szCs w:val="20"/>
          <w:color w:val="auto"/>
        </w:rPr>
      </w:pPr>
    </w:p>
    <w:p>
      <w:pPr>
        <w:jc w:val="both"/>
        <w:ind w:firstLine="312"/>
        <w:spacing w:after="0" w:line="241" w:lineRule="auto"/>
        <w:rPr>
          <w:sz w:val="20"/>
          <w:szCs w:val="20"/>
          <w:color w:val="auto"/>
        </w:rPr>
      </w:pPr>
      <w:r>
        <w:rPr>
          <w:rFonts w:ascii="Times New Roman" w:cs="Times New Roman" w:eastAsia="Times New Roman" w:hAnsi="Times New Roman"/>
          <w:sz w:val="17"/>
          <w:szCs w:val="17"/>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activities may subject the Company to risks under federal and state laws prohibiting ‘kickbacks’ and false or fraudulent claims.</w:t>
      </w:r>
    </w:p>
    <w:p>
      <w:pPr>
        <w:spacing w:after="0" w:line="238" w:lineRule="exact"/>
        <w:rPr>
          <w:sz w:val="20"/>
          <w:szCs w:val="20"/>
          <w:color w:val="auto"/>
        </w:rPr>
      </w:pPr>
    </w:p>
    <w:p>
      <w:pPr>
        <w:jc w:val="both"/>
        <w:ind w:firstLine="312"/>
        <w:spacing w:after="0" w:line="241" w:lineRule="auto"/>
        <w:rPr>
          <w:sz w:val="20"/>
          <w:szCs w:val="20"/>
          <w:color w:val="auto"/>
        </w:rPr>
      </w:pPr>
      <w:r>
        <w:rPr>
          <w:rFonts w:ascii="Times New Roman" w:cs="Times New Roman" w:eastAsia="Times New Roman" w:hAnsi="Times New Roman"/>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These laws constrain, among other things, the sales, marketing and other promotional activities of manufacturers of medical devices and providers of laboratory services by limiting the kinds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in some cases, criminal penalties (including fines) for noncompliance that can be substantial. In addition, various states have enacted false claim laws analogous to the federal laws that apply where a claim is submitted to any third-party payor and not only a governmental payer program. Moreover, any claim for reimbursement that is predicated on a violation of the Anti-Kickback Statute may constitute a “false claim” under the False Claims Act (discussed in further detail below).</w:t>
      </w:r>
    </w:p>
    <w:p>
      <w:pPr>
        <w:spacing w:after="0" w:line="208" w:lineRule="exact"/>
        <w:rPr>
          <w:sz w:val="20"/>
          <w:szCs w:val="20"/>
          <w:color w:val="auto"/>
        </w:rPr>
      </w:pPr>
    </w:p>
    <w:p>
      <w:pPr>
        <w:jc w:val="both"/>
        <w:ind w:firstLine="312"/>
        <w:spacing w:after="0" w:line="232" w:lineRule="auto"/>
        <w:rPr>
          <w:sz w:val="20"/>
          <w:szCs w:val="20"/>
          <w:color w:val="auto"/>
        </w:rPr>
      </w:pPr>
      <w:r>
        <w:rPr>
          <w:rFonts w:ascii="Times New Roman" w:cs="Times New Roman" w:eastAsia="Times New Roman" w:hAnsi="Times New Roman"/>
          <w:sz w:val="17"/>
          <w:szCs w:val="17"/>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employees and personal service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210" w:lineRule="exact"/>
        <w:rPr>
          <w:sz w:val="20"/>
          <w:szCs w:val="20"/>
          <w:color w:val="auto"/>
        </w:rPr>
      </w:pPr>
    </w:p>
    <w:p>
      <w:pPr>
        <w:jc w:val="both"/>
        <w:ind w:firstLine="312"/>
        <w:spacing w:after="0" w:line="234" w:lineRule="auto"/>
        <w:rPr>
          <w:sz w:val="20"/>
          <w:szCs w:val="20"/>
          <w:color w:val="auto"/>
        </w:rPr>
      </w:pPr>
      <w:r>
        <w:rPr>
          <w:rFonts w:ascii="Times New Roman" w:cs="Times New Roman" w:eastAsia="Times New Roman" w:hAnsi="Times New Roman"/>
          <w:sz w:val="17"/>
          <w:szCs w:val="17"/>
          <w:color w:val="auto"/>
        </w:rPr>
        <w:t>The False Claims Act prohibits knowingly presenting (or causing the presentation of) a false claim for reimbursement by a federal health care program. Violation of the False Claims Act can result in substantial penalties, including treble damages. Moreover, the False Claims Act permits enforcement by qui tam relators (i.e., whistleblowers), such as competitors, customers, or current/former employees, who will receive a portion of any settlement. As discussed 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w:t>
      </w:r>
    </w:p>
    <w:p>
      <w:pPr>
        <w:spacing w:after="0" w:line="197" w:lineRule="exact"/>
        <w:rPr>
          <w:sz w:val="20"/>
          <w:szCs w:val="20"/>
          <w:color w:val="auto"/>
        </w:rPr>
      </w:pPr>
    </w:p>
    <w:p>
      <w:pPr>
        <w:jc w:val="both"/>
        <w:ind w:firstLine="312"/>
        <w:spacing w:after="0" w:line="238" w:lineRule="auto"/>
        <w:rPr>
          <w:sz w:val="20"/>
          <w:szCs w:val="20"/>
          <w:color w:val="auto"/>
        </w:rPr>
      </w:pPr>
      <w:r>
        <w:rPr>
          <w:rFonts w:ascii="Times New Roman" w:cs="Times New Roman" w:eastAsia="Times New Roman" w:hAnsi="Times New Roman"/>
          <w:sz w:val="17"/>
          <w:szCs w:val="17"/>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5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0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104"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44"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Our operations are subject to other extensive federal, state, local and foreign laws and regulations, all of which are subject to change. These laws and regulations currently include, among others:</w:t>
      </w:r>
    </w:p>
    <w:p>
      <w:pPr>
        <w:spacing w:after="0" w:line="121" w:lineRule="exact"/>
        <w:rPr>
          <w:sz w:val="20"/>
          <w:szCs w:val="20"/>
          <w:color w:val="auto"/>
        </w:rPr>
      </w:pPr>
    </w:p>
    <w:p>
      <w:pPr>
        <w:ind w:left="620" w:hanging="304"/>
        <w:spacing w:after="0" w:line="293" w:lineRule="auto"/>
        <w:tabs>
          <w:tab w:leader="none" w:pos="6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which establishes comprehensive federal standards with respect to the privacy and security of protected health information and requirements for the use of certain standardized electronic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hanging="304"/>
        <w:spacing w:after="0" w:line="293"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329"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Data Protection Regulation (“GDPR”) and UK Data Protection Act 2018 (“UK GDPR”),, which imposes strict privacy and security requirements on controllers and processors of European and UK personal data, including enhanced protections for “special categories” of personal data, including sensitive information such as health and genetic information of data subjects;</w:t>
      </w:r>
    </w:p>
    <w:p>
      <w:pPr>
        <w:spacing w:after="0" w:line="111"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CCPA , and similar consumer privacy laws in Colorado, Connecticut, Utah, and Virginia, which, among other things, regulate how subject businesses may collect, use, disclose and/or sell the personal information of consumers who reside in each state, affords rights to consumers that they may exercise against businesses that collect their information, and requires implementation of reasonable security measures to safeguard personal information of consumers;</w:t>
      </w:r>
    </w:p>
    <w:p>
      <w:pPr>
        <w:spacing w:after="0" w:line="115" w:lineRule="exact"/>
        <w:rPr>
          <w:rFonts w:ascii="Times New Roman" w:cs="Times New Roman" w:eastAsia="Times New Roman" w:hAnsi="Times New Roman"/>
          <w:sz w:val="17"/>
          <w:szCs w:val="17"/>
          <w:color w:val="auto"/>
        </w:rPr>
      </w:pPr>
    </w:p>
    <w:p>
      <w:pPr>
        <w:jc w:val="both"/>
        <w:ind w:left="620" w:hanging="304"/>
        <w:spacing w:after="0" w:line="260"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127"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and human subjects research regulations, including but not limited to the federal Policy for Protection of Human Subjects (45 C.F.R. Part 46), the FDCA and its applicable implementing regulations at 21 C.F.R. Parts 11, 50, 54, 56, 58 and 812, and all equivalent legal requirements in other jurisdictions.</w:t>
      </w:r>
    </w:p>
    <w:p>
      <w:pPr>
        <w:spacing w:after="0" w:line="111" w:lineRule="exact"/>
        <w:rPr>
          <w:rFonts w:ascii="Times New Roman" w:cs="Times New Roman" w:eastAsia="Times New Roman" w:hAnsi="Times New Roman"/>
          <w:sz w:val="17"/>
          <w:szCs w:val="17"/>
          <w:color w:val="auto"/>
        </w:rPr>
      </w:pPr>
    </w:p>
    <w:p>
      <w:pPr>
        <w:jc w:val="both"/>
        <w:ind w:left="620" w:hanging="304"/>
        <w:spacing w:after="0" w:line="265"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143"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EKRA, which prohibits payments for referrals to recovery homes, clinical treatment facilities, and laboratories and reaches beyond federal health care programs, to include private insurance;</w:t>
      </w:r>
    </w:p>
    <w:p>
      <w:pPr>
        <w:spacing w:after="0" w:line="108"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28"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imposes liability on any person or entity that, among other things, knowingly presents, or causes to be presented, a false or fraudulent claim for payment to the federal government;</w:t>
      </w:r>
    </w:p>
    <w:p>
      <w:pPr>
        <w:spacing w:after="0" w:line="121"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20" w:hanging="304"/>
        <w:spacing w:after="0" w:line="274"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37"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4" w:lineRule="exact"/>
        <w:rPr>
          <w:rFonts w:ascii="Times New Roman" w:cs="Times New Roman" w:eastAsia="Times New Roman" w:hAnsi="Times New Roman"/>
          <w:sz w:val="17"/>
          <w:szCs w:val="17"/>
          <w:color w:val="auto"/>
        </w:rPr>
      </w:pPr>
    </w:p>
    <w:p>
      <w:pPr>
        <w:ind w:left="620" w:hanging="304"/>
        <w:spacing w:after="0" w:line="259"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 w:lineRule="exact"/>
        <w:rPr>
          <w:rFonts w:ascii="Times New Roman" w:cs="Times New Roman" w:eastAsia="Times New Roman" w:hAnsi="Times New Roman"/>
          <w:sz w:val="17"/>
          <w:szCs w:val="17"/>
          <w:color w:val="auto"/>
        </w:rPr>
      </w:pPr>
    </w:p>
    <w:p>
      <w:pPr>
        <w:ind w:left="620" w:hanging="304"/>
        <w:spacing w:after="0" w:line="242"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of medicine, osteopathy,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w:t>
      </w:r>
    </w:p>
    <w:p>
      <w:pPr>
        <w:spacing w:after="0" w:line="15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limit or prohibit the provision of certain payments and other transfers of value to certain covered healthcare providers;</w:t>
      </w:r>
    </w:p>
    <w:p>
      <w:pPr>
        <w:spacing w:after="0" w:line="181" w:lineRule="exact"/>
        <w:rPr>
          <w:rFonts w:ascii="Times New Roman" w:cs="Times New Roman" w:eastAsia="Times New Roman" w:hAnsi="Times New Roman"/>
          <w:sz w:val="17"/>
          <w:szCs w:val="17"/>
          <w:color w:val="auto"/>
        </w:rPr>
      </w:pPr>
    </w:p>
    <w:p>
      <w:pPr>
        <w:ind w:left="620" w:hanging="304"/>
        <w:spacing w:after="0" w:line="266"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prohibition on reassignment of Medicare claims, which, subject to certain exceptions, precludes the reassignment of Medicare claims to any other party;</w:t>
      </w:r>
    </w:p>
    <w:p>
      <w:pPr>
        <w:spacing w:after="0" w:line="38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foreign laws and regulations that may apply to us in the countries in which we operate or may operate in the future; and</w:t>
      </w:r>
    </w:p>
    <w:p>
      <w:pPr>
        <w:spacing w:after="0" w:line="18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that relate to maintaining accurate information and control over activities that may fall within the purview of the U.S. Foreign Corrupt Practices Act, its books and records provisions, or anti-bribery provisions.</w:t>
      </w:r>
    </w:p>
    <w:p>
      <w:pPr>
        <w:spacing w:after="0" w:line="160" w:lineRule="exact"/>
        <w:rPr>
          <w:sz w:val="20"/>
          <w:szCs w:val="20"/>
          <w:color w:val="auto"/>
        </w:rPr>
      </w:pPr>
    </w:p>
    <w:p>
      <w:pPr>
        <w:jc w:val="both"/>
        <w:ind w:firstLine="312"/>
        <w:spacing w:after="0" w:line="241" w:lineRule="auto"/>
        <w:rPr>
          <w:sz w:val="20"/>
          <w:szCs w:val="20"/>
          <w:color w:val="auto"/>
        </w:rPr>
      </w:pPr>
      <w:r>
        <w:rPr>
          <w:rFonts w:ascii="Times New Roman" w:cs="Times New Roman" w:eastAsia="Times New Roman" w:hAnsi="Times New Roman"/>
          <w:sz w:val="17"/>
          <w:szCs w:val="17"/>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204" w:lineRule="exact"/>
        <w:rPr>
          <w:sz w:val="20"/>
          <w:szCs w:val="20"/>
          <w:color w:val="auto"/>
        </w:rPr>
      </w:pPr>
    </w:p>
    <w:p>
      <w:pPr>
        <w:jc w:val="both"/>
        <w:ind w:firstLine="312"/>
        <w:spacing w:after="0"/>
        <w:rPr>
          <w:sz w:val="20"/>
          <w:szCs w:val="20"/>
          <w:color w:val="auto"/>
        </w:rPr>
      </w:pPr>
      <w:r>
        <w:rPr>
          <w:rFonts w:ascii="Times New Roman" w:cs="Times New Roman" w:eastAsia="Times New Roman" w:hAnsi="Times New Roman"/>
          <w:sz w:val="17"/>
          <w:szCs w:val="17"/>
          <w:color w:val="auto"/>
        </w:rPr>
        <w:t>In addition,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uncertainty related to healthcare reform, pricing, coverage and reimbursement, which could reduce our revenue.</w:t>
      </w:r>
    </w:p>
    <w:p>
      <w:pPr>
        <w:spacing w:after="0" w:line="199"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353"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Product and professional liability suits against us could result in expensive and time-consuming litigation, payment of substantial damages and increases in our insurance rates.</w:t>
      </w:r>
    </w:p>
    <w:p>
      <w:pPr>
        <w:spacing w:after="0" w:line="117"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Errors, defects, or mistakes in our products or services, and operations could harm our reputation, decrease market acceptance of our products or services.</w:t>
      </w:r>
    </w:p>
    <w:p>
      <w:pPr>
        <w:spacing w:after="0" w:line="18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are creating new products and services, many of which are initially based on largely untested technologies. As all of our products and services progress, we or others may determine that it made product or service-level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46"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increasingly complex taxation rules and practices, which may affect how we conduct our business and our results of operations.</w:t>
      </w:r>
    </w:p>
    <w:p>
      <w:pPr>
        <w:spacing w:after="0" w:line="186"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inability to effectively protect our proprietary products, processes, and technologies, could harm our competitive position.</w:t>
      </w:r>
    </w:p>
    <w:p>
      <w:pPr>
        <w:spacing w:after="0" w:line="18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currently rely upon trade secret protection and copyright, as well as non-disclosure agreements and confidentiality and intellectual property ownership provisions in agreements with our consultants collaborators, vendors and other third parties, confidentiality and proprietary rights agreements, including invention assignment provisions, with our employees, and, to a limited extent, patent protection, to protect our confidential and proprietary information. As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competitors may be able to use our methods and databases and thereby erode any competitive advantages we may have.</w:t>
      </w:r>
    </w:p>
    <w:p>
      <w:pPr>
        <w:spacing w:after="0" w:line="195"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we deem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rejected during examination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It would be expensive, if we initiate lawsuits to protect or enforce our patents or trade secrets, or defend against third-party IP claims, and if we lose, we may lose some of our intellectual property rights. Furthermore, these lawsuits may divert the attention of our management and technical personnel.</w:t>
      </w:r>
    </w:p>
    <w:p>
      <w:pPr>
        <w:spacing w:after="0" w:line="349"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expect to continue relying substantially upon trade secrets and proprietary know-how protection for our confidential and proprietary information, and we have taken security measures to maintain such protection for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become known.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inability to effectively protect our proprietary technologies under certain jurisdictions and legal regimes could harm our competitive position.</w:t>
      </w:r>
    </w:p>
    <w:p>
      <w:pPr>
        <w:spacing w:after="0" w:line="199"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outside of the United States. The laws of some foreign countries do not protect proprietary rights to the same extent as the laws of the United States, and we may encounter difficulties in establishing and enforcing its proprietary rights in some jurisdictions.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issues arising under patents and patent applications owned or controlled by our collaborators and licensors.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of these factors could adversely affect our ability to obtain commercially relevant or competitively advantageous patent protection for our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patent regulations or standards are modified, such changes could have a negative impact on our business.</w:t>
      </w:r>
    </w:p>
    <w:p>
      <w:pPr>
        <w:spacing w:after="0" w:line="238" w:lineRule="exact"/>
        <w:rPr>
          <w:sz w:val="20"/>
          <w:szCs w:val="20"/>
          <w:color w:val="auto"/>
        </w:rPr>
      </w:pPr>
    </w:p>
    <w:p>
      <w:pPr>
        <w:ind w:right="80" w:firstLine="312"/>
        <w:spacing w:after="0" w:line="277" w:lineRule="auto"/>
        <w:rPr>
          <w:sz w:val="20"/>
          <w:szCs w:val="20"/>
          <w:color w:val="auto"/>
        </w:rPr>
      </w:pPr>
      <w:r>
        <w:rPr>
          <w:rFonts w:ascii="Times New Roman" w:cs="Times New Roman" w:eastAsia="Times New Roman" w:hAnsi="Times New Roman"/>
          <w:sz w:val="17"/>
          <w:szCs w:val="17"/>
          <w:color w:val="auto"/>
        </w:rPr>
        <w:t>From time to time, the U.S. Supreme Court, other federal courts, the U.S. Congress or the U.S. Patent &amp; Trademark Office (“USPTO”) may change the standards of patentability and validity of patents within the screening and diagnostics space, and any such changes could have a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several cases involving “gene patents” and diagnostic claims that have been considered by the U.S. Supreme Court. In March 2012, the Supreme Court </w:t>
      </w:r>
      <w:r>
        <w:rPr>
          <w:rFonts w:ascii="Times New Roman" w:cs="Times New Roman" w:eastAsia="Times New Roman" w:hAnsi="Times New Roman"/>
          <w:sz w:val="17"/>
          <w:szCs w:val="17"/>
          <w:i w:val="1"/>
          <w:iCs w:val="1"/>
          <w:color w:val="auto"/>
        </w:rPr>
        <w:t>in Mayo Collaborative Services v. Prometheus Laboratories, Inc,</w:t>
      </w:r>
      <w:r>
        <w:rPr>
          <w:rFonts w:ascii="Times New Roman" w:cs="Times New Roman" w:eastAsia="Times New Roman" w:hAnsi="Times New Roman"/>
          <w:sz w:val="17"/>
          <w:szCs w:val="17"/>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Times New Roman" w:cs="Times New Roman" w:eastAsia="Times New Roman" w:hAnsi="Times New Roman"/>
          <w:sz w:val="17"/>
          <w:szCs w:val="17"/>
          <w:i w:val="1"/>
          <w:iCs w:val="1"/>
          <w:color w:val="auto"/>
        </w:rPr>
        <w:t>ACLU v. Myriad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Genetics, Inc, </w:t>
      </w:r>
      <w:r>
        <w:rPr>
          <w:rFonts w:ascii="Times New Roman" w:cs="Times New Roman" w:eastAsia="Times New Roman" w:hAnsi="Times New Roman"/>
          <w:sz w:val="17"/>
          <w:szCs w:val="17"/>
          <w:color w:val="auto"/>
        </w:rPr>
        <w:t>that an isolated genomic DNA sequence is not patent eligible while cDNA is eligible. The</w:t>
      </w:r>
      <w:r>
        <w:rPr>
          <w:rFonts w:ascii="Times New Roman" w:cs="Times New Roman" w:eastAsia="Times New Roman" w:hAnsi="Times New Roman"/>
          <w:sz w:val="17"/>
          <w:szCs w:val="17"/>
          <w:i w:val="1"/>
          <w:iCs w:val="1"/>
          <w:color w:val="auto"/>
        </w:rPr>
        <w:t xml:space="preserve"> Prometheus and Myriad </w:t>
      </w:r>
      <w:r>
        <w:rPr>
          <w:rFonts w:ascii="Times New Roman" w:cs="Times New Roman" w:eastAsia="Times New Roman" w:hAnsi="Times New Roman"/>
          <w:sz w:val="17"/>
          <w:szCs w:val="17"/>
          <w:color w:val="auto"/>
        </w:rPr>
        <w:t>decisions, as well as subsequent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case law, affect the legal concept of subject matter eligibility by seemingly narrowing the scope of the statute defining patentable inventions.</w:t>
      </w:r>
    </w:p>
    <w:p>
      <w:pPr>
        <w:spacing w:after="0" w:line="144"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 w:cs="Times New Roman" w:eastAsia="Times New Roman" w:hAnsi="Times New Roman"/>
          <w:sz w:val="17"/>
          <w:szCs w:val="17"/>
          <w:i w:val="1"/>
          <w:iCs w:val="1"/>
          <w:color w:val="auto"/>
        </w:rPr>
        <w:t>Mayo, Association for Molecular Pathology v. Myriad Genetics, Inc.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Alice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Corporation Pty. Ltd. v. CLS Bank International</w:t>
      </w:r>
      <w:r>
        <w:rPr>
          <w:rFonts w:ascii="Times New Roman" w:cs="Times New Roman" w:eastAsia="Times New Roman" w:hAnsi="Times New Roman"/>
          <w:sz w:val="17"/>
          <w:szCs w:val="17"/>
          <w:color w:val="auto"/>
        </w:rPr>
        <w:t>, and others. The guidance indicates that claims directed to a law of nature, a natural phenomenon, or an abstract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3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Additional substantive changes to patent law, whether new or associated with the America Invents Act 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17"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non-disclosure agreements and our employees to enter into confidentiality and proprietary rights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3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04"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3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04"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31"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Because the USPTO maintains patent applications in secrecy until a patent application publishes or the patent is issued, we have no way of knowing if others may have filed patent applications covering technologies used by it or our partners. Additionally, there may be third-party patents, and other intellectual property rights relevant to our technologies that may block us from commercializing our technologies. From time-to-time, we have received correspondence from third parties alleging to hold intellectual property rights that could block our development or commercialization of products. While none of these inquiries to date have had any material effect on us,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we would prevail in any such suits to the extent necessary to conduct our business according to our strategic plan or that the damages or other remedies, if any, awarded against us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48"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3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2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17"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 limited but meaningful portion of our platforms and products incorporate open-source software, and we will incorporate open-source software into other offerings or products in the future. Such open-source software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4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rely on strategic collaborative and licensing arrangements with third parties to develop intellectual property. We may not be able to successfully establish and maintain such intellectual property.</w:t>
      </w:r>
    </w:p>
    <w:p>
      <w:pPr>
        <w:spacing w:after="0" w:line="104"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346"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Cybersecurity, Privacy and Information Technology</w:t>
      </w:r>
    </w:p>
    <w:p>
      <w:pPr>
        <w:spacing w:after="0" w:line="18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04"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5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occurrence of a natural disaster, closure of a facility, or other unanticipated problems at our data centers could result in lengthy interruptions in our service. In addition, our products and services are highly technical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complex and may contain errors or vulnerabilities, which could result in interruptions in or failure of our services or systems.</w:t>
      </w:r>
    </w:p>
    <w:p>
      <w:pPr>
        <w:spacing w:after="0" w:line="19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104"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4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spacing w:after="0" w:line="14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we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34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spacing w:after="0" w:line="144" w:lineRule="exact"/>
        <w:rPr>
          <w:sz w:val="20"/>
          <w:szCs w:val="20"/>
          <w:color w:val="auto"/>
        </w:rPr>
      </w:pPr>
    </w:p>
    <w:p>
      <w:pPr>
        <w:jc w:val="both"/>
        <w:ind w:firstLine="312"/>
        <w:spacing w:after="0" w:line="256" w:lineRule="auto"/>
        <w:rPr>
          <w:sz w:val="20"/>
          <w:szCs w:val="20"/>
          <w:color w:val="auto"/>
        </w:rPr>
      </w:pPr>
      <w:r>
        <w:rPr>
          <w:rFonts w:ascii="Times New Roman" w:cs="Times New Roman" w:eastAsia="Times New Roman" w:hAnsi="Times New Roman"/>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65"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United States are beginning to propose laws similar to CCPA. Some observers have noted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CCPA could mark the beginning of a trend toward more stringent privacy legislation, which could increase our potential liability and adversely affect our business, results of operations, and financial condition.</w:t>
      </w:r>
    </w:p>
    <w:p>
      <w:pPr>
        <w:spacing w:after="0" w:line="121"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2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7"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3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3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our scientific computing and information technology and management systems and any failure of these systems could harm our business.</w:t>
      </w:r>
    </w:p>
    <w:p>
      <w:pPr>
        <w:spacing w:after="0" w:line="18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depend on scientific computing and information technology and management systems, including third-party cloud computing infrastructure, operating systems and artificial intelligence platforms, for significant elements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37"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24"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have installed, and expect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4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4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0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19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04"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market for our securities may not continue, which would adversely affect the liquidity and price of our securities.</w:t>
      </w:r>
    </w:p>
    <w:p>
      <w:pPr>
        <w:spacing w:after="0" w:line="18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price of our securities may fluctuate significantly due to general market and economic conditions. An active trading market for our securities may not be sustained, including if we fail to comply with the continued listing requirements of Nasdaq and our securities are delisted from the Nasdaq. See "--Risks Related to Our Common Stock and Warrants--If we fail to comply with the continued listing requirements of the Nasdaq, our Class A common stock and our public warrants may be delisted and the price of our Class A common stock and our warrants and our ability to access the capital markets could be negatively impacted.".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meet the expectations of investors, stockholders or financial analysts, the market price of our securities may decline.</w:t>
      </w:r>
    </w:p>
    <w:p>
      <w:pPr>
        <w:spacing w:after="0" w:line="19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Factors affecting the trading price of our securities may include:</w:t>
      </w:r>
    </w:p>
    <w:p>
      <w:pPr>
        <w:spacing w:after="0" w:line="182" w:lineRule="exact"/>
        <w:rPr>
          <w:sz w:val="20"/>
          <w:szCs w:val="20"/>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financial results or the quarterly financial results of companies perceived to be similar to us;</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market’s expectations about our operating results;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our other public announcements and our filings with the SEC;</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 new products, acquisitions, strategic alliances, significant agreements by us or competitors;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of competitors;</w:t>
      </w:r>
    </w:p>
    <w:p>
      <w:pPr>
        <w:spacing w:after="0" w:line="18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falling below our financial guidance or other projections or failing to meet the expectation of securities analysts or investors in a particular period;</w:t>
      </w:r>
    </w:p>
    <w:p>
      <w:pPr>
        <w:spacing w:after="0" w:line="12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and recommendations by securities analysts concerning us or the market in general;</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stock price performance of other companies that investors deem comparable to us;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market new and enhanced products on a timely basis;</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involvement in, litigation involving us;</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capital structure, such as future issuances of securities or the incurrence of additional debt;</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shares of our Class A common stock available for public sale;</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Board or management;</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substantial amounts of Class A common stock by our directors, officers or significant stockholders or the perception that such sales could occur;</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market stand-off or contractual lock-up agreements;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realization of any of the risk factors described herein;</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the requirements of the Nasdaq;</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the Sarbanes-Oxley Act or other laws or regulations;</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potential or perceived control, accounting or reporting problems;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policies and guidelines; and</w:t>
      </w:r>
    </w:p>
    <w:p>
      <w:pPr>
        <w:spacing w:after="0" w:line="18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recessions, rising inflation and interest rates, global conflicts such as the war in Ukraine, fuel prices, international currency fluctuations and acts of war or terrorism.</w:t>
      </w:r>
    </w:p>
    <w:p>
      <w:pPr>
        <w:spacing w:after="0" w:line="121"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3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In the past, securities class action litigation has often been initiated against companies following periods of volatility in their stock price. In particular, on September 7, 2022, a shareholder class action lawsuit was filed in the United States District Court for the District of Connecticut against the Company and certain of the Company’s current and former officers. For more information, see “Item 3. Legal Proceedings.” This type of litigation could result in substantial costs and divert our management’s attention and resources, and could also require us to make substantial payments to satisfy judgments or to settle litigation.</w:t>
      </w:r>
    </w:p>
    <w:p>
      <w:pPr>
        <w:spacing w:after="0" w:line="12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117"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Changes in laws, regulations or rules, or a failure to comply with any laws, regulations or rules, may adversely affect our business, investments and results of operations.</w:t>
      </w:r>
    </w:p>
    <w:p>
      <w:pPr>
        <w:spacing w:after="0" w:line="117"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contained in our Charter and Bylaws, as well as provisions of Delaware law, could impair a takeover attempt.</w:t>
      </w:r>
    </w:p>
    <w:p>
      <w:pPr>
        <w:spacing w:after="0" w:line="18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as amended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42" w:lineRule="exact"/>
        <w:rPr>
          <w:sz w:val="20"/>
          <w:szCs w:val="20"/>
          <w:color w:val="auto"/>
        </w:rPr>
      </w:pP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cumulative voting in the election of directors, which limits the ability of minority stockholders to elect director candidates;</w:t>
      </w:r>
    </w:p>
    <w:p>
      <w:pPr>
        <w:spacing w:after="0" w:line="18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 of directors with three-year staggered terms, which could delay the ability of stockholders to change the membership of a majority of the Board;</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directors may only be removed from the Board for cause;</w:t>
      </w:r>
    </w:p>
    <w:p>
      <w:pPr>
        <w:spacing w:after="0" w:line="194"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 by written consent, which forces stockholder action to be taken at an annual or special meeting of our stockholders;</w:t>
      </w:r>
    </w:p>
    <w:p>
      <w:pPr>
        <w:spacing w:after="0" w:line="181"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37"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changes or amendments to certain provisions of our Charter must be approved by holders of at least two-thirds of our Class A common stock; and</w:t>
      </w:r>
    </w:p>
    <w:p>
      <w:pPr>
        <w:spacing w:after="0" w:line="108"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2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7"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$1.235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359"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6"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3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internal controls over financial reporting may not be effective which could have a significant and adverse effect on our business and reputation.</w:t>
      </w:r>
    </w:p>
    <w:p>
      <w:pPr>
        <w:spacing w:after="0" w:line="186"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40"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33" w:lineRule="exact"/>
        <w:rPr>
          <w:sz w:val="20"/>
          <w:szCs w:val="20"/>
          <w:color w:val="auto"/>
        </w:rPr>
      </w:pPr>
    </w:p>
    <w:p>
      <w:pPr>
        <w:jc w:val="both"/>
        <w:ind w:hanging="77"/>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342" w:lineRule="exact"/>
        <w:rPr>
          <w:sz w:val="20"/>
          <w:szCs w:val="20"/>
          <w:color w:val="auto"/>
        </w:rPr>
      </w:pPr>
    </w:p>
    <w:p>
      <w:pPr>
        <w:ind w:right="60" w:firstLine="312"/>
        <w:spacing w:after="0" w:line="258" w:lineRule="auto"/>
        <w:rPr>
          <w:sz w:val="20"/>
          <w:szCs w:val="20"/>
          <w:color w:val="auto"/>
        </w:rPr>
      </w:pPr>
      <w:r>
        <w:rPr>
          <w:rFonts w:ascii="Times New Roman" w:cs="Times New Roman" w:eastAsia="Times New Roman" w:hAnsi="Times New Roman"/>
          <w:sz w:val="17"/>
          <w:szCs w:val="17"/>
          <w:color w:val="auto"/>
        </w:rPr>
        <w:t>Our Charter and our Amended and Restated Bylaws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Charter and our Bylaws provide that, subject to limited exceptions, the Court of Chancery of the State of Delaware and federal court within the State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will be exclusive forums for any:</w:t>
      </w:r>
    </w:p>
    <w:p>
      <w:pPr>
        <w:spacing w:after="0" w:line="163" w:lineRule="exact"/>
        <w:rPr>
          <w:sz w:val="20"/>
          <w:szCs w:val="20"/>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derivative action or proceeding brought on our behalf;</w:t>
      </w:r>
    </w:p>
    <w:p>
      <w:pPr>
        <w:spacing w:after="0" w:line="194"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 asserting a claim of breach of a fiduciary duty owed by, or other wrongdoing by, any of our directors, officers, stockholders, employees or agents to us or our stockholders;</w:t>
      </w:r>
    </w:p>
    <w:p>
      <w:pPr>
        <w:spacing w:after="0" w:line="108"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 asserting a claim against the us or any of our directors, officers, stockholders, employees or agents arising pursuant to any provision of the General Corporation Law, our Charter or our Bylaws or as to which the General Corporation Law confers jurisdiction on the Court of Chancery of the State of Delaware:</w:t>
      </w:r>
    </w:p>
    <w:p>
      <w:pPr>
        <w:spacing w:after="0" w:line="12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 to interpret, apply, enforce or determine the validity of our Charter or our Bylaws; or</w:t>
      </w:r>
    </w:p>
    <w:p>
      <w:pPr>
        <w:spacing w:after="0" w:line="194" w:lineRule="exact"/>
        <w:rPr>
          <w:rFonts w:ascii="Times New Roman" w:cs="Times New Roman" w:eastAsia="Times New Roman" w:hAnsi="Times New Roman"/>
          <w:sz w:val="17"/>
          <w:szCs w:val="17"/>
          <w:color w:val="auto"/>
        </w:rPr>
      </w:pPr>
    </w:p>
    <w:p>
      <w:pPr>
        <w:ind w:left="620" w:hanging="304"/>
        <w:spacing w:after="0" w:line="266" w:lineRule="auto"/>
        <w:tabs>
          <w:tab w:leader="none" w:pos="6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action asserting a claim against us or any of our directors, officers, stockholders, employees or agents that is governed by the internal affairs doctrine.</w:t>
      </w:r>
    </w:p>
    <w:p>
      <w:pPr>
        <w:spacing w:after="0" w:line="36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These provisions do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these provisions in our Charter and our Bylaws.</w:t>
      </w:r>
    </w:p>
    <w:p>
      <w:pPr>
        <w:spacing w:after="0" w:line="13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provisions contained in our Charter and our Bylaws to be inapplicable or unenforceable in an action, we may incur additional costs associated with resolving such action in other jurisdictions, which could harm our business, results of operations and financial condition.</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stockholders will not be deemed to have waived our compliance with the federal securities laws and the regulations promulgated thereunder.</w:t>
      </w:r>
    </w:p>
    <w:p>
      <w:pPr>
        <w:spacing w:after="0" w:line="182"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our securities shall be deemed to have notice of and consented to our exclusive forum provisions.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 and Warrants</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21"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redeem unexpired public warrants prior to their exercise at a time that is disadvantageous to warrant holders, thereby making their public warrants worthless.</w:t>
      </w:r>
    </w:p>
    <w:p>
      <w:pPr>
        <w:spacing w:after="0" w:line="117"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(the “Former Sponsor”) or its permitted transferees.</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04"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As of December 31, 2022,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warrants are accounted for as liabilities and the changes in value of our warrants could have a material effect on our financial results.</w:t>
      </w:r>
    </w:p>
    <w:p>
      <w:pPr>
        <w:spacing w:after="0" w:line="18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Included on our consolidated balance sheet as of December 31, 2022 are derivative liabilities related to our warrants. Accounting Standards Codification 815, Derivatives and Hedging (“ASC 815”), provides for the remeasurement of the fair value of such derivatives at each balance sheet date, with a resulting non-cash gain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For example, during 2022, we recognized $21.1 million in non-cash gains on our warrants due to the change in fair market value. If the price of our Class A common stock increases, we expect we would incur non-cash losses on our warrants in future reporting periods.</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Future resales of our Class A common stock could cause the market price of our Class A common stock to drop significantly, even if our business is doing well.</w:t>
      </w:r>
    </w:p>
    <w:p>
      <w:pPr>
        <w:spacing w:after="0" w:line="37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08"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We had outstanding 388,511,138 shares of Class A common stock as of December 31, 2022. We have filed a registration statement which registers the offer and sale from time to time by certain selling stockholders of up to 356,524,688 shares of our Class A common stock, although the 110,864,198 shares of our Class A common stock registered on behalf of OPKO pursuant to this registration statement will be subject to certain transfer restrictions pursuant to the shareholder agreements that were entered into in connection with the Acquisition. To the extent shares of our Class A common stock are sold into the market pursuant to an effective registration statement, under Rule 144 under the Securities Act or otherwise, particularly in substantial quantities and following the end of the transfer restrictions provided for in the shareholder agreements in the case of OPKO and the other stockholders party to such shareholder agreements, the market price of our Class A common stock could decline.</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There is no guarantee that the public warrants will ever be in the money, and they may expire worthless and the terms of our public warrants may be amended.</w:t>
      </w:r>
    </w:p>
    <w:p>
      <w:pPr>
        <w:spacing w:after="0" w:line="37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exercise price for the public warrants is $11.50 per share of Class A common stock. There is no guarantee that the public warrants will ever be in the money prior to their expiration, and as such, the public warrants may expire worthless.</w:t>
      </w:r>
    </w:p>
    <w:p>
      <w:pPr>
        <w:spacing w:after="0" w:line="16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the continued listing requirements of the Nasdaq, our Class A common stock and our public warrants may be delisted and the price of our Class A common stock and our public warrants and our ability to access the capital markets could be negatively impacted.</w:t>
      </w:r>
    </w:p>
    <w:p>
      <w:pPr>
        <w:spacing w:after="0" w:line="169" w:lineRule="exact"/>
        <w:rPr>
          <w:sz w:val="20"/>
          <w:szCs w:val="20"/>
          <w:color w:val="auto"/>
        </w:rPr>
      </w:pPr>
    </w:p>
    <w:p>
      <w:pPr>
        <w:jc w:val="both"/>
        <w:ind w:firstLine="312"/>
        <w:spacing w:after="0" w:line="232" w:lineRule="auto"/>
        <w:rPr>
          <w:sz w:val="20"/>
          <w:szCs w:val="20"/>
          <w:color w:val="auto"/>
        </w:rPr>
      </w:pPr>
      <w:r>
        <w:rPr>
          <w:rFonts w:ascii="Times New Roman" w:cs="Times New Roman" w:eastAsia="Times New Roman" w:hAnsi="Times New Roman"/>
          <w:sz w:val="17"/>
          <w:szCs w:val="17"/>
          <w:color w:val="auto"/>
        </w:rPr>
        <w:t>Our Class A common stock and public warrants are listed on the Nasdaq under the symbols “WGS” and “WGSWW,” respectively. On December 28, 2022, we received a written notice from the Listing Qualifications Department of The Nasdaq Stock Market LLC that we were not in compliance with the Minimum Bid Price Requirement set forth in Nasdaq Listing Rule 5450(a)(1) for the last 30 consecutive trading days for continued listing on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 The notification provided that we had 180 calendar days, or until June 26, 2023, to regain compliance with the Minimum Bid Price Requirement. To regain compliance, the closing bid price of our Class A common stock must be at least $1.00 per share for a minimum of 10 consecutive trading days prior to June 26, 2023, and we must otherwise satisfy The Nasdaq’s requirements for listing.</w:t>
      </w:r>
    </w:p>
    <w:p>
      <w:pPr>
        <w:spacing w:after="0" w:line="140"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No assurance can be given that we will meet applicable Nasdaq continued listing standards or that future noncompliance will not occur. Failure to meet applicable Nasdaq continued listing standards could result in a delisting of our Class A common stock or our public warrants from the Nasdaq, which could materially reduce the liquidity of our Class A common stock or public warrants and result in a corresponding material reduction in the price of our Class A common stock or public warrants. Investors’ ability to sell or purchase our securities when they wish to do so would also be impaired. In addition, delisting could harm our ability to raise capital through alternative financing sources on terms acceptable to us, or at all, and may result in the inability to expand our business,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of confidence by investors and employees, and fewer business development and strategic investment opportunities.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71"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Properties for our core operations include our corporate office and headquarters located at 333 Ludlow Street, Stamford, Connecticut 06902, our primary operating laboratory located at 207 Perry Parkway, Gaithersburg, Maryland 20877, and a satellite meeting space located at 200 Park Avenue South, New York, NY 10002; each are leased spaces. As of the date of this Annual Report, our laboratory in Stamford, CT will fully cease operations by the end of March 2023 and, as of the date of this Annual Report, our laboratory in Branford, CT has fully ceased operations as part of the Company’s announced exits in 2022 from reproductive health and somatic tumor testing. These facilities are actively being marketed for sublet; however, the outstanding lease obligations remain obligations of the Company.</w:t>
      </w:r>
    </w:p>
    <w:p>
      <w:pPr>
        <w:spacing w:after="0" w:line="198" w:lineRule="exact"/>
        <w:rPr>
          <w:sz w:val="20"/>
          <w:szCs w:val="20"/>
          <w:color w:val="auto"/>
        </w:rPr>
      </w:pPr>
    </w:p>
    <w:p>
      <w:pPr>
        <w:jc w:val="both"/>
        <w:ind w:firstLine="312"/>
        <w:spacing w:after="0" w:line="278" w:lineRule="auto"/>
        <w:rPr>
          <w:sz w:val="20"/>
          <w:szCs w:val="20"/>
          <w:color w:val="auto"/>
        </w:rPr>
      </w:pPr>
      <w:r>
        <w:rPr>
          <w:rFonts w:ascii="Times New Roman" w:cs="Times New Roman" w:eastAsia="Times New Roman" w:hAnsi="Times New Roman"/>
          <w:sz w:val="17"/>
          <w:szCs w:val="17"/>
          <w:color w:val="auto"/>
        </w:rPr>
        <w:t>Our material lease agreements for our offices and laboratory facilities as shown in the table below. We believe that our current facilities are suitable and adequate to meet our current needs.</w:t>
      </w:r>
    </w:p>
    <w:tbl>
      <w:tblPr>
        <w:tblLayout w:type="fixed"/>
        <w:tblInd w:w="1260" w:type="dxa"/>
        <w:tblCellMar>
          <w:top w:w="0" w:type="dxa"/>
          <w:left w:w="0" w:type="dxa"/>
          <w:bottom w:w="0" w:type="dxa"/>
          <w:right w:w="0" w:type="dxa"/>
        </w:tblCellMar>
      </w:tblPr>
      <w:tr>
        <w:trPr>
          <w:trHeight w:val="229"/>
        </w:trPr>
        <w:tc>
          <w:tcPr>
            <w:tcW w:w="4520" w:type="dxa"/>
            <w:vAlign w:val="bottom"/>
          </w:tcPr>
          <w:p>
            <w:pPr>
              <w:jc w:val="center"/>
              <w:ind w:left="121"/>
              <w:spacing w:after="0"/>
              <w:rPr>
                <w:sz w:val="20"/>
                <w:szCs w:val="20"/>
                <w:color w:val="auto"/>
              </w:rPr>
            </w:pPr>
            <w:r>
              <w:rPr>
                <w:rFonts w:ascii="Times New Roman" w:cs="Times New Roman" w:eastAsia="Times New Roman" w:hAnsi="Times New Roman"/>
                <w:sz w:val="17"/>
                <w:szCs w:val="17"/>
                <w:b w:val="1"/>
                <w:bCs w:val="1"/>
                <w:color w:val="auto"/>
              </w:rPr>
              <w:t>Properties</w:t>
            </w:r>
          </w:p>
        </w:tc>
        <w:tc>
          <w:tcPr>
            <w:tcW w:w="2740" w:type="dxa"/>
            <w:vAlign w:val="bottom"/>
          </w:tcPr>
          <w:p>
            <w:pPr>
              <w:jc w:val="center"/>
              <w:ind w:left="101"/>
              <w:spacing w:after="0"/>
              <w:rPr>
                <w:sz w:val="20"/>
                <w:szCs w:val="20"/>
                <w:color w:val="auto"/>
              </w:rPr>
            </w:pPr>
            <w:r>
              <w:rPr>
                <w:rFonts w:ascii="Times New Roman" w:cs="Times New Roman" w:eastAsia="Times New Roman" w:hAnsi="Times New Roman"/>
                <w:sz w:val="17"/>
                <w:szCs w:val="17"/>
                <w:b w:val="1"/>
                <w:bCs w:val="1"/>
                <w:color w:val="auto"/>
                <w:w w:val="98"/>
              </w:rPr>
              <w:t>Term</w:t>
            </w: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Space</w:t>
            </w:r>
          </w:p>
        </w:tc>
      </w:tr>
      <w:tr>
        <w:trPr>
          <w:trHeight w:val="208"/>
        </w:trPr>
        <w:tc>
          <w:tcPr>
            <w:tcW w:w="4520" w:type="dxa"/>
            <w:vAlign w:val="bottom"/>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7"/>
              </w:rPr>
              <w:t>Stamford, CT Corporate Headquarter</w:t>
            </w:r>
          </w:p>
        </w:tc>
        <w:tc>
          <w:tcPr>
            <w:tcW w:w="274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Through 2033</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30,000 sq.ft.</w:t>
            </w:r>
          </w:p>
        </w:tc>
      </w:tr>
      <w:tr>
        <w:trPr>
          <w:trHeight w:val="206"/>
        </w:trPr>
        <w:tc>
          <w:tcPr>
            <w:tcW w:w="452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auto"/>
                <w:w w:val="96"/>
              </w:rPr>
              <w:t>Stamford, CT Office</w:t>
            </w:r>
          </w:p>
        </w:tc>
        <w:tc>
          <w:tcPr>
            <w:tcW w:w="274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6"/>
              </w:rPr>
              <w:t>Through 2033</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60,000 sq.ft.</w:t>
            </w:r>
          </w:p>
        </w:tc>
      </w:tr>
      <w:tr>
        <w:trPr>
          <w:trHeight w:val="211"/>
        </w:trPr>
        <w:tc>
          <w:tcPr>
            <w:tcW w:w="4520" w:type="dxa"/>
            <w:vAlign w:val="bottom"/>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7"/>
              </w:rPr>
              <w:t>Branford, CT Laboratory (1)</w:t>
            </w:r>
          </w:p>
        </w:tc>
        <w:tc>
          <w:tcPr>
            <w:tcW w:w="274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Through 2030</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40,000 sq ft.</w:t>
            </w:r>
          </w:p>
        </w:tc>
      </w:tr>
      <w:tr>
        <w:trPr>
          <w:trHeight w:val="206"/>
        </w:trPr>
        <w:tc>
          <w:tcPr>
            <w:tcW w:w="452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auto"/>
                <w:w w:val="96"/>
              </w:rPr>
              <w:t>Stamford, CT Laboratory (1)</w:t>
            </w:r>
          </w:p>
        </w:tc>
        <w:tc>
          <w:tcPr>
            <w:tcW w:w="274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6"/>
              </w:rPr>
              <w:t>Through 2046</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67,000 sq.ft.</w:t>
            </w:r>
          </w:p>
        </w:tc>
      </w:tr>
      <w:tr>
        <w:trPr>
          <w:trHeight w:val="211"/>
        </w:trPr>
        <w:tc>
          <w:tcPr>
            <w:tcW w:w="4520" w:type="dxa"/>
            <w:vAlign w:val="bottom"/>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5"/>
              </w:rPr>
              <w:t>New York, NY Office</w:t>
            </w:r>
          </w:p>
        </w:tc>
        <w:tc>
          <w:tcPr>
            <w:tcW w:w="274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Through 2023</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10,000 sq.ft.</w:t>
            </w:r>
          </w:p>
        </w:tc>
      </w:tr>
      <w:tr>
        <w:trPr>
          <w:trHeight w:val="203"/>
        </w:trPr>
        <w:tc>
          <w:tcPr>
            <w:tcW w:w="452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auto"/>
                <w:w w:val="97"/>
              </w:rPr>
              <w:t>Gaithersburg, MD Laboratory</w:t>
            </w:r>
          </w:p>
        </w:tc>
        <w:tc>
          <w:tcPr>
            <w:tcW w:w="274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6"/>
              </w:rPr>
              <w:t>Through 2031</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84,000 sq.ft.</w:t>
            </w:r>
          </w:p>
        </w:tc>
      </w:tr>
    </w:tbl>
    <w:p>
      <w:pPr>
        <w:spacing w:after="0" w:line="234" w:lineRule="exact"/>
        <w:rPr>
          <w:sz w:val="20"/>
          <w:szCs w:val="20"/>
          <w:color w:val="auto"/>
        </w:rPr>
      </w:pPr>
    </w:p>
    <w:p>
      <w:pPr>
        <w:ind w:right="40" w:firstLine="316"/>
        <w:spacing w:after="0" w:line="277" w:lineRule="auto"/>
        <w:tabs>
          <w:tab w:leader="none" w:pos="55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has ceased operations and is actively being marketed for sublet. In an effort to downsize our corporate headquarter space, we are also actively marketing certain floors of the headquarter building for sublet.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84" w:lineRule="exact"/>
        <w:rPr>
          <w:sz w:val="20"/>
          <w:szCs w:val="20"/>
          <w:color w:val="auto"/>
        </w:rPr>
      </w:pPr>
    </w:p>
    <w:p>
      <w:pPr>
        <w:ind w:right="160" w:firstLine="312"/>
        <w:spacing w:after="0" w:line="293" w:lineRule="auto"/>
        <w:rPr>
          <w:sz w:val="20"/>
          <w:szCs w:val="20"/>
          <w:color w:val="auto"/>
        </w:rPr>
      </w:pPr>
      <w:r>
        <w:rPr>
          <w:rFonts w:ascii="Times New Roman" w:cs="Times New Roman" w:eastAsia="Times New Roman" w:hAnsi="Times New Roman"/>
          <w:sz w:val="17"/>
          <w:szCs w:val="17"/>
          <w:color w:val="auto"/>
        </w:rPr>
        <w:t>Except as described below, 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September 7, 2022, a shareholder class action lawsuit was filed in the United States District Court for the District of Connecticut against the Company and</w:t>
      </w:r>
    </w:p>
    <w:p>
      <w:pPr>
        <w:spacing w:after="0" w:line="3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certain of the Company’s current and former officers. Following the appointment of a lead plaintiff, an amended complaint was filed on January 30, 2023. As amended, the complaint purports to bring suit on behalf of stockholders who purchased the Company’s publicly traded securities between March 14, 2022 and August 15, 2022.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Former Sponsor.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the Former Sponsor and certain individuals for breach of fiduciary duty as control persons. The suit seeks to recover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17"/>
          <w:szCs w:val="17"/>
          <w:color w:val="auto"/>
        </w:rPr>
        <w:t>unspecified damages on behalf of the alleged class, among other relief. The Company believes the allegations and claims made in the complaint are without merit. The Company is subject to certain claims for advancement and indemnification by the individual defendants in this proceeding.</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Market Information</w:t>
      </w:r>
    </w:p>
    <w:p>
      <w:pPr>
        <w:spacing w:after="0" w:line="160" w:lineRule="exact"/>
        <w:rPr>
          <w:sz w:val="20"/>
          <w:szCs w:val="20"/>
          <w:color w:val="auto"/>
        </w:rPr>
      </w:pPr>
    </w:p>
    <w:p>
      <w:pPr>
        <w:ind w:right="100" w:firstLine="312"/>
        <w:spacing w:after="0" w:line="252" w:lineRule="auto"/>
        <w:rPr>
          <w:sz w:val="20"/>
          <w:szCs w:val="20"/>
          <w:color w:val="auto"/>
        </w:rPr>
      </w:pPr>
      <w:r>
        <w:rPr>
          <w:rFonts w:ascii="Times New Roman" w:cs="Times New Roman" w:eastAsia="Times New Roman" w:hAnsi="Times New Roman"/>
          <w:sz w:val="17"/>
          <w:szCs w:val="17"/>
          <w:color w:val="auto"/>
        </w:rPr>
        <w:t>Since January 10, 2023, our Class A common stock and public warrants have been trading on the Nasdaq Global Select Market under the symbols “WGS” and “WGSWW,” respectively. From July 23, 2021 to January 9, 2023, our Class A common stock and public warrants traded on the Nasdaq Global Select Market under the symbols “SMFR” and “SMFRW”, respectively. Prior to the Business Combination, CMLS’s Class A common stock, CMLS’s public warrants, and CMLS’s public units were listed on the Nasdaq Capital Market under the symbols “CMLF”, “CMFLW”, and “CMLFU” respectively.</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Holders</w:t>
      </w:r>
    </w:p>
    <w:p>
      <w:pPr>
        <w:spacing w:after="0" w:line="173"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As of March 6, 2023, there were 44 record holders of our Class A common stock and 4 record holders of our public warrants, based upon information received from our transfer agent. However, this number does not reflect beneficial owners whose shares were held of record by nominees or broker dealers. We believe a substantially greater number of beneficial owners hold shares of our Class A common stock or public warrants through brokers, banks, or other nominees.</w:t>
      </w:r>
    </w:p>
    <w:p>
      <w:pPr>
        <w:spacing w:after="0" w:line="3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Dividend Policy</w:t>
      </w:r>
    </w:p>
    <w:p>
      <w:pPr>
        <w:spacing w:after="0" w:line="17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have never paid any cash dividends on our capital stock. We anticipate that we will retain earnings, if any, to support operations and to finance the growth and development of our business. In addition, the terms of the revolving credit facility with Silicon Valley Bank (“SVB,”) preclude us from paying cash dividends without the prior written consent of SVB, which credit facility was recently assumed by Silicon Valley Bridge Bank, N.A. following the closure of SVB by banking regulators. Therefore, we do not expect to pay cash dividends for the foreseeable future.</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Sale of Unregistered Securities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Purchases of Equity Securities by the Issuer and Affiliated Purchasers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8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precision medicine as the standard of care. Our initial focus is in pediatric and rare diseases, two areas in which we believe we have competitive advantage and can deliver on our vision today.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Corporate History Overview</w:t>
      </w:r>
    </w:p>
    <w:p>
      <w:pPr>
        <w:spacing w:after="0" w:line="247"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Legacy Sema4 was established out of the Mount Sinai Health System and commenced operations as a commercial entity on June 1, 2017. Legacy Sema4 derived the majority of its revenue from diagnostic testing services, which primarily related to reproductive and women’s health and somatic tumor testing. In addition, between May 2020 through March 31, 2022, Legacy Sema4 provided COVID-19 diagnostic testing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w:t>
      </w:r>
    </w:p>
    <w:p>
      <w:pPr>
        <w:spacing w:after="0" w:line="24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On July 22, 2021, Legacy Sema4 completed the Business Combination with CMLS, received net cash proceeds of $510 million, and CMLS changed its name to Sema4 Holdings. The Business Combination was accounted for as a reverse recapitalization with Legacy Sema4 as the accounting acquirer and CMLS as the acquired company for accounting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Legacy GeneDx</w:t>
      </w:r>
    </w:p>
    <w:p>
      <w:pPr>
        <w:spacing w:after="0" w:line="24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Legacy GeneDx was founded in 2000 by scientists from the National Institutes of Health and, prior to the Acquisition by the Company, was a wholly-owned subsidiary of OPKO Health, Inc. (“OPKO”). Legacy GeneDx derived its revenue primarily from diagnostic testing services, including revenue related to exome sequencing and whole genome sequencing.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w:t>
      </w:r>
    </w:p>
    <w:p>
      <w:pPr>
        <w:spacing w:after="0" w:line="24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On April 29, 2022, Sema4 Holdings acquired Legacy GeneDx from OPKO for an upfront payment of $150 million in cash, and 80 million shares of Class A common stock, subject to adjustment, with up to an additional $150 million revenue-based milestones (payable in cash or up to 30.9 million shares of Class A common stock at our discretion). Our results of operations include the results of operations of Legacy GeneDx from the date of acquisition. For more information, see “—Acquisition of Legacy GeneDx”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Strategic Direction for GeneDx and Legacy Sema4 Business Exits</w:t>
      </w:r>
    </w:p>
    <w:p>
      <w:pPr>
        <w:spacing w:after="0" w:line="24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On August 11, 2022, our board of directors approved a restructuring plan that contemplated exiting Legacy Sema4’s somatic tumor testing services and the closing of the laboratory in Branford, CT, which we completed as of December 31, 2022. In connection with the plan, we also eliminated approximately 250 positions.</w:t>
      </w:r>
    </w:p>
    <w:p>
      <w:pPr>
        <w:spacing w:after="0" w:line="202"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On November 14, 2022, we announced our plan to pursue a new strategic direction focused on our exome and whole genome sequencing business coupled with our Centrellis data platform. As part of our strategic realignment, on November 11, 2022, our board of directors approved our exit from Legacy Sema4’s reproductive and women’s health testing business, which includes carrier screening, noninvasive prenatal, and other ancillary reproductive testing offerings. We exited the operations of the reproductive and women’s health testing services during the first quarter of 2023. As a result of this business exit, we eliminated approximately 500 positions, and ceased operations at the Stamford, CT laboratory. The combined reductions in workforce eliminated approximately 32.5% of our workforce in 2022. Our go-forward testing services will be consolidated and performed out of our Gaithersburg, MD laboratory which was primarily used for our pediatric and rare disease testing services.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Effective January 9, 2023, Sema4 Holdings Corp. changed its name to GeneDx Holdings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18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 xml:space="preserve"> for more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Number of resulted tests</w:t>
      </w:r>
    </w:p>
    <w:p>
      <w:pPr>
        <w:spacing w:after="0" w:line="19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Success obtaining and maintaining reimbursement</w:t>
      </w:r>
    </w:p>
    <w:p>
      <w:pPr>
        <w:spacing w:after="0" w:line="18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4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24"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In particular, the Legacy Sema4 business recently entered into a settlement agreement with one of its third-party payors in order to settle the claims related to coverage and billing matters allegedly resulting in the overpayments by the payor to the Legacy Sema4 business including those related to multi-gene tests, such as carrier screening services the “Disputed Claims”). Under the settlement agreement, the total settlement amount is $42 million, to be paid by us to the payor in a series of installments over the next four years with the final installment payment scheduled to be on or before June 30, 2026. The first payment of $15 million was made on December 30, 2022. In consideration for the payments, the payor has agreed to provide releases of the Disputed Claims, which releases will become effective on or about April 1, 2023. For more information regarding this matter, see Note 4, “Revenue Recognition” to our audited consolidated financial statements included within this Annual Report.</w:t>
      </w:r>
    </w:p>
    <w:p>
      <w:pPr>
        <w:spacing w:after="0" w:line="345"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Ability to lower the costs associated with performing our tests</w:t>
      </w:r>
    </w:p>
    <w:p>
      <w:pPr>
        <w:spacing w:after="0" w:line="18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Increasing adoption of our services by existing and new customers</w:t>
      </w:r>
    </w:p>
    <w:p>
      <w:pPr>
        <w:spacing w:after="0" w:line="19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platform innovation to support commercial growth</w:t>
      </w:r>
    </w:p>
    <w:p>
      <w:pPr>
        <w:spacing w:after="0" w:line="18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121"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3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Performance Indicators</w:t>
      </w:r>
    </w:p>
    <w:p>
      <w:pPr>
        <w:spacing w:after="0" w:line="184"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report.</w:t>
      </w:r>
    </w:p>
    <w:p>
      <w:pPr>
        <w:spacing w:after="0" w:line="142"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spacing w:after="0" w:line="19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During the year ended December 31, 2022, we resulted 528,876 tests in our laboratories, 121,214 of which were processed by Legacy GeneDx compared to the period ended December 31, 2021, in which we resulted approximately 709,942 tests in Legacy Sema4 laboratories. This decrease in resulted volume from 2021 to 2022 largely resulted from the Company’s decision to discontinue COVID-19, somatic oncology and reproductive health testing in 2022, which was partially offset by inclusion of volumes from GeneDx’s laboratory following the closing of the Acquisition of GeneDx as further discussed below.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of Legacy GeneDx</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January 2022, we and our wholly-owned subsidiaries, Orion Merger Sub I, Inc. (“Merger Sub I”) and Orion Merger Sub II, LLC (“Merger Sub II”) entered into an Agreement and Plan of Merger and Reorganization (as amended, the “Acquisition Merger Agreement”), with GeneDx, Inc., a New Jersey corporation (“Legacy GeneDx”)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and a wholly-owned subsidiary of OPKO, GeneDx Holding 2, Inc. (“Holdco”), and OPKO to acquire 100% of Legacy GeneDx (the “Acquisition”). Subject to the terms and conditions of the Acquisition Merger Agreement, we agreed to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were achieved for each of the fiscal years ending December 31, 2022 and December 31, 2023. These milestone payments, if and to the extent earned under the terms of the Acquisition Merger Agreement, will be satisfied through the payment and/or issuance of a combination of cash and/or shares of our Class A common stock (valued at a fixed $4.86 per share, subject to adjustment for stock splits and similar changes), with such mix to be determined in our sole discretion.</w:t>
      </w:r>
    </w:p>
    <w:p>
      <w:pPr>
        <w:spacing w:after="0" w:line="33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Acquisition closed on April 29, 2022. Our net loss for the year ended December 31, 2022 includes the results of operations of Legacy GeneDx from the date of acquisition.</w:t>
      </w:r>
    </w:p>
    <w:p>
      <w:pPr>
        <w:spacing w:after="0" w:line="95"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Concurrently with the execution of the Acquisition Merger Agreement, we entered into subscription agreements with certain institutional investors, pursuant to, and on the terms and subject to the conditions of which, these investors collectively subscribed for 50 million shares of our Class A common stock for an aggregate purchase price equal to $200 million (the “Acquisition PIPE Investment”). The Acquisition PIPE Investment was consummated substantially concurrently with the closing of the Acquisition.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Russia and Ukraine Conflict</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During the first quarter of 2022, Russia commenced a military invasion of Ukraine, and the ensuing conflict has created disruption in the region and around the world. We continue to utilize Ukraine-based contractors as of December 31, 2022. To date, this has not had a material effect on our operations, and we have taken additional measures in securing and monitoring data and remote access.</w:t>
      </w:r>
    </w:p>
    <w:p>
      <w:pPr>
        <w:spacing w:after="0" w:line="11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continue to closely monitor the ongoing conflict and related sanctions, which could impact our business, financial results and results of operations in the future.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Impact</w:t>
      </w:r>
    </w:p>
    <w:p>
      <w:pPr>
        <w:spacing w:after="0" w:line="17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During the year ended December 31, 2022, we resulted 73,408 COVID-19 tests, compared to the year ended December 31, 2021, in which we resulted 418,053 COVID-19 tests.</w:t>
      </w:r>
    </w:p>
    <w:p>
      <w:pPr>
        <w:spacing w:after="0" w:line="108"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In March 2020, the Coronavirus Aid, Relief and Economic Security Act (“CARES Act”), was signed into law. The CARES Act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spacing w:after="0" w:line="142"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w:t>
      </w:r>
    </w:p>
    <w:p>
      <w:pPr>
        <w:spacing w:after="0" w:line="7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Funds provided under the ERC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recognition of the funds received under the ERC and recorded the proceeds in other current liabilities on the audited consolidated balance sheets.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Effective January 9, 2023 Sema4 Holdings Corp. changed its name to GeneDx Holdings Corp.</w:t>
      </w:r>
    </w:p>
    <w:p>
      <w:pPr>
        <w:spacing w:after="0" w:line="169"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January 2023, the Company raised approximately $150.0 million in gross proceeds from the sale of an aggregate 328,571,429 shares of its Class A common stock in an underwritten public offering and the sale of 100,000,000 shares of its Class A common stock shares directly to institutional investors affiliated with a member of our board of directors, in a concurrent registered direct offering. Both transactions were executed at $0.35 per share. 77,663,376 shares in the direct offering were issued and the remaining 22,336,624 shares are subject to stockholder approval to satisfy Nasdaq requirements with respect to the issuance of such shares of Class A common stock. The net offering proceeds received after deducting underwriters' discounts and commissions payable by the Company were approximately $137.6 million. As part of the underwritten offering, the Company granted the underwriter a 30-day option to purchase up to an additional 49,285,714 shares of Class A common stock at the same price. On January 27, 2023, the underwriter partially exercised the option to purchase an additional 185,000 shares of Class A common stock.</w:t>
      </w:r>
    </w:p>
    <w:p>
      <w:pPr>
        <w:spacing w:after="0" w:line="127"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Additional net proceeds of $7.6 million are expected to be received during the second quarter of 2023 once the issuance of the remaining 22,336,624 shares receives stockholder approval and the Company issues such shares. .</w:t>
      </w:r>
    </w:p>
    <w:p>
      <w:pPr>
        <w:spacing w:after="0" w:line="95"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On March 14, 2023, we announced that 100% of our cash, cash equivalents, and restricted cash now resides at a designated systematically important financial institution.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86" w:lineRule="exact"/>
        <w:rPr>
          <w:sz w:val="20"/>
          <w:szCs w:val="20"/>
          <w:color w:val="auto"/>
        </w:rPr>
      </w:pPr>
    </w:p>
    <w:p>
      <w:pPr>
        <w:jc w:val="both"/>
        <w:ind w:firstLine="312"/>
        <w:spacing w:after="0" w:line="243" w:lineRule="auto"/>
        <w:rPr>
          <w:sz w:val="20"/>
          <w:szCs w:val="20"/>
          <w:color w:val="auto"/>
        </w:rPr>
      </w:pPr>
      <w:r>
        <w:rPr>
          <w:rFonts w:ascii="Times New Roman" w:cs="Times New Roman" w:eastAsia="Times New Roman" w:hAnsi="Times New Roman"/>
          <w:sz w:val="17"/>
          <w:szCs w:val="17"/>
          <w:color w:val="auto"/>
        </w:rPr>
        <w:t>During the periods discussed below, we derived the majority of our revenue from genetic and genomic diagnostic testing services. We recognized revenue from collaboration service agreements with biopharma companies and other third parties pursuant to which we provide health information and patient identification support services. The Legacy GeneDx business provided genetic and genomic diagnostic testing related to pediatrics, rare disease and hereditary cancer screening. The Legacy Sema4 diagnostics business provided reproductive and women’s health testing and screening, as well as somatic tumor testing. As discussed above, we discontinued Legacy Sema4’s COVID-19 testing services as of March 31, 2022 and no longer provide such testing services. We also discontinued Legacy Sema4’s somatic tumor profiling business as of December 31, 2022 and we ceased the operations of Legacy Sema4’s reproductive and women’s health testing services during the first quarter of 2023.</w:t>
      </w:r>
    </w:p>
    <w:p>
      <w:pPr>
        <w:spacing w:after="0" w:line="137" w:lineRule="exact"/>
        <w:rPr>
          <w:sz w:val="20"/>
          <w:szCs w:val="20"/>
          <w:color w:val="auto"/>
        </w:rPr>
      </w:pPr>
    </w:p>
    <w:p>
      <w:pPr>
        <w:jc w:val="both"/>
        <w:ind w:firstLine="312"/>
        <w:spacing w:after="0" w:line="277" w:lineRule="auto"/>
        <w:rPr>
          <w:sz w:val="20"/>
          <w:szCs w:val="20"/>
          <w:color w:val="auto"/>
        </w:rPr>
      </w:pPr>
      <w:r>
        <w:rPr>
          <w:rFonts w:ascii="Times New Roman" w:cs="Times New Roman" w:eastAsia="Times New Roman" w:hAnsi="Times New Roman"/>
          <w:sz w:val="17"/>
          <w:szCs w:val="17"/>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Diagnostic Test Revenue</w:t>
      </w:r>
    </w:p>
    <w:p>
      <w:pPr>
        <w:spacing w:after="0" w:line="184"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primarily generate revenue from performing diagnostic testing services for three groups of customers: healthcare professionals working with patients with third-party insurance coverage or without third-party insurance coverage, institutional clients such as hospitals, clinics, state governments and reference laboratories, or self-pay patients.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3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Revenue</w:t>
      </w:r>
    </w:p>
    <w:p>
      <w:pPr>
        <w:spacing w:after="0" w:line="197"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generate revenue from health information and patient identification support services under both short-term and long-term project-based collaboration and service agreements with third parties. Certain of these contracts provide non-refundable payments, which we record as contract liabilities, and variable payments based upon the achievement of certain milestones during the contract term.</w:t>
      </w:r>
    </w:p>
    <w:p>
      <w:pPr>
        <w:spacing w:after="0" w:line="124"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Services</w:t>
      </w:r>
    </w:p>
    <w:p>
      <w:pPr>
        <w:spacing w:after="0" w:line="19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3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99"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38"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160"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Selling and marketing costs are expensed as incurred.</w:t>
      </w:r>
    </w:p>
    <w:p>
      <w:pPr>
        <w:spacing w:after="0" w:line="200" w:lineRule="exact"/>
        <w:rPr>
          <w:sz w:val="20"/>
          <w:szCs w:val="20"/>
          <w:color w:val="auto"/>
        </w:rPr>
      </w:pPr>
    </w:p>
    <w:p>
      <w:pPr>
        <w:spacing w:after="0" w:line="20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generally expect our selling and marketing expenses will continue to increase in absolute dollars as we expand our commercial sales and marketing and counseling teams and increase marketing activities. However,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expect selling and marketing expenses to decrease as a percentage of revenue in the long term, subject to fluctuations from period to period due to the timing and magnitude of these expenses.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7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expenses primarily consist of personnel-related expenses (comprising salaries and benefits) and stock-based compensation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11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We expect these expenses to decrease as a percentage of revenue in the long term as revenue increases, although the percentage may fluctuate from period to period due to fluctuations in our compensation-related charges.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Expenses</w:t>
      </w:r>
    </w:p>
    <w:p>
      <w:pPr>
        <w:spacing w:after="0" w:line="199"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 xml:space="preserve">Related party expenses consist of amounts due to ISMMS for expenses under our Transition Services Agreement with ISMMS (the “ISMMS TSA”) which expired at the end of the first quarter of 2021, and other service agreements. In addition, Legacy GeneDx and OPKO entered into a Transition Services Agreement dated as of April 29, 2022 (the “OPKO TSA”), pursuant to which OPKO agreed to provide, at cost, certain services in support of the Acquisition of the Legacy GeneDx business through December 31, 2022, subject to certain limited exceptions, in order to facilitate the transactions contemplated by the Acquisition Merger Agreement. Additional information can be found in the audited financial statements in Note 7,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xml:space="preserve"> included within this Annual Report.</w:t>
      </w:r>
    </w:p>
    <w:p>
      <w:pPr>
        <w:spacing w:after="0" w:line="34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generally expect related party expenses to decrease as we establish our own internal and external resources to fulfill the administrative and other services we have historically procured from ISMMS and following the expiration of the OPKO TSA.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Interest income consists of interest earned on money market funds.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86" w:lineRule="exact"/>
        <w:rPr>
          <w:sz w:val="20"/>
          <w:szCs w:val="20"/>
          <w:color w:val="auto"/>
        </w:rPr>
      </w:pPr>
    </w:p>
    <w:p>
      <w:pPr>
        <w:ind w:right="60" w:firstLine="312"/>
        <w:spacing w:after="0" w:line="274" w:lineRule="auto"/>
        <w:rPr>
          <w:sz w:val="20"/>
          <w:szCs w:val="20"/>
          <w:color w:val="auto"/>
        </w:rPr>
      </w:pPr>
      <w:r>
        <w:rPr>
          <w:rFonts w:ascii="Times New Roman" w:cs="Times New Roman" w:eastAsia="Times New Roman" w:hAnsi="Times New Roman"/>
          <w:sz w:val="17"/>
          <w:szCs w:val="17"/>
          <w:color w:val="auto"/>
        </w:rPr>
        <w:t>Interest expense consists of interest costs incurred related to our finance leases and our long-term debt arrangements, including unused line fee and the amortization of deferred transaction costs related to the loan and security agreement originally entered into with Silicon Valley Bank that provides a $125 million revolving credit facility described elsewhere in this report. No amounts have been drawn under the revolving credit facility as of December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86"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Other income, net primarily consists of funding received under the CARES Act. We recognized $5.6 million of additional funding received under the CARES Act during the year ended December 31, 2021 and the amount is included in other income, net for the year ended December 31, 2021.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8" w:lineRule="exact"/>
        <w:rPr>
          <w:sz w:val="20"/>
          <w:szCs w:val="20"/>
          <w:color w:val="auto"/>
        </w:rPr>
      </w:pPr>
    </w:p>
    <w:p>
      <w:pPr>
        <w:ind w:right="380" w:firstLine="312"/>
        <w:spacing w:after="0" w:line="277" w:lineRule="auto"/>
        <w:rPr>
          <w:sz w:val="20"/>
          <w:szCs w:val="20"/>
          <w:color w:val="auto"/>
        </w:rPr>
      </w:pPr>
      <w:r>
        <w:rPr>
          <w:rFonts w:ascii="Times New Roman" w:cs="Times New Roman" w:eastAsia="Times New Roman" w:hAnsi="Times New Roman"/>
          <w:sz w:val="17"/>
          <w:szCs w:val="17"/>
          <w:color w:val="auto"/>
        </w:rPr>
        <w:t>A discussion regarding our financial condition and results of consolidated operations for the year ended December 31, 2022 compared to the year ended December 31, 2021 and for the year ended December 31, 2021 compared to the year ended December 31, 2020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2022 and 2021</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the periods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5"/>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Diagnostic test revenue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205,100</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7,095</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3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234,694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212,195</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261,444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228,797</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3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7"/>
                <w:szCs w:val="17"/>
                <w:color w:val="auto"/>
              </w:rPr>
              <w:t>Gross loss</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(26,750)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(16,602)</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105,162</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112,738</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205,988</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Related party 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5,659</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Loss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3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(667,652)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(446,149)</w:t>
            </w: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55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Change in fair market value of warrant and earn-out contingent liabilities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198,401</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(2,835)</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5,114</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3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200,759</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(598,032)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5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gridSpan w:val="6"/>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vMerge w:val="continue"/>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2021 to 2022</w:t>
            </w:r>
          </w:p>
        </w:tc>
        <w:tc>
          <w:tcPr>
            <w:tcW w:w="12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Diagnostic test revenue</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22,234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22,499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Total revenue increased by $22.5 million, or 11%, to $234.7 million for the year ended December 31, 2022, from $212.2 million for the year ended December 31, 2021.</w:t>
      </w:r>
    </w:p>
    <w:p>
      <w:pPr>
        <w:spacing w:after="0" w:line="108"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Diagnostic test revenue increased by $22.2 million, or 11%, to $227.3 million for the year ended December 31, 2022, from $205.1 million for the year ended December 31, 2021. The increase was primarily attributable to the inclusion of $114.9 million of Legacy GeneDx diagnostics revenue from the date of Acquisition, partially offset by a decrease of $92.6 million from Legacy Sema4’s diagnostics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12"/>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2022, Legacy Sema4 diagnostic testing revenue decreased by $92.6 million to $112.5 million compared to $205.1 million for the year ended December 31, 2021. This decrease in diagnostic testing revenue was primarily due to a combination of the cessation of COVID-19 operations in the first quarter of 2022 resulting in a year over year decline in revenue recognized of $18.9 million, increases in third-party payor denials on both somatic oncology and women’s health testing resulting in $44.1 million of lower reimbursement, and significant reversals in the amount of cumulative revenue recognized of $54.0 million in connection with establishment of liabilities and reserves for actual and potential recoupment of payments previously made by third-party payors. These decreases in revenue recognized were partially offset by increased volume of 13.4 % within the Legacy Sema4 women’s health and oncology testing lines that resulted in increased revenue of $24.4 million compared to the year ended December 31, 2021.</w:t>
      </w:r>
    </w:p>
    <w:p>
      <w:pPr>
        <w:spacing w:after="0" w:line="148"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Other revenue increased by $0.3 million, or 4%, to $7.4 million for the year ended December 31, 2022, from $7.1 million for the year ended December 31, 2021. The increase was primarily attributable to the inclusion of $1.5 million of Legacy GeneDx collaboration services activities from the date of the Acquisition, partially offset by a decrease of $1.2 million from Legacy Sema4’s biopharma business.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Services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4"/>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6"/>
              </w:rPr>
              <w:t>2021 to 2022</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94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261,444</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rPr>
              <w:t>228,797</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7"/>
                <w:szCs w:val="17"/>
                <w:color w:val="auto"/>
              </w:rPr>
              <w:t>32,647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Cost of services increased by $32.6 million, or 14%, to $261.4 million for the year ended December 31, 2022, from $228.8 million for the year ended December 31, 2021. The increase was primarily driven by the inclusion of $67.5 million of Legacy GeneDx cost of services from the time of the Acquisition, partially offset by a $34.4 million decrease in Legacy Sema4 cost of services, primarily driven by a decrease in stock-based compensation along with lower activity due to the exit of the Company’s somatic tumor and COVID-19 testing businesses.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3"/>
          </w:tcPr>
          <w:p>
            <w:pPr>
              <w:jc w:val="right"/>
              <w:ind w:right="92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86,203</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105,162</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7"/>
                <w:szCs w:val="17"/>
                <w:color w:val="auto"/>
              </w:rPr>
              <w:t>(18,959)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Research and development expenses decreased by $19.0 million, or 18%, to $86.2 million for the year ended December 31, 2022, from $105.2 million for the year ended December 31, 2021. The decrease was primarily driven by a decrease of $45.4 million in stock-based compensation expense year-over-year which was primarily due to the reversal of stock-based compensation expense by $11.3 million based on forfeiture of unvested equity awards upon termination of our executives. This decrease was offset by the inclusion of $13.1 million of Legacy GeneDx’s research and development costs from the time of the Acquisition.</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3"/>
          </w:tcPr>
          <w:p>
            <w:pPr>
              <w:jc w:val="right"/>
              <w:ind w:right="92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134,913</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112,738</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7"/>
                <w:szCs w:val="17"/>
                <w:color w:val="auto"/>
              </w:rPr>
              <w:t>22,175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Selling and marketing expenses increased by $22.2 million, or 20%, to $134.9 million for the year ended December 31, 2022, from $112.7 million for the year ended December 31, 2021. The increase was primarily attributable to the inclusion of Legacy GeneDx’s selling and marketing expenses of $34.2 million from the time of the Acquisition and intangible asset amortization of $3.3 million, partially offset by a $15.3 million decrease in Legacy Sema4 selling and marketing expenses. The decrease in Legacy Sema4 selling and marketing expenses was primarily driven by a decrease in stock based compensation of $22.3 million, which was offset by an increase in restructuring expenses of $7.9 million due to restructuring activities in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6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gridSpan w:val="3"/>
          </w:tcPr>
          <w:p>
            <w:pPr>
              <w:jc w:val="right"/>
              <w:ind w:right="92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203,329</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rPr>
              <w:t>205,988</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7"/>
                <w:szCs w:val="17"/>
                <w:color w:val="auto"/>
              </w:rPr>
              <w:t>(2,659)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decreased by $2.7 million, or 1%, to $203.3 million for the year ended December 31, 2022, from $206.0 million for the year ended December 31, 2021. The decrease was primarily attributable to a $34.7 million decrease in Legacy Sema4 general and administrative expenses, which was partially offset by the inclusion of GeneDx general and administrative expenses of $25.9 million from the time at Acquisition and $6.1 million in intangible asset amortization. The decrease in Legacy Sema4 expenses was primarily driven by a decrease in stock-based compensation of $90.1 million which is primarily due to forfeiture of unvested equity awards upon termination of our executives. The decrease was partially offset by restructuring expenses of $7.3 million due to restructuring activities in 2022 associated to the Legacy Sema4. There was also an increase of $25.2 million in outside consulting expenses, $3.9 million increase in insurance expenses, and an $10.0 million increase in software related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Expenses</w:t>
      </w:r>
    </w:p>
    <w:p>
      <w:pPr>
        <w:spacing w:after="0" w:line="50"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Related party expenses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6,312</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rPr>
              <w:t>5,659</w:t>
            </w:r>
          </w:p>
        </w:tc>
        <w:tc>
          <w:tcPr>
            <w:tcW w:w="68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7"/>
                <w:szCs w:val="17"/>
                <w:color w:val="auto"/>
              </w:rPr>
              <w:t>653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Related party expenses increased by $0.7 million, or 12%, to $6.3 million for the year ended December 31, 2022, from $5.7 million for the year ended December 31, 2021. The increase was primarily attributable to fees related to supporting certain services pursuant to the TSA with OPKO as a result of the Acquisition of Legacy GeneDx and an increase in information technology related services provided by ISMMS.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00" w:type="dxa"/>
            <w:vAlign w:val="bottom"/>
            <w:gridSpan w:val="4"/>
          </w:tcPr>
          <w:p>
            <w:pPr>
              <w:jc w:val="right"/>
              <w:ind w:right="92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2,541</w:t>
            </w:r>
          </w:p>
        </w:tc>
        <w:tc>
          <w:tcPr>
            <w:tcW w:w="88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79</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7"/>
                <w:szCs w:val="17"/>
                <w:color w:val="auto"/>
              </w:rPr>
              <w:t>2,462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3116 %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Interest income for the year ended December 31, 2022 was due to increases in the average cash balances held in our interest-bearing and money market deposit accounts and increases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3,207</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2,835</w:t>
            </w:r>
          </w:p>
        </w:tc>
        <w:tc>
          <w:tcPr>
            <w:tcW w:w="70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7"/>
                <w:szCs w:val="17"/>
                <w:color w:val="auto"/>
              </w:rPr>
              <w:t>372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Interest expense increased by $0.4 million, or 13%, to $3.2 million for the year ended December 31, 2022, from $2.8 million for the year ended December 31, 2021. The increase was driven by the unused line fee and amortization of deferred transaction costs related to the loan and security agreement originally entered into with Silicon Valley Bank at the end of 2021.</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3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2360" w:type="dxa"/>
            <w:vAlign w:val="bottom"/>
            <w:tcBorders>
              <w:bottom w:val="single" w:sz="8" w:color="auto"/>
            </w:tcBorders>
            <w:gridSpan w:val="4"/>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9"/>
              </w:rPr>
              <w:t>2021 to 2022</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3"/>
          </w:tcPr>
          <w:p>
            <w:pPr>
              <w:jc w:val="right"/>
              <w:ind w:right="92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57</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rPr>
              <w:t>5,114</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7"/>
                <w:szCs w:val="17"/>
                <w:color w:val="auto"/>
              </w:rPr>
              <w:t>(5,057)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234"/>
        <w:spacing w:after="0" w:line="274" w:lineRule="auto"/>
        <w:rPr>
          <w:sz w:val="20"/>
          <w:szCs w:val="20"/>
          <w:color w:val="auto"/>
        </w:rPr>
      </w:pPr>
      <w:r>
        <w:rPr>
          <w:rFonts w:ascii="Times New Roman" w:cs="Times New Roman" w:eastAsia="Times New Roman" w:hAnsi="Times New Roman"/>
          <w:sz w:val="17"/>
          <w:szCs w:val="17"/>
          <w:color w:val="auto"/>
        </w:rPr>
        <w:t>Other income, net increased by $5.1 million or 99% to less than $0.1 million for the year ended December 31, 2022, from $5.1 million for the year ended December 31, 2021. The decrease in other income, net was primarily attributable to the $5.6 million in funding that we received and recognized as other income under the CARES Act in the first quarter of 2021, partially offset by $0.3 million in penalties related to an early repayment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2021 and 2020</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the periods presented:</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7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23"/>
        </w:trPr>
        <w:tc>
          <w:tcPr>
            <w:tcW w:w="7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7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7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3"/>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12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1"/>
        </w:trPr>
        <w:tc>
          <w:tcPr>
            <w:tcW w:w="7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Diagnostic test revenue</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205,100</w:t>
            </w:r>
          </w:p>
        </w:tc>
        <w:tc>
          <w:tcPr>
            <w:tcW w:w="10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175,351</w:t>
            </w:r>
          </w:p>
        </w:tc>
      </w:tr>
      <w:tr>
        <w:trPr>
          <w:trHeight w:val="221"/>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revenue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3,971</w:t>
            </w:r>
          </w:p>
        </w:tc>
      </w:tr>
      <w:tr>
        <w:trPr>
          <w:trHeight w:val="214"/>
        </w:trPr>
        <w:tc>
          <w:tcPr>
            <w:tcW w:w="7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Total revenue</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212,195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179,322</w:t>
            </w: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228,797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175,296</w:t>
            </w:r>
          </w:p>
        </w:tc>
      </w:tr>
      <w:tr>
        <w:trPr>
          <w:trHeight w:val="214"/>
        </w:trPr>
        <w:tc>
          <w:tcPr>
            <w:tcW w:w="7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Gross (loss) profit</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4,026</w:t>
            </w: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105,162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72,700</w:t>
            </w:r>
          </w:p>
        </w:tc>
      </w:tr>
      <w:tr>
        <w:trPr>
          <w:trHeight w:val="221"/>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63,183</w:t>
            </w:r>
          </w:p>
        </w:tc>
      </w:tr>
      <w:tr>
        <w:trPr>
          <w:trHeight w:val="22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100,742</w:t>
            </w:r>
          </w:p>
        </w:tc>
      </w:tr>
      <w:tr>
        <w:trPr>
          <w:trHeight w:val="221"/>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Related party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9,395</w:t>
            </w:r>
          </w:p>
        </w:tc>
      </w:tr>
      <w:tr>
        <w:trPr>
          <w:trHeight w:val="214"/>
        </w:trPr>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Loss from operations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(446,149)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(241,994)</w:t>
            </w: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market value of warrant and earn-out contingent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r>
      <w:tr>
        <w:trPr>
          <w:trHeight w:val="221"/>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w:t>
            </w:r>
          </w:p>
        </w:tc>
      </w:tr>
      <w:tr>
        <w:trPr>
          <w:trHeight w:val="221"/>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income,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2,622</w:t>
            </w:r>
          </w:p>
        </w:tc>
      </w:tr>
      <w:tr>
        <w:trPr>
          <w:trHeight w:val="214"/>
        </w:trPr>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200,759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r>
      <w:tr>
        <w:trPr>
          <w:trHeight w:val="21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(241,340)</w:t>
            </w: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(241,340)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06"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3"/>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9"/>
              </w:rPr>
              <w:t>2020 to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Diagnostic test revenue</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29,749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1"/>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3,124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32,873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Total revenue increased by $32.9 million, or 18%, to $212.2 million for the year ended December 31, 2021, from $179.3 million for the year ended December 31, 2020.</w:t>
      </w:r>
    </w:p>
    <w:p>
      <w:pPr>
        <w:spacing w:after="0" w:line="10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 volume during the year ended December 31, 2020, compared to the year ended December 31, 2021 (with COVID-19 test volumes growing 26% year over year) .</w:t>
      </w:r>
    </w:p>
    <w:p>
      <w:pPr>
        <w:spacing w:after="0" w:line="13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Other revenue increased by $3.1 million, or 79%, to $7.1 million for the year ended December 31, 2021, from $4.0 million for the year ended December 31, 2020. The increase was primarily attributable to growth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Services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4"/>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6"/>
              </w:rPr>
              <w:t>2020 to 2021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94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228,797</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rPr>
              <w:t>175,296</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7"/>
                <w:szCs w:val="17"/>
                <w:color w:val="auto"/>
              </w:rPr>
              <w:t>53,501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the Closing Date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9"/>
              </w:rPr>
              <w:t>2020 to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105,162</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72,700</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7"/>
                <w:szCs w:val="17"/>
                <w:color w:val="auto"/>
              </w:rPr>
              <w:t>32,462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9"/>
              </w:rPr>
              <w:t>2020 to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112,738</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63,183</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7"/>
                <w:szCs w:val="17"/>
                <w:color w:val="auto"/>
              </w:rPr>
              <w:t>49,555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w w:val="99"/>
              </w:rPr>
              <w:t>2020 to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3"/>
          </w:tcPr>
          <w:p>
            <w:pPr>
              <w:jc w:val="right"/>
              <w:ind w:right="92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205,988</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100,742</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7"/>
                <w:szCs w:val="17"/>
                <w:color w:val="auto"/>
              </w:rPr>
              <w:t>105,246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increased by $105.3 million, or 104%, to $206.0 million for the year ended December 31, 2021, from $100.7 million for the year ended December 31, 2020. The increase was primarily attributable to the following cost components: a $51.7 million increase in stock-based compensation expense driven by the increase in fair value of the liability-classified awards until the Closing Date and an increase in the number of stock-based compensation awards granted; a $21.1 million increase in professional services incurred mainly in connection with the Business Combination;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These increases were partially offset by a $0.4 million decrease in occupancy and depreciation expenses in connection with our laboratory move from New York City to Stamford, Connecticut.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Expenses</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w w:val="99"/>
              </w:rPr>
              <w:t>2020 to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3"/>
          </w:tcPr>
          <w:p>
            <w:pPr>
              <w:jc w:val="right"/>
              <w:ind w:right="92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Related party expenses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5,659</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rPr>
              <w:t>9,395</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7"/>
                <w:szCs w:val="17"/>
                <w:color w:val="auto"/>
              </w:rPr>
              <w:t>(3,736)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 to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79</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506</w:t>
            </w:r>
          </w:p>
        </w:tc>
        <w:tc>
          <w:tcPr>
            <w:tcW w:w="68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7"/>
                <w:szCs w:val="17"/>
                <w:color w:val="auto"/>
                <w:w w:val="97"/>
              </w:rPr>
              <w:t>(427)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 to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2,835</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2,474</w:t>
            </w:r>
          </w:p>
        </w:tc>
        <w:tc>
          <w:tcPr>
            <w:tcW w:w="70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7"/>
                <w:szCs w:val="17"/>
                <w:color w:val="auto"/>
              </w:rPr>
              <w:t>361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originally entered into with Silicon Valley Bank at the end of 2021.</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9"/>
              </w:rPr>
              <w:t>2020 to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3"/>
          </w:tcPr>
          <w:p>
            <w:pPr>
              <w:jc w:val="right"/>
              <w:ind w:right="92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5,114</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2,622</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7"/>
                <w:szCs w:val="17"/>
                <w:color w:val="auto"/>
              </w:rPr>
              <w:t>2,492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234"/>
        <w:spacing w:after="0" w:line="268" w:lineRule="auto"/>
        <w:rPr>
          <w:sz w:val="20"/>
          <w:szCs w:val="20"/>
          <w:color w:val="auto"/>
        </w:rPr>
      </w:pPr>
      <w:r>
        <w:rPr>
          <w:rFonts w:ascii="Times New Roman" w:cs="Times New Roman" w:eastAsia="Times New Roman" w:hAnsi="Times New Roman"/>
          <w:sz w:val="17"/>
          <w:szCs w:val="17"/>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84"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2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24" w:lineRule="exact"/>
        <w:rPr>
          <w:sz w:val="20"/>
          <w:szCs w:val="20"/>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expenditures or future requirements for capital expenditures or contractual commitments;</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working capital needs;</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replacing the assets being depreciated, which will often have to be replaced in the future;</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non-cash component of employee compensation expense; and</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earnings or charges resulting from matters we consider not to be reflective, on a recurring basis, of our ongoing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Gross Profit and Adjusted Gross Margin</w:t>
      </w:r>
    </w:p>
    <w:p>
      <w:pPr>
        <w:spacing w:after="0" w:line="18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94" w:lineRule="exact"/>
        <w:rPr>
          <w:sz w:val="20"/>
          <w:szCs w:val="20"/>
          <w:color w:val="auto"/>
        </w:rPr>
      </w:pPr>
    </w:p>
    <w:p>
      <w:pPr>
        <w:jc w:val="both"/>
        <w:ind w:right="20" w:firstLine="312"/>
        <w:spacing w:after="0" w:line="293" w:lineRule="auto"/>
        <w:rPr>
          <w:sz w:val="20"/>
          <w:szCs w:val="20"/>
          <w:color w:val="auto"/>
        </w:rPr>
      </w:pPr>
      <w:r>
        <w:rPr>
          <w:rFonts w:ascii="Times New Roman" w:cs="Times New Roman" w:eastAsia="Times New Roman" w:hAnsi="Times New Roman"/>
          <w:sz w:val="17"/>
          <w:szCs w:val="17"/>
          <w:color w:val="222222"/>
        </w:rPr>
        <w:t>The following is a reconciliation of revenue to our Adjusted Gross Profit and Adjusted Gross Margin for the years ended December 31, 2022, 20</w:t>
      </w:r>
      <w:r>
        <w:rPr>
          <w:rFonts w:ascii="Times New Roman" w:cs="Times New Roman" w:eastAsia="Times New Roman" w:hAnsi="Times New Roman"/>
          <w:sz w:val="17"/>
          <w:szCs w:val="17"/>
          <w:color w:val="000000"/>
        </w:rPr>
        <w:t>21</w:t>
      </w:r>
      <w:r>
        <w:rPr>
          <w:rFonts w:ascii="Times New Roman" w:cs="Times New Roman" w:eastAsia="Times New Roman" w:hAnsi="Times New Roman"/>
          <w:sz w:val="17"/>
          <w:szCs w:val="17"/>
          <w:color w:val="222222"/>
        </w:rPr>
        <w:t xml:space="preserve"> and 2020 </w:t>
      </w:r>
      <w:r>
        <w:rPr>
          <w:rFonts w:ascii="Times New Roman" w:cs="Times New Roman" w:eastAsia="Times New Roman" w:hAnsi="Times New Roman"/>
          <w:sz w:val="17"/>
          <w:szCs w:val="17"/>
          <w:color w:val="000000"/>
        </w:rPr>
        <w:t>(in thousands)</w:t>
      </w:r>
      <w:r>
        <w:rPr>
          <w:rFonts w:ascii="Times New Roman" w:cs="Times New Roman" w:eastAsia="Times New Roman" w:hAnsi="Times New Roman"/>
          <w:sz w:val="17"/>
          <w:szCs w:val="17"/>
          <w:color w:val="222222"/>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14"/>
        </w:trPr>
        <w:tc>
          <w:tcPr>
            <w:tcW w:w="5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234,694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212,195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179,322</w:t>
            </w:r>
          </w:p>
        </w:tc>
      </w:tr>
      <w:tr>
        <w:trPr>
          <w:trHeight w:val="221"/>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261,444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228,797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175,296</w:t>
            </w: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(Loss) Profit</w:t>
            </w: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(26,750)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(16,602)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4,026</w:t>
            </w:r>
          </w:p>
        </w:tc>
      </w:tr>
      <w:tr>
        <w:trPr>
          <w:trHeight w:val="214"/>
        </w:trPr>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Add:</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1"/>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31,328</w:t>
            </w:r>
          </w:p>
        </w:tc>
        <w:tc>
          <w:tcPr>
            <w:tcW w:w="10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14,094</w:t>
            </w: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9,055</w:t>
            </w: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5,080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22,567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12,942</w:t>
            </w:r>
          </w:p>
        </w:tc>
      </w:tr>
      <w:tr>
        <w:trPr>
          <w:trHeight w:val="221"/>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expense (1)</w:t>
            </w:r>
          </w:p>
        </w:tc>
        <w:tc>
          <w:tcPr>
            <w:tcW w:w="46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1,926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20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Labor costs due to laboratory move </w:t>
            </w:r>
            <w:r>
              <w:rPr>
                <w:rFonts w:ascii="Times New Roman" w:cs="Times New Roman" w:eastAsia="Times New Roman" w:hAnsi="Times New Roman"/>
                <w:sz w:val="22"/>
                <w:szCs w:val="22"/>
                <w:color w:val="auto"/>
                <w:vertAlign w:val="superscript"/>
              </w:rPr>
              <w:t>(2)</w:t>
            </w: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16,391</w:t>
            </w:r>
          </w:p>
        </w:tc>
      </w:tr>
      <w:tr>
        <w:trPr>
          <w:trHeight w:val="221"/>
        </w:trPr>
        <w:tc>
          <w:tcPr>
            <w:tcW w:w="520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COVID-19 costs </w:t>
            </w:r>
            <w:r>
              <w:rPr>
                <w:rFonts w:ascii="Times New Roman" w:cs="Times New Roman" w:eastAsia="Times New Roman" w:hAnsi="Times New Roman"/>
                <w:sz w:val="22"/>
                <w:szCs w:val="22"/>
                <w:color w:val="auto"/>
                <w:vertAlign w:val="superscript"/>
              </w:rPr>
              <w:t>(3)</w:t>
            </w:r>
          </w:p>
        </w:tc>
        <w:tc>
          <w:tcPr>
            <w:tcW w:w="4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3,179</w:t>
            </w:r>
          </w:p>
        </w:tc>
      </w:tr>
      <w:tr>
        <w:trPr>
          <w:trHeight w:val="214"/>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Gross Profit</w:t>
            </w:r>
          </w:p>
        </w:tc>
        <w:tc>
          <w:tcPr>
            <w:tcW w:w="46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11,584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20,059</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45,593</w:t>
            </w: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Gross Margin</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 w:lineRule="exact"/>
        <w:rPr>
          <w:sz w:val="20"/>
          <w:szCs w:val="20"/>
          <w:color w:val="auto"/>
        </w:rPr>
      </w:pPr>
    </w:p>
    <w:p>
      <w:pPr>
        <w:ind w:left="300" w:hanging="296"/>
        <w:spacing w:after="0"/>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for restructuring activities, which include severance packages offered to impacted employees and third party consulting costs incurred during 2022.</w:t>
      </w:r>
    </w:p>
    <w:p>
      <w:pPr>
        <w:spacing w:after="0" w:line="4" w:lineRule="exact"/>
        <w:rPr>
          <w:rFonts w:ascii="Times New Roman" w:cs="Times New Roman" w:eastAsia="Times New Roman" w:hAnsi="Times New Roman"/>
          <w:sz w:val="14"/>
          <w:szCs w:val="14"/>
          <w:color w:val="auto"/>
        </w:rPr>
      </w:pPr>
    </w:p>
    <w:p>
      <w:pPr>
        <w:ind w:left="320" w:right="180" w:hanging="316"/>
        <w:spacing w:after="0" w:line="256" w:lineRule="auto"/>
        <w:tabs>
          <w:tab w:leader="none" w:pos="31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right="20" w:hanging="316"/>
        <w:spacing w:after="0" w:line="267" w:lineRule="auto"/>
        <w:tabs>
          <w:tab w:leader="none" w:pos="3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p>
      <w:pPr>
        <w:spacing w:after="0" w:line="19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Adjusted EBITDA is a non-GAAP financial measure that we define as net loss adjusted for interest expense (income), net, depreciation and amortization, stock-based compensation expenses, transaction costs, other (income) expense, net, COVID-19 costs, impairment loss, restructuring and business exit related charges, acquisition costs and change in fair market value of warrant and earn-out contingent liabilities.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22222"/>
        </w:rPr>
        <w:t>The following is a reconciliation of our net loss to Adjusted EBITDA for the years ended December 31, 2022, 20</w:t>
      </w:r>
      <w:r>
        <w:rPr>
          <w:rFonts w:ascii="Times New Roman" w:cs="Times New Roman" w:eastAsia="Times New Roman" w:hAnsi="Times New Roman"/>
          <w:sz w:val="17"/>
          <w:szCs w:val="17"/>
          <w:color w:val="000000"/>
        </w:rPr>
        <w:t>21</w:t>
      </w:r>
      <w:r>
        <w:rPr>
          <w:rFonts w:ascii="Times New Roman" w:cs="Times New Roman" w:eastAsia="Times New Roman" w:hAnsi="Times New Roman"/>
          <w:sz w:val="17"/>
          <w:szCs w:val="17"/>
          <w:color w:val="222222"/>
        </w:rPr>
        <w:t xml:space="preserve">, and 2020 </w:t>
      </w:r>
      <w:r>
        <w:rPr>
          <w:rFonts w:ascii="Times New Roman" w:cs="Times New Roman" w:eastAsia="Times New Roman" w:hAnsi="Times New Roman"/>
          <w:sz w:val="17"/>
          <w:szCs w:val="17"/>
          <w:color w:val="000000"/>
        </w:rPr>
        <w:t>(in thousands)</w:t>
      </w:r>
      <w:r>
        <w:rPr>
          <w:rFonts w:ascii="Times New Roman" w:cs="Times New Roman" w:eastAsia="Times New Roman" w:hAnsi="Times New Roman"/>
          <w:sz w:val="17"/>
          <w:szCs w:val="17"/>
          <w:color w:val="222222"/>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63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(241,340)</w:t>
            </w:r>
          </w:p>
        </w:tc>
      </w:tr>
      <w:tr>
        <w:trPr>
          <w:trHeight w:val="221"/>
        </w:trPr>
        <w:tc>
          <w:tcPr>
            <w:tcW w:w="636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Interest expense (income), net </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1,968</w:t>
            </w: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11,734</w:t>
            </w: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120,231</w:t>
            </w:r>
          </w:p>
        </w:tc>
      </w:tr>
      <w:tr>
        <w:trPr>
          <w:trHeight w:val="221"/>
        </w:trPr>
        <w:tc>
          <w:tcPr>
            <w:tcW w:w="636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Impairment loss </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Restructuring and other business exit transaction costs </w:t>
            </w:r>
            <w:r>
              <w:rPr>
                <w:rFonts w:ascii="Times New Roman" w:cs="Times New Roman" w:eastAsia="Times New Roman" w:hAnsi="Times New Roman"/>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6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Transaction, acquisition and business acquisition costs </w:t>
            </w:r>
            <w:r>
              <w:rPr>
                <w:rFonts w:ascii="Times New Roman" w:cs="Times New Roman" w:eastAsia="Times New Roman" w:hAnsi="Times New Roman"/>
                <w:sz w:val="22"/>
                <w:szCs w:val="22"/>
                <w:color w:val="auto"/>
                <w:vertAlign w:val="superscript"/>
              </w:rPr>
              <w:t>(4)</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Other (income) expense, net </w:t>
            </w:r>
            <w:r>
              <w:rPr>
                <w:rFonts w:ascii="Times New Roman" w:cs="Times New Roman" w:eastAsia="Times New Roman" w:hAnsi="Times New Roman"/>
                <w:sz w:val="22"/>
                <w:szCs w:val="22"/>
                <w:color w:val="auto"/>
                <w:vertAlign w:val="superscript"/>
              </w:rPr>
              <w:t>(5)</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w:t>
            </w:r>
          </w:p>
        </w:tc>
      </w:tr>
      <w:tr>
        <w:trPr>
          <w:trHeight w:val="221"/>
        </w:trPr>
        <w:tc>
          <w:tcPr>
            <w:tcW w:w="636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COVID-19 costs </w:t>
            </w:r>
            <w:r>
              <w:rPr>
                <w:rFonts w:ascii="Times New Roman" w:cs="Times New Roman" w:eastAsia="Times New Roman" w:hAnsi="Times New Roman"/>
                <w:sz w:val="22"/>
                <w:szCs w:val="22"/>
                <w:color w:val="auto"/>
                <w:vertAlign w:val="superscript"/>
              </w:rPr>
              <w:t>(6)</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3,179</w:t>
            </w:r>
          </w:p>
        </w:tc>
      </w:tr>
      <w:tr>
        <w:trPr>
          <w:trHeight w:val="221"/>
        </w:trPr>
        <w:tc>
          <w:tcPr>
            <w:tcW w:w="63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Change in fair market value of warrant and earn-out contingent liabilities </w:t>
            </w:r>
            <w:r>
              <w:rPr>
                <w:rFonts w:ascii="Times New Roman" w:cs="Times New Roman" w:eastAsia="Times New Roman" w:hAnsi="Times New Roman"/>
                <w:sz w:val="22"/>
                <w:szCs w:val="22"/>
                <w:color w:val="auto"/>
                <w:vertAlign w:val="superscript"/>
              </w:rPr>
              <w:t>(7)</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63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Adjusted EBITDA</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(316,977)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(199,602)</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(106,850)</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1" w:lineRule="exact"/>
        <w:rPr>
          <w:sz w:val="20"/>
          <w:szCs w:val="20"/>
          <w:color w:val="auto"/>
        </w:rPr>
      </w:pPr>
    </w:p>
    <w:p>
      <w:pPr>
        <w:ind w:left="300" w:hanging="296"/>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of interest expense related to our finance leases and interest-bearing loans and interest income on money market funds.</w:t>
      </w:r>
    </w:p>
    <w:p>
      <w:pPr>
        <w:spacing w:after="0" w:line="8"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impairment charge incurred in connection with the business exit activities and discontinuance of testing for Legacy Sema4.</w:t>
      </w:r>
    </w:p>
    <w:p>
      <w:pPr>
        <w:spacing w:after="0" w:line="8" w:lineRule="exact"/>
        <w:rPr>
          <w:rFonts w:ascii="Times New Roman" w:cs="Times New Roman" w:eastAsia="Times New Roman" w:hAnsi="Times New Roman"/>
          <w:sz w:val="14"/>
          <w:szCs w:val="14"/>
          <w:color w:val="auto"/>
        </w:rPr>
      </w:pPr>
    </w:p>
    <w:p>
      <w:pPr>
        <w:ind w:left="320" w:right="320" w:hanging="316"/>
        <w:spacing w:after="0" w:line="245" w:lineRule="auto"/>
        <w:tabs>
          <w:tab w:leader="none" w:pos="31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for restructuring and business exit activities, which include severance packages offered to impacted employees and third party consulting costs incurred during 2022. Certain professional service costs incurred in connection with the business exit are also included..</w:t>
      </w:r>
    </w:p>
    <w:p>
      <w:pPr>
        <w:ind w:left="320" w:right="120" w:hanging="316"/>
        <w:spacing w:after="0" w:line="268" w:lineRule="auto"/>
        <w:tabs>
          <w:tab w:leader="none" w:pos="313"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fiscal year 2021, represents professional service costs incurred in connection with pursuing the business combination transaction that did not meet the requirement for capitalization. For fiscal year 2022, this represents professional service costs incurred in connection with the Legacy GeneDx Acquisition transaction, which include due diligence, legal and business integration costs.</w:t>
      </w:r>
    </w:p>
    <w:p>
      <w:pPr>
        <w:ind w:left="300" w:hanging="296"/>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fiscal years ended December 31, 2020 and 2021, primarily consists of funding received under the CARES Act Provider Relief Fund.</w:t>
      </w:r>
    </w:p>
    <w:p>
      <w:pPr>
        <w:spacing w:after="0" w:line="8" w:lineRule="exact"/>
        <w:rPr>
          <w:rFonts w:ascii="Times New Roman" w:cs="Times New Roman" w:eastAsia="Times New Roman" w:hAnsi="Times New Roman"/>
          <w:sz w:val="14"/>
          <w:szCs w:val="14"/>
          <w:color w:val="auto"/>
        </w:rPr>
      </w:pPr>
    </w:p>
    <w:p>
      <w:pPr>
        <w:ind w:left="320" w:right="20" w:hanging="316"/>
        <w:spacing w:after="0" w:line="245" w:lineRule="auto"/>
        <w:tabs>
          <w:tab w:leader="none" w:pos="31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 w:lineRule="exact"/>
        <w:rPr>
          <w:rFonts w:ascii="Times New Roman" w:cs="Times New Roman" w:eastAsia="Times New Roman" w:hAnsi="Times New Roman"/>
          <w:sz w:val="14"/>
          <w:szCs w:val="14"/>
          <w:color w:val="auto"/>
        </w:rPr>
      </w:pPr>
    </w:p>
    <w:p>
      <w:pPr>
        <w:ind w:left="320" w:right="380" w:hanging="316"/>
        <w:spacing w:after="0" w:line="264" w:lineRule="auto"/>
        <w:tabs>
          <w:tab w:leader="none" w:pos="31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2022 and 2021, represents the change in fair market value of the liabilities associated with our public warrants, private placement warrants and the earn-out shares issuable under the terms of the merger agreement for our business combination.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84"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On July 22, 2021, we completed the Business Combination with CMLS, consummated the related private placement financing the “Business Combination PIPE Investment”), and received net cash proceeds of $510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firstLine="312"/>
        <w:spacing w:after="0" w:line="245" w:lineRule="auto"/>
        <w:rPr>
          <w:sz w:val="20"/>
          <w:szCs w:val="20"/>
          <w:color w:val="auto"/>
        </w:rPr>
      </w:pPr>
      <w:r>
        <w:rPr>
          <w:rFonts w:ascii="Times New Roman" w:cs="Times New Roman" w:eastAsia="Times New Roman" w:hAnsi="Times New Roman"/>
          <w:sz w:val="17"/>
          <w:szCs w:val="17"/>
          <w:color w:val="auto"/>
        </w:rPr>
        <w:t>On November 15, 2021, we entered into a loan and security agreement (the “SVB Agreement”,) with Silicon Valley Bank (“SVB”,) whereby SVB agreed to provide a $125 million revolving credit facility with a maturity date of November 15, 2024. No amounts were drawn as of December 31, 2022. Advances under the SVB Agreement will bear interest at a floating rate per annum equal to the greater of (1) 4.00% and (2) the prime rate plus an applicable margin. On March 10, 2023, SVB was closed by the California Department of Financial Protection and Innovation, which appointed the Federal Deposit Insurance Corporation (“FDIC”) as receiver. On March 14, 2023, Silicon Valley Bridge Bank, N.A., a new bank that is regulated by the Office of the Comptroller of the Currency, announced that it had assumed all loan positions, including as lender, issuing bank, administrative agent and any other function that was formerly performed by SVB, and that all commitments to advance under existing credit agreements would be honored in accordance with and pursuant to the terms thereof.</w:t>
      </w:r>
    </w:p>
    <w:p>
      <w:pPr>
        <w:spacing w:after="0" w:line="190"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On April 29, 2022, upon the closing of the Acquisition, we received gross proceeds of $200 million from the issuance of 50 million shares of our Class A common stock pursuant to the Acquisition PIPE Investment. The gross proceeds were partially used to pay for the cash consideration of the Acquisition and transaction costs incurred in connection with the Acquisition.</w:t>
      </w:r>
    </w:p>
    <w:p>
      <w:pPr>
        <w:spacing w:after="0" w:line="20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On January 31, 2023, we announced the closing of an underwritten public offering and a concurrent registered direct offering of shares of our Class A common stock. The total gross proceeds are expected to be approximately $150 million, including proceeds from the issuance of the additional shares in the direct offering. See “-Recent Developments’ above.</w:t>
      </w:r>
    </w:p>
    <w:p>
      <w:pPr>
        <w:spacing w:after="0" w:line="189"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Management believes that our cash and cash equivalents provide us with sufficient liquidity for at least twelve months from the filing date of this Annual Report.</w:t>
      </w:r>
    </w:p>
    <w:p>
      <w:pPr>
        <w:spacing w:after="0" w:line="173"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Accordingly, the consolidated financial statements included in this Annual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For example, we have an effective shelf registration statement that we filed with the SEC in August of 2022, registering $300 million shares of our Class A common stock and other securities. Following the Offerings in January 2023, approximately $150 million of securities remained available under this registration statement. The Company does not know what impact the ongoing situation at SVB will ultimately have on the SVB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Cash Requirements for Known Contractual Obligations and Commitments</w:t>
      </w:r>
    </w:p>
    <w:p>
      <w:pPr>
        <w:spacing w:after="0" w:line="18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following is a description of commitments for known and reasonably likely cash requirements as of December 31, 2022 and December 31, 2021. We anticipate fulfilling such commitments with our existing cash and cash equivalents, which amounted to $123.9 million and $400.6 million as of December 31, 2022 and December 31, 2021, respectively, or through additional capital raised to finance our operations.</w:t>
      </w:r>
    </w:p>
    <w:p>
      <w:pPr>
        <w:spacing w:after="0" w:line="137"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 xml:space="preserve">Our future minimum payments under non-cancellable operating lease and finance lease agreements were $80.1 million and $60.8 million, respectively as of December 31, 2022. The timing of these future payments, by year, can be found in our consolidated financial statements in Note 9,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included within this Annual Report.</w:t>
      </w:r>
    </w:p>
    <w:p>
      <w:pPr>
        <w:spacing w:after="0" w:line="124"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As discussed above, the Legacy Sema4 business recently entered into a settlement agreement with one of its third-party payors in order to settle the claims related to coverage and billing matters allegedly resulting in the overpayments by the payor to the Legacy Sema4 business including those related to multi-gene tests, such as carrier screening services. Under the settlement agreement, the total settlement amount is $42 million, to be paid by us to the payor in a series of installments over the next four years with the final installment payment scheduled to be on or before June 30, 2026. The first installment payment of $15 million was made on December 30, 2022. In consideration for the payments, the payor has agreed to provide releases of the Disputed Claims, which releases will become effective 91 days after the first installment payment was received by the payor. For more information regarding this matter, see Note 4, “Revenue Recognition” to our audited consolidated financial statements included within this Annual Report.</w:t>
      </w:r>
    </w:p>
    <w:p>
      <w:pPr>
        <w:spacing w:after="0" w:line="138"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 xml:space="preserve">Our future contractual purchase commitments were $8.8 million as of December 31, 2022. The timing of these future payments, by year, can be found in our consolidated financial statements in Note 10,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included within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0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r>
      <w:tr>
        <w:trPr>
          <w:trHeight w:val="188"/>
        </w:trPr>
        <w:tc>
          <w:tcPr>
            <w:tcW w:w="6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center"/>
              <w:ind w:left="178"/>
              <w:spacing w:after="0"/>
              <w:rPr>
                <w:sz w:val="20"/>
                <w:szCs w:val="20"/>
                <w:color w:val="auto"/>
              </w:rPr>
            </w:pPr>
            <w:r>
              <w:rPr>
                <w:rFonts w:ascii="Times New Roman" w:cs="Times New Roman" w:eastAsia="Times New Roman" w:hAnsi="Times New Roman"/>
                <w:sz w:val="17"/>
                <w:szCs w:val="17"/>
                <w:color w:val="auto"/>
              </w:rPr>
              <w:t>(319,155)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(190,434)</w:t>
            </w:r>
          </w:p>
        </w:tc>
        <w:tc>
          <w:tcPr>
            <w:tcW w:w="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(93,128)</w:t>
            </w:r>
          </w:p>
        </w:tc>
        <w:tc>
          <w:tcPr>
            <w:tcW w:w="80" w:type="dxa"/>
            <w:vAlign w:val="bottom"/>
            <w:shd w:val="clear" w:color="auto" w:fill="CCEEFF"/>
          </w:tcPr>
          <w:p>
            <w:pPr>
              <w:spacing w:after="0"/>
              <w:rPr>
                <w:sz w:val="19"/>
                <w:szCs w:val="19"/>
                <w:color w:val="auto"/>
              </w:rPr>
            </w:pPr>
          </w:p>
        </w:tc>
      </w:tr>
      <w:tr>
        <w:trPr>
          <w:trHeight w:val="221"/>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Pr>
          <w:p>
            <w:pPr>
              <w:spacing w:after="0"/>
              <w:rPr>
                <w:sz w:val="19"/>
                <w:szCs w:val="19"/>
                <w:color w:val="auto"/>
              </w:rPr>
            </w:pPr>
          </w:p>
        </w:tc>
        <w:tc>
          <w:tcPr>
            <w:tcW w:w="1060" w:type="dxa"/>
            <w:vAlign w:val="bottom"/>
          </w:tcPr>
          <w:p>
            <w:pPr>
              <w:jc w:val="center"/>
              <w:ind w:left="178"/>
              <w:spacing w:after="0"/>
              <w:rPr>
                <w:sz w:val="20"/>
                <w:szCs w:val="20"/>
                <w:color w:val="auto"/>
              </w:rPr>
            </w:pPr>
            <w:r>
              <w:rPr>
                <w:rFonts w:ascii="Times New Roman" w:cs="Times New Roman" w:eastAsia="Times New Roman" w:hAnsi="Times New Roman"/>
                <w:sz w:val="17"/>
                <w:szCs w:val="17"/>
                <w:color w:val="auto"/>
              </w:rPr>
              <w:t>(141,326)</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(20,786)</w:t>
            </w:r>
          </w:p>
        </w:tc>
        <w:tc>
          <w:tcPr>
            <w:tcW w:w="360" w:type="dxa"/>
            <w:vAlign w:val="bottom"/>
          </w:tcPr>
          <w:p>
            <w:pPr>
              <w:spacing w:after="0"/>
              <w:rPr>
                <w:sz w:val="19"/>
                <w:szCs w:val="19"/>
                <w:color w:val="auto"/>
              </w:rPr>
            </w:pPr>
          </w:p>
        </w:tc>
        <w:tc>
          <w:tcPr>
            <w:tcW w:w="10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(31,974)</w:t>
            </w:r>
          </w:p>
        </w:tc>
        <w:tc>
          <w:tcPr>
            <w:tcW w:w="80" w:type="dxa"/>
            <w:vAlign w:val="bottom"/>
          </w:tcPr>
          <w:p>
            <w:pPr>
              <w:spacing w:after="0"/>
              <w:rPr>
                <w:sz w:val="19"/>
                <w:szCs w:val="19"/>
                <w:color w:val="auto"/>
              </w:rPr>
            </w:pPr>
          </w:p>
        </w:tc>
      </w:tr>
      <w:tr>
        <w:trPr>
          <w:trHeight w:val="22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178"/>
              <w:spacing w:after="0"/>
              <w:rPr>
                <w:sz w:val="20"/>
                <w:szCs w:val="20"/>
                <w:color w:val="auto"/>
              </w:rPr>
            </w:pPr>
            <w:r>
              <w:rPr>
                <w:rFonts w:ascii="Times New Roman" w:cs="Times New Roman" w:eastAsia="Times New Roman" w:hAnsi="Times New Roman"/>
                <w:sz w:val="17"/>
                <w:szCs w:val="17"/>
                <w:color w:val="auto"/>
              </w:rPr>
              <w:t>197,315</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493,729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129,056</w:t>
            </w:r>
          </w:p>
        </w:tc>
        <w:tc>
          <w:tcPr>
            <w:tcW w:w="8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86"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Net cash used in operating activities during the year ended December 31, 2022 was $319.2 million, which was primarily attributable to a net loss of $549.0 million, a change in fair value of the warrant and earn-out liabilities of $70.2 million and an income tax benefit of $49.1 million. This was partially offset by non-cash depreciation and amortization of $59.3 million, non-cash stock-based compensation expense of $42.0 million, impairment loss of $210.1 million, a provision for excess and obsolete inventory of $1.1 million and non-cash lease expense of $2.2 million. The net change in our operating assets and liabilities primarily reflected a $2.4 million decrease in inventories, a $34.5 million increase in accounts payable and accrued expenses driven by the payor settlement accrual which was partially offset by timing of vendor payments, a $19.5 million decrease in other current liabilities mainly driven by the payment of 2021 bonuses, offset by the accrual of the 2022 expected payment, a $5.5 million decrease in accounts receivable primarily from self-pay payors and a $11.1 million increase in prepaid expenses and other current assets mainly driven by the amortization of insurance policy premiums.</w:t>
      </w:r>
    </w:p>
    <w:p>
      <w:pPr>
        <w:spacing w:after="0" w:line="14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27"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99"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Net cash used in investing activities during the year ended December 31, 2022 was $141.3 million, which was primarily attributable to the $127 million net of cash spent for the Acquisition of Legacy GeneDx, $7.2 million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purchases of property and equipment and $7.2 million related to spend on development of internal-use software assets.</w:t>
      </w:r>
    </w:p>
    <w:p>
      <w:pPr>
        <w:spacing w:after="0" w:line="195"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95"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8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Net cash provided by financing activities during the year ended December 31, 2022 was $197.3 million, which was primarily driven by the $197.7 million proceeds from the Acquisition PIPE Investment, net of issuance costs of $2.3 million. Additionally, $2.9 million relates to cash received from exercise of employee stock options, which was offset by $3.3 million of finance lease principal payments.</w:t>
      </w:r>
    </w:p>
    <w:p>
      <w:pPr>
        <w:spacing w:after="0" w:line="124"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Net cash provided by financing activities during the year ended December 31, 2021 was $493.7 million, which was attributable to the consummation of our Business Combination including: $350.0 million from the Business Combination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18"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97"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3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See Note 2, “Summary of Significant Accounting Policies” to our consolidated financial statements for further discussion on our accounting policies. We have identified below our accounting policies that we believe could potentially generate materially different results if we were to change underlying assumptions, estimates and/or judgments. Although actual results may differ from those estimates, we believe the estimates are reasonable and appropriate.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Diagnostic test revenue</w:t>
      </w:r>
    </w:p>
    <w:p>
      <w:pPr>
        <w:spacing w:after="0" w:line="171"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215"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payers within GeneDx, which we believe could be a reasonably likely change, would result in an unfavorable or favorable adjustment to diagnostic test revenue of approximately $9.9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revenue</w:t>
      </w:r>
    </w:p>
    <w:p>
      <w:pPr>
        <w:spacing w:after="0" w:line="158" w:lineRule="exact"/>
        <w:rPr>
          <w:sz w:val="20"/>
          <w:szCs w:val="20"/>
          <w:color w:val="auto"/>
        </w:rPr>
      </w:pPr>
    </w:p>
    <w:p>
      <w:pPr>
        <w:ind w:right="120" w:firstLine="312"/>
        <w:spacing w:after="0" w:line="249" w:lineRule="auto"/>
        <w:rPr>
          <w:sz w:val="20"/>
          <w:szCs w:val="20"/>
          <w:color w:val="auto"/>
        </w:rPr>
      </w:pPr>
      <w:r>
        <w:rPr>
          <w:rFonts w:ascii="Times New Roman" w:cs="Times New Roman" w:eastAsia="Times New Roman" w:hAnsi="Times New Roman"/>
          <w:sz w:val="17"/>
          <w:szCs w:val="17"/>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20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Internal-Use Software Costs</w:t>
      </w:r>
    </w:p>
    <w:p>
      <w:pPr>
        <w:spacing w:after="0" w:line="173"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71" w:lineRule="exact"/>
        <w:rPr>
          <w:sz w:val="20"/>
          <w:szCs w:val="20"/>
          <w:color w:val="auto"/>
        </w:rPr>
      </w:pPr>
    </w:p>
    <w:p>
      <w:pPr>
        <w:jc w:val="both"/>
        <w:ind w:firstLine="312"/>
        <w:spacing w:after="0" w:line="275" w:lineRule="auto"/>
        <w:rPr>
          <w:sz w:val="20"/>
          <w:szCs w:val="20"/>
          <w:color w:val="auto"/>
        </w:rPr>
      </w:pPr>
      <w:r>
        <w:rPr>
          <w:rFonts w:ascii="Times New Roman" w:cs="Times New Roman" w:eastAsia="Times New Roman" w:hAnsi="Times New Roman"/>
          <w:sz w:val="17"/>
          <w:szCs w:val="17"/>
          <w:color w:val="auto"/>
        </w:rPr>
        <w:t xml:space="preserve">In accordance with ASC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xml:space="preserve"> we do not amortize goodwill but rather test them for impairment. ASC 350 requires us to perform an impairment review of our goodwill balance at least annually, which we do in the fourth quarter of each year for our single consolidated reporting unit, and whenever events or changes in circumstances indicate that the carrying amount of these assets may not be recoverable.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8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Amortizable intangible assets include trade names and trademarks, developed technology and customer relationships acquired as part of business combinations. All intangible assets subject to amortization are reviewed for impairment in accordance with ASC 360, Property, Plant and Equipment. The recoverability test was performed on a company-wide single asset group level.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consideration based on milestone achievement</w:t>
      </w:r>
    </w:p>
    <w:p>
      <w:pPr>
        <w:spacing w:after="0" w:line="160"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We estimate the fair value of the total earn-out shares based on a Monte Carlo simulation valuation model and assuming the Company will pay the earn-out in shares. Key assumptions include revenue projections, revenue volatility, the Company’s expectation to settle the liability in shares and the share price per share.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Earn-out Contingent Liability</w:t>
      </w:r>
    </w:p>
    <w:p>
      <w:pPr>
        <w:spacing w:after="0" w:line="160" w:lineRule="exact"/>
        <w:rPr>
          <w:sz w:val="20"/>
          <w:szCs w:val="20"/>
          <w:color w:val="auto"/>
        </w:rPr>
      </w:pPr>
    </w:p>
    <w:p>
      <w:pPr>
        <w:jc w:val="both"/>
        <w:ind w:firstLine="312"/>
        <w:spacing w:after="0" w:line="252" w:lineRule="auto"/>
        <w:rPr>
          <w:sz w:val="20"/>
          <w:szCs w:val="20"/>
          <w:color w:val="auto"/>
        </w:rPr>
      </w:pPr>
      <w:r>
        <w:rPr>
          <w:rFonts w:ascii="Times New Roman" w:cs="Times New Roman" w:eastAsia="Times New Roman" w:hAnsi="Times New Roman"/>
          <w:sz w:val="17"/>
          <w:szCs w:val="17"/>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73"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analysis of historical share prices of a peer group of public companies, the historical share prices of the Company, and the implied volatility of the Company’s call options.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73"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JOBS Act Accounting Election</w:t>
      </w:r>
    </w:p>
    <w:p>
      <w:pPr>
        <w:spacing w:after="0" w:line="17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0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71" w:lineRule="exact"/>
        <w:rPr>
          <w:sz w:val="20"/>
          <w:szCs w:val="20"/>
          <w:color w:val="auto"/>
        </w:rPr>
      </w:pPr>
    </w:p>
    <w:p>
      <w:pPr>
        <w:ind w:right="140" w:firstLine="312"/>
        <w:spacing w:after="0" w:line="293" w:lineRule="auto"/>
        <w:rPr>
          <w:sz w:val="20"/>
          <w:szCs w:val="20"/>
          <w:color w:val="auto"/>
        </w:rPr>
      </w:pPr>
      <w:r>
        <w:rPr>
          <w:rFonts w:ascii="Times New Roman" w:cs="Times New Roman" w:eastAsia="Times New Roman" w:hAnsi="Times New Roman"/>
          <w:sz w:val="17"/>
          <w:szCs w:val="17"/>
          <w:color w:val="auto"/>
        </w:rPr>
        <w:t>Information on recent accounting pronouncements can be found in GeneDx’s audited consolidated financial statements in Note 2, “Summary of Significant Accounting Policies”.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71"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These risks primarily relate to interest rates. Our cash, cash equivalents, and restricted cash consists of bank deposits and money market funds, which totaled $138.3 million and $401.5 million at December 31, 2022 and 2021,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 The majority of our cash, cash equivalents and restricted cash are uninsured with account balances in excess of the Federal Deposit Insurance Company limits. On March 14, 2023, we announced full access to our capital with nearly 100% of the Company’s cash and cash equivalents held in an institution designated as systematically important financial institutions.</w:t>
      </w:r>
    </w:p>
    <w:p>
      <w:pPr>
        <w:spacing w:after="0" w:line="14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 xml:space="preserve">The revolving credit facility under the SVB Agreement includes variable interest rate terms for the outstanding principal amount of any advance. Therefore, changes change in interest rates can impact our interest payments we are obligated to pay. As of December 31, 2022, no amounts have been drawn under the SVB Agreement. Additional information on our long-term debt can be found in out audited financial statements in Note 8, </w:t>
      </w:r>
      <w:r>
        <w:rPr>
          <w:rFonts w:ascii="Times New Roman" w:cs="Times New Roman" w:eastAsia="Times New Roman" w:hAnsi="Times New Roman"/>
          <w:sz w:val="17"/>
          <w:szCs w:val="17"/>
          <w:i w:val="1"/>
          <w:iCs w:val="1"/>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440" w:firstLine="3450"/>
        <w:spacing w:after="0" w:line="448"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Stockholders and the Board of Directors of GeneDx Holdings Corp. </w:t>
      </w:r>
      <w:r>
        <w:rPr>
          <w:rFonts w:ascii="Times New Roman" w:cs="Times New Roman" w:eastAsia="Times New Roman" w:hAnsi="Times New Roman"/>
          <w:sz w:val="17"/>
          <w:szCs w:val="17"/>
          <w:b w:val="1"/>
          <w:bCs w:val="1"/>
          <w:color w:val="auto"/>
        </w:rPr>
        <w:t>Opinion on the Financial Statements</w:t>
      </w: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GeneDx Holdings Corp. (the Company) as of December 31, 2022 and 2021, the related consolidated statements of operations and comprehensive loss,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Adoption of ASU 2016-02</w:t>
      </w:r>
    </w:p>
    <w:p>
      <w:pPr>
        <w:spacing w:after="0" w:line="17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effective January 1, 2022, the Company changed its method of accounting for leases due to the adoption of ASU 2016-02, Leases.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376" w:lineRule="exact"/>
        <w:rPr>
          <w:sz w:val="20"/>
          <w:szCs w:val="20"/>
          <w:color w:val="auto"/>
        </w:rPr>
      </w:pPr>
    </w:p>
    <w:p>
      <w:pPr>
        <w:ind w:left="340"/>
        <w:spacing w:after="0"/>
        <w:tabs>
          <w:tab w:leader="none" w:pos="1960" w:val="left"/>
          <w:tab w:leader="none" w:pos="2640" w:val="left"/>
          <w:tab w:leader="none" w:pos="4300" w:val="left"/>
          <w:tab w:leader="none" w:pos="6020" w:val="left"/>
          <w:tab w:leader="none" w:pos="784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No. 42</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Ernst &amp; Young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3"/>
          <w:szCs w:val="13"/>
          <w:color w:val="auto"/>
        </w:rPr>
        <w:t>New York, New York,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Holdings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123,933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400,569</w:t>
            </w:r>
          </w:p>
        </w:tc>
        <w:tc>
          <w:tcPr>
            <w:tcW w:w="0" w:type="dxa"/>
            <w:vAlign w:val="bottom"/>
          </w:tcPr>
          <w:p>
            <w:pPr>
              <w:spacing w:after="0"/>
              <w:rPr>
                <w:sz w:val="1"/>
                <w:szCs w:val="1"/>
                <w:color w:val="auto"/>
              </w:rPr>
            </w:pPr>
          </w:p>
        </w:tc>
      </w:tr>
      <w:tr>
        <w:trPr>
          <w:trHeight w:val="188"/>
        </w:trPr>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26,509</w:t>
            </w:r>
          </w:p>
        </w:tc>
        <w:tc>
          <w:tcPr>
            <w:tcW w:w="0" w:type="dxa"/>
            <w:vAlign w:val="bottom"/>
          </w:tcPr>
          <w:p>
            <w:pPr>
              <w:spacing w:after="0"/>
              <w:rPr>
                <w:sz w:val="1"/>
                <w:szCs w:val="1"/>
                <w:color w:val="auto"/>
              </w:rPr>
            </w:pPr>
          </w:p>
        </w:tc>
      </w:tr>
      <w:tr>
        <w:trPr>
          <w:trHeight w:val="188"/>
        </w:trPr>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Due from related parties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Inventory,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33,456</w:t>
            </w:r>
          </w:p>
        </w:tc>
        <w:tc>
          <w:tcPr>
            <w:tcW w:w="0" w:type="dxa"/>
            <w:vAlign w:val="bottom"/>
          </w:tcPr>
          <w:p>
            <w:pPr>
              <w:spacing w:after="0"/>
              <w:rPr>
                <w:sz w:val="1"/>
                <w:szCs w:val="1"/>
                <w:color w:val="auto"/>
              </w:rPr>
            </w:pPr>
          </w:p>
        </w:tc>
      </w:tr>
      <w:tr>
        <w:trPr>
          <w:trHeight w:val="188"/>
        </w:trPr>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expenses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19,154</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0" w:type="dxa"/>
            <w:vAlign w:val="bottom"/>
          </w:tcPr>
          <w:p>
            <w:pPr>
              <w:spacing w:after="0"/>
              <w:rPr>
                <w:sz w:val="1"/>
                <w:szCs w:val="1"/>
                <w:color w:val="auto"/>
              </w:rPr>
            </w:pPr>
          </w:p>
        </w:tc>
      </w:tr>
      <w:tr>
        <w:trPr>
          <w:trHeight w:val="181"/>
        </w:trPr>
        <w:tc>
          <w:tcPr>
            <w:tcW w:w="8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212,622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483,544</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62,719</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186,650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9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w:t>
            </w:r>
          </w:p>
        </w:tc>
        <w:tc>
          <w:tcPr>
            <w:tcW w:w="0" w:type="dxa"/>
            <w:vAlign w:val="bottom"/>
          </w:tcPr>
          <w:p>
            <w:pPr>
              <w:spacing w:after="0"/>
              <w:rPr>
                <w:sz w:val="1"/>
                <w:szCs w:val="1"/>
                <w:color w:val="auto"/>
              </w:rPr>
            </w:pPr>
          </w:p>
        </w:tc>
      </w:tr>
      <w:tr>
        <w:trPr>
          <w:trHeight w:val="195"/>
        </w:trPr>
        <w:tc>
          <w:tcPr>
            <w:tcW w:w="8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490,942</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554,093</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44,693</w:t>
            </w:r>
          </w:p>
        </w:tc>
        <w:tc>
          <w:tcPr>
            <w:tcW w:w="0" w:type="dxa"/>
            <w:vAlign w:val="bottom"/>
          </w:tcPr>
          <w:p>
            <w:pPr>
              <w:spacing w:after="0"/>
              <w:rPr>
                <w:sz w:val="1"/>
                <w:szCs w:val="1"/>
                <w:color w:val="auto"/>
              </w:rPr>
            </w:pPr>
          </w:p>
        </w:tc>
      </w:tr>
      <w:tr>
        <w:trPr>
          <w:trHeight w:val="188"/>
        </w:trPr>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20,108</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Due to related parties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188"/>
        </w:trPr>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Contract liabilities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49,665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33,387</w:t>
            </w:r>
          </w:p>
        </w:tc>
        <w:tc>
          <w:tcPr>
            <w:tcW w:w="0" w:type="dxa"/>
            <w:vAlign w:val="bottom"/>
          </w:tcPr>
          <w:p>
            <w:pPr>
              <w:spacing w:after="0"/>
              <w:rPr>
                <w:sz w:val="1"/>
                <w:szCs w:val="1"/>
                <w:color w:val="auto"/>
              </w:rPr>
            </w:pPr>
          </w:p>
        </w:tc>
      </w:tr>
      <w:tr>
        <w:trPr>
          <w:trHeight w:val="195"/>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144,297</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101,284</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21,907</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21,555</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contingent liability</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w:t>
            </w:r>
          </w:p>
        </w:tc>
        <w:tc>
          <w:tcPr>
            <w:tcW w:w="0" w:type="dxa"/>
            <w:vAlign w:val="bottom"/>
          </w:tcPr>
          <w:p>
            <w:pPr>
              <w:spacing w:after="0"/>
              <w:rPr>
                <w:sz w:val="1"/>
                <w:szCs w:val="1"/>
                <w:color w:val="auto"/>
              </w:rPr>
            </w:pPr>
          </w:p>
        </w:tc>
      </w:tr>
      <w:tr>
        <w:trPr>
          <w:trHeight w:val="181"/>
        </w:trPr>
        <w:tc>
          <w:tcPr>
            <w:tcW w:w="8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237,237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165,990</w:t>
            </w:r>
          </w:p>
        </w:tc>
        <w:tc>
          <w:tcPr>
            <w:tcW w:w="0" w:type="dxa"/>
            <w:vAlign w:val="bottom"/>
          </w:tcPr>
          <w:p>
            <w:pPr>
              <w:spacing w:after="0"/>
              <w:rPr>
                <w:sz w:val="1"/>
                <w:szCs w:val="1"/>
                <w:color w:val="auto"/>
              </w:rPr>
            </w:pPr>
          </w:p>
        </w:tc>
      </w:tr>
      <w:tr>
        <w:trPr>
          <w:trHeight w:val="195"/>
        </w:trPr>
        <w:tc>
          <w:tcPr>
            <w:tcW w:w="8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Preferred Stock, $0.0001 par value: 1,000,000 shares authorized at December 31, 2022 and December 31, 2021; 0 shares issued and</w:t>
            </w:r>
          </w:p>
        </w:tc>
        <w:tc>
          <w:tcPr>
            <w:tcW w:w="36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outstanding at December 31, 2022 and December 31, 2021, respectively</w:t>
            </w:r>
          </w:p>
        </w:tc>
        <w:tc>
          <w:tcPr>
            <w:tcW w:w="36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040" w:type="dxa"/>
            <w:vAlign w:val="bottom"/>
          </w:tcPr>
          <w:p>
            <w:pPr>
              <w:ind w:left="180"/>
              <w:spacing w:after="0" w:line="134" w:lineRule="exact"/>
              <w:rPr>
                <w:sz w:val="20"/>
                <w:szCs w:val="20"/>
                <w:color w:val="auto"/>
              </w:rPr>
            </w:pPr>
            <w:r>
              <w:rPr>
                <w:rFonts w:ascii="Times New Roman" w:cs="Times New Roman" w:eastAsia="Times New Roman" w:hAnsi="Times New Roman"/>
                <w:sz w:val="14"/>
                <w:szCs w:val="14"/>
                <w:color w:val="auto"/>
              </w:rPr>
              <w:t>Class A common stock, $0.0001 par value: 1,000,000,000 shares authorized, 388,511,138 shares issued and outstanding at December 31,</w:t>
            </w: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7"/>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2022 and $0.0001 par value: 380,000,000 shares authorized, 242,647,604 shares issued and outstanding at December 31, 2021</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1,378,088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963,520</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(1,124,421)</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(575,441)</w:t>
            </w:r>
          </w:p>
        </w:tc>
        <w:tc>
          <w:tcPr>
            <w:tcW w:w="0" w:type="dxa"/>
            <w:vAlign w:val="bottom"/>
          </w:tcPr>
          <w:p>
            <w:pPr>
              <w:spacing w:after="0"/>
              <w:rPr>
                <w:sz w:val="1"/>
                <w:szCs w:val="1"/>
                <w:color w:val="auto"/>
              </w:rPr>
            </w:pPr>
          </w:p>
        </w:tc>
      </w:tr>
      <w:tr>
        <w:trPr>
          <w:trHeight w:val="188"/>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253,705</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388,103</w:t>
            </w:r>
          </w:p>
        </w:tc>
        <w:tc>
          <w:tcPr>
            <w:tcW w:w="0" w:type="dxa"/>
            <w:vAlign w:val="bottom"/>
          </w:tcPr>
          <w:p>
            <w:pPr>
              <w:spacing w:after="0"/>
              <w:rPr>
                <w:sz w:val="1"/>
                <w:szCs w:val="1"/>
                <w:color w:val="auto"/>
              </w:rPr>
            </w:pPr>
          </w:p>
        </w:tc>
      </w:tr>
      <w:tr>
        <w:trPr>
          <w:trHeight w:val="195"/>
        </w:trPr>
        <w:tc>
          <w:tcPr>
            <w:tcW w:w="8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490,942</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554,093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GeneDx Holdings Corp.</w:t>
      </w:r>
    </w:p>
    <w:p>
      <w:pPr>
        <w:spacing w:after="0" w:line="3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(in thousands, except per share and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r>
      <w:tr>
        <w:trPr>
          <w:trHeight w:val="214"/>
        </w:trPr>
        <w:tc>
          <w:tcPr>
            <w:tcW w:w="6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0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69"/>
        </w:trPr>
        <w:tc>
          <w:tcPr>
            <w:tcW w:w="638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Diagnostic test revenue (including related party revenue of $2,209, $90 and $285 for the</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years ended December 31, 2022, 2021, and 2020, respectively)</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227,334</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205,100</w:t>
            </w:r>
          </w:p>
        </w:tc>
        <w:tc>
          <w:tcPr>
            <w:tcW w:w="8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175,351</w:t>
            </w:r>
          </w:p>
        </w:tc>
      </w:tr>
      <w:tr>
        <w:trPr>
          <w:trHeight w:val="169"/>
        </w:trPr>
        <w:tc>
          <w:tcPr>
            <w:tcW w:w="6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Other revenue (including related party revenue of $353, $232 and $3 for the years ended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3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2022, 2021, and 2020, respectively)</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7,095</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3,971</w:t>
            </w:r>
          </w:p>
        </w:tc>
      </w:tr>
      <w:tr>
        <w:trPr>
          <w:trHeight w:val="214"/>
        </w:trPr>
        <w:tc>
          <w:tcPr>
            <w:tcW w:w="63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234,694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212,195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179,322</w:t>
            </w:r>
          </w:p>
        </w:tc>
      </w:tr>
      <w:tr>
        <w:trPr>
          <w:trHeight w:val="149"/>
        </w:trPr>
        <w:tc>
          <w:tcPr>
            <w:tcW w:w="638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Cost of services (including related party expenses of $4,169, $3,975 and $2,189 for the</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years ended December 31, 2022, 2021, and 2020, respectively)</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261,444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228,797</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175,296</w:t>
            </w:r>
          </w:p>
        </w:tc>
      </w:tr>
      <w:tr>
        <w:trPr>
          <w:trHeight w:val="214"/>
        </w:trPr>
        <w:tc>
          <w:tcPr>
            <w:tcW w:w="63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Gross (loss) profit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4,026</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72,700</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63,183</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100,742</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Related party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9,395</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6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(667,652)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(446,149)</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(241,994)</w:t>
            </w:r>
          </w:p>
        </w:tc>
      </w:tr>
      <w:tr>
        <w:trPr>
          <w:trHeight w:val="20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market value of warrant and earn-out contingent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198,401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r>
      <w:tr>
        <w:trPr>
          <w:trHeight w:val="221"/>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w:t>
            </w:r>
          </w:p>
        </w:tc>
      </w:tr>
      <w:tr>
        <w:trPr>
          <w:trHeight w:val="221"/>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w:t>
            </w:r>
          </w:p>
        </w:tc>
      </w:tr>
      <w:tr>
        <w:trPr>
          <w:trHeight w:val="214"/>
        </w:trPr>
        <w:tc>
          <w:tcPr>
            <w:tcW w:w="6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other income,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200,759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(598,032)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(241,340)</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(241,340)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3"/>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Class A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337,819,680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108,077,439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w:t>
            </w:r>
          </w:p>
        </w:tc>
      </w:tr>
      <w:tr>
        <w:trPr>
          <w:trHeight w:val="227"/>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net loss per share, Class A common stock</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(47,036)</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Holdings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 (Deficit)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12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60" w:type="dxa"/>
            <w:vAlign w:val="bottom"/>
          </w:tcPr>
          <w:p>
            <w:pPr>
              <w:spacing w:after="0"/>
              <w:rPr>
                <w:sz w:val="13"/>
                <w:szCs w:val="13"/>
                <w:color w:val="auto"/>
              </w:rPr>
            </w:pPr>
          </w:p>
        </w:tc>
        <w:tc>
          <w:tcPr>
            <w:tcW w:w="198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212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6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1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6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54"/>
        </w:trPr>
        <w:tc>
          <w:tcPr>
            <w:tcW w:w="212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147,038,267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217,115</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(88,711)</w:t>
            </w:r>
          </w:p>
        </w:tc>
        <w:tc>
          <w:tcPr>
            <w:tcW w:w="0" w:type="dxa"/>
            <w:vAlign w:val="bottom"/>
          </w:tcPr>
          <w:p>
            <w:pPr>
              <w:spacing w:after="0"/>
              <w:rPr>
                <w:sz w:val="1"/>
                <w:szCs w:val="1"/>
                <w:color w:val="auto"/>
              </w:rPr>
            </w:pPr>
          </w:p>
        </w:tc>
      </w:tr>
      <w:tr>
        <w:trPr>
          <w:trHeight w:val="221"/>
        </w:trPr>
        <w:tc>
          <w:tcPr>
            <w:tcW w:w="2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(241,340)</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Common stock issued</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7"/>
                <w:szCs w:val="17"/>
                <w:color w:val="auto"/>
              </w:rPr>
              <w:t>pursuant to stock option</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exercises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212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Issuance of Preferred</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Series C, net of issuance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24,496,946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117,324</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21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171,535,213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334,439</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(330,051)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(330,051)</w:t>
            </w:r>
          </w:p>
        </w:tc>
        <w:tc>
          <w:tcPr>
            <w:tcW w:w="0" w:type="dxa"/>
            <w:vAlign w:val="bottom"/>
          </w:tcPr>
          <w:p>
            <w:pPr>
              <w:spacing w:after="0"/>
              <w:rPr>
                <w:sz w:val="1"/>
                <w:szCs w:val="1"/>
                <w:color w:val="auto"/>
              </w:rPr>
            </w:pPr>
          </w:p>
        </w:tc>
      </w:tr>
      <w:tr>
        <w:trPr>
          <w:trHeight w:val="221"/>
        </w:trPr>
        <w:tc>
          <w:tcPr>
            <w:tcW w:w="2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Common stock issued</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pursuant to stock option</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995,526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1,253,179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0" w:type="dxa"/>
            <w:vAlign w:val="bottom"/>
          </w:tcPr>
          <w:p>
            <w:pPr>
              <w:spacing w:after="0"/>
              <w:rPr>
                <w:sz w:val="1"/>
                <w:szCs w:val="1"/>
                <w:color w:val="auto"/>
              </w:rPr>
            </w:pPr>
          </w:p>
        </w:tc>
      </w:tr>
      <w:tr>
        <w:trPr>
          <w:trHeight w:val="169"/>
        </w:trPr>
        <w:tc>
          <w:tcPr>
            <w:tcW w:w="212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Conversion of Preferred</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into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(171,535,213)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(334,439)</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148,543,062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104,532</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Conversion of Class B</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Common Stock into Class</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 Common Stock</w:t>
            </w: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1,309,320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(1,383,736)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0" w:type="dxa"/>
            <w:vAlign w:val="bottom"/>
          </w:tcPr>
          <w:p>
            <w:pPr>
              <w:spacing w:after="0"/>
              <w:rPr>
                <w:sz w:val="1"/>
                <w:szCs w:val="1"/>
                <w:color w:val="auto"/>
              </w:rPr>
            </w:pPr>
          </w:p>
        </w:tc>
      </w:tr>
      <w:tr>
        <w:trPr>
          <w:trHeight w:val="169"/>
        </w:trPr>
        <w:tc>
          <w:tcPr>
            <w:tcW w:w="212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Net equity infusion from</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Business Combination</w:t>
            </w: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90,333,562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510,751</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Stock based compensation</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modification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reclassification</w:t>
            </w: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304,837</w:t>
            </w:r>
          </w:p>
        </w:tc>
        <w:tc>
          <w:tcPr>
            <w:tcW w:w="0" w:type="dxa"/>
            <w:vAlign w:val="bottom"/>
          </w:tcPr>
          <w:p>
            <w:pPr>
              <w:spacing w:after="0"/>
              <w:rPr>
                <w:sz w:val="1"/>
                <w:szCs w:val="1"/>
                <w:color w:val="auto"/>
              </w:rPr>
            </w:pPr>
          </w:p>
        </w:tc>
      </w:tr>
      <w:tr>
        <w:trPr>
          <w:trHeight w:val="169"/>
        </w:trPr>
        <w:tc>
          <w:tcPr>
            <w:tcW w:w="212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Stock-based compensation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expense</w:t>
            </w: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42,385</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Vested restricted stock</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7"/>
                <w:szCs w:val="17"/>
                <w:color w:val="auto"/>
              </w:rPr>
              <w:t>units converted to common</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right w:val="single" w:sz="8" w:color="auto"/>
            </w:tcBorders>
            <w:vMerge w:val="restart"/>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7"/>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1,466,010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10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242,647,604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963,520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(575,441)</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13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right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0" w:type="dxa"/>
            <w:vAlign w:val="bottom"/>
          </w:tcPr>
          <w:p>
            <w:pPr>
              <w:spacing w:after="0"/>
              <w:rPr>
                <w:sz w:val="1"/>
                <w:szCs w:val="1"/>
                <w:color w:val="auto"/>
              </w:rPr>
            </w:pPr>
          </w:p>
        </w:tc>
      </w:tr>
      <w:tr>
        <w:trPr>
          <w:trHeight w:val="169"/>
        </w:trPr>
        <w:tc>
          <w:tcPr>
            <w:tcW w:w="218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Common stock issued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8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pursuant to stock option</w:t>
            </w:r>
          </w:p>
        </w:tc>
        <w:tc>
          <w:tcPr>
            <w:tcW w:w="13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right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exercises</w:t>
            </w:r>
          </w:p>
        </w:tc>
        <w:tc>
          <w:tcPr>
            <w:tcW w:w="1380" w:type="dxa"/>
            <w:vAlign w:val="bottom"/>
            <w:gridSpan w:val="3"/>
            <w:vMerge w:val="continue"/>
          </w:tcPr>
          <w:p>
            <w:pPr>
              <w:spacing w:after="0"/>
              <w:rPr>
                <w:sz w:val="19"/>
                <w:szCs w:val="19"/>
                <w:color w:val="auto"/>
              </w:rPr>
            </w:pPr>
          </w:p>
        </w:tc>
        <w:tc>
          <w:tcPr>
            <w:tcW w:w="62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11,021,636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3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8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w:t>
            </w:r>
          </w:p>
        </w:tc>
        <w:tc>
          <w:tcPr>
            <w:tcW w:w="0" w:type="dxa"/>
            <w:vAlign w:val="bottom"/>
          </w:tcPr>
          <w:p>
            <w:pPr>
              <w:spacing w:after="0"/>
              <w:rPr>
                <w:sz w:val="1"/>
                <w:szCs w:val="1"/>
                <w:color w:val="auto"/>
              </w:rPr>
            </w:pPr>
          </w:p>
        </w:tc>
      </w:tr>
      <w:tr>
        <w:trPr>
          <w:trHeight w:val="169"/>
        </w:trPr>
        <w:tc>
          <w:tcPr>
            <w:tcW w:w="21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Stock based compensation</w:t>
            </w:r>
          </w:p>
        </w:tc>
        <w:tc>
          <w:tcPr>
            <w:tcW w:w="138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right w:val="single" w:sz="8" w:color="auto"/>
            </w:tcBorders>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expense</w:t>
            </w:r>
          </w:p>
        </w:tc>
        <w:tc>
          <w:tcPr>
            <w:tcW w:w="1380" w:type="dxa"/>
            <w:vAlign w:val="bottom"/>
            <w:gridSpan w:val="3"/>
            <w:vMerge w:val="continue"/>
            <w:shd w:val="clear" w:color="auto" w:fill="CCEEFF"/>
          </w:tcPr>
          <w:p>
            <w:pPr>
              <w:spacing w:after="0"/>
              <w:rPr>
                <w:sz w:val="20"/>
                <w:szCs w:val="20"/>
                <w:color w:val="auto"/>
              </w:rPr>
            </w:pPr>
          </w:p>
        </w:tc>
        <w:tc>
          <w:tcPr>
            <w:tcW w:w="620" w:type="dxa"/>
            <w:vAlign w:val="bottom"/>
            <w:tcBorders>
              <w:right w:val="single" w:sz="8" w:color="auto"/>
            </w:tcBorders>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41,975</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41,975</w:t>
            </w:r>
          </w:p>
        </w:tc>
        <w:tc>
          <w:tcPr>
            <w:tcW w:w="0" w:type="dxa"/>
            <w:vAlign w:val="bottom"/>
          </w:tcPr>
          <w:p>
            <w:pPr>
              <w:spacing w:after="0"/>
              <w:rPr>
                <w:sz w:val="1"/>
                <w:szCs w:val="1"/>
                <w:color w:val="auto"/>
              </w:rPr>
            </w:pPr>
          </w:p>
        </w:tc>
      </w:tr>
      <w:tr>
        <w:trPr>
          <w:trHeight w:val="169"/>
        </w:trPr>
        <w:tc>
          <w:tcPr>
            <w:tcW w:w="218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Shares issued for PIPE, net</w:t>
            </w:r>
          </w:p>
        </w:tc>
        <w:tc>
          <w:tcPr>
            <w:tcW w:w="13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right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 issuance costs</w:t>
            </w:r>
          </w:p>
        </w:tc>
        <w:tc>
          <w:tcPr>
            <w:tcW w:w="1380" w:type="dxa"/>
            <w:vAlign w:val="bottom"/>
            <w:gridSpan w:val="3"/>
            <w:vMerge w:val="continue"/>
          </w:tcPr>
          <w:p>
            <w:pPr>
              <w:spacing w:after="0"/>
              <w:rPr>
                <w:sz w:val="20"/>
                <w:szCs w:val="20"/>
                <w:color w:val="auto"/>
              </w:rPr>
            </w:pPr>
          </w:p>
        </w:tc>
        <w:tc>
          <w:tcPr>
            <w:tcW w:w="620" w:type="dxa"/>
            <w:vAlign w:val="bottom"/>
            <w:tcBorders>
              <w:right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138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197,654</w:t>
            </w:r>
          </w:p>
        </w:tc>
        <w:tc>
          <w:tcPr>
            <w:tcW w:w="8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197,659</w:t>
            </w:r>
          </w:p>
        </w:tc>
        <w:tc>
          <w:tcPr>
            <w:tcW w:w="0" w:type="dxa"/>
            <w:vAlign w:val="bottom"/>
          </w:tcPr>
          <w:p>
            <w:pPr>
              <w:spacing w:after="0"/>
              <w:rPr>
                <w:sz w:val="1"/>
                <w:szCs w:val="1"/>
                <w:color w:val="auto"/>
              </w:rPr>
            </w:pPr>
          </w:p>
        </w:tc>
      </w:tr>
      <w:tr>
        <w:trPr>
          <w:trHeight w:val="169"/>
        </w:trPr>
        <w:tc>
          <w:tcPr>
            <w:tcW w:w="21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Shares issued for acquisition</w:t>
            </w:r>
          </w:p>
        </w:tc>
        <w:tc>
          <w:tcPr>
            <w:tcW w:w="138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right w:val="single" w:sz="8" w:color="auto"/>
            </w:tcBorders>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w:t>
            </w:r>
          </w:p>
        </w:tc>
        <w:tc>
          <w:tcPr>
            <w:tcW w:w="1380" w:type="dxa"/>
            <w:vAlign w:val="bottom"/>
            <w:gridSpan w:val="3"/>
            <w:vMerge w:val="continue"/>
            <w:shd w:val="clear" w:color="auto" w:fill="CCEEFF"/>
          </w:tcPr>
          <w:p>
            <w:pPr>
              <w:spacing w:after="0"/>
              <w:rPr>
                <w:sz w:val="20"/>
                <w:szCs w:val="20"/>
                <w:color w:val="auto"/>
              </w:rPr>
            </w:pPr>
          </w:p>
        </w:tc>
        <w:tc>
          <w:tcPr>
            <w:tcW w:w="620" w:type="dxa"/>
            <w:vAlign w:val="bottom"/>
            <w:tcBorders>
              <w:right w:val="single" w:sz="8" w:color="auto"/>
            </w:tcBorders>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80,000,000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171,992</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172,000</w:t>
            </w:r>
          </w:p>
        </w:tc>
        <w:tc>
          <w:tcPr>
            <w:tcW w:w="0" w:type="dxa"/>
            <w:vAlign w:val="bottom"/>
          </w:tcPr>
          <w:p>
            <w:pPr>
              <w:spacing w:after="0"/>
              <w:rPr>
                <w:sz w:val="1"/>
                <w:szCs w:val="1"/>
                <w:color w:val="auto"/>
              </w:rPr>
            </w:pPr>
          </w:p>
        </w:tc>
      </w:tr>
      <w:tr>
        <w:trPr>
          <w:trHeight w:val="169"/>
        </w:trPr>
        <w:tc>
          <w:tcPr>
            <w:tcW w:w="218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Vested restricted stock units</w:t>
            </w: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converted to common stock</w:t>
            </w: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right w:val="single" w:sz="8" w:color="auto"/>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4,841,898</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38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620" w:type="dxa"/>
            <w:vAlign w:val="bottom"/>
            <w:tcBorders>
              <w:right w:val="single" w:sz="8" w:color="auto"/>
            </w:tcBorders>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388,511,138</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80" w:type="dxa"/>
            <w:vAlign w:val="bottom"/>
            <w:shd w:val="clear" w:color="auto" w:fill="CCEEFF"/>
          </w:tcPr>
          <w:p>
            <w:pPr>
              <w:spacing w:after="0"/>
              <w:rPr>
                <w:sz w:val="12"/>
                <w:szCs w:val="12"/>
                <w:color w:val="auto"/>
              </w:rPr>
            </w:pPr>
          </w:p>
        </w:tc>
        <w:tc>
          <w:tcPr>
            <w:tcW w:w="1380" w:type="dxa"/>
            <w:vAlign w:val="bottom"/>
            <w:gridSpan w:val="3"/>
            <w:vMerge w:val="restart"/>
            <w:shd w:val="clear" w:color="auto" w:fill="CCEEFF"/>
          </w:tcPr>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$ 1,378,088</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(1,124,421)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253,705</w:t>
            </w:r>
          </w:p>
        </w:tc>
        <w:tc>
          <w:tcPr>
            <w:tcW w:w="0" w:type="dxa"/>
            <w:vAlign w:val="bottom"/>
          </w:tcPr>
          <w:p>
            <w:pPr>
              <w:spacing w:after="0"/>
              <w:rPr>
                <w:sz w:val="1"/>
                <w:szCs w:val="1"/>
                <w:color w:val="auto"/>
              </w:rPr>
            </w:pPr>
          </w:p>
        </w:tc>
      </w:tr>
      <w:tr>
        <w:trPr>
          <w:trHeight w:val="228"/>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80" w:type="dxa"/>
            <w:vAlign w:val="bottom"/>
            <w:gridSpan w:val="3"/>
            <w:vMerge w:val="continue"/>
            <w:shd w:val="clear" w:color="auto" w:fill="CCEEFF"/>
          </w:tcPr>
          <w:p>
            <w:pPr>
              <w:spacing w:after="0"/>
              <w:rPr>
                <w:sz w:val="19"/>
                <w:szCs w:val="19"/>
                <w:color w:val="auto"/>
              </w:rPr>
            </w:pPr>
          </w:p>
        </w:tc>
        <w:tc>
          <w:tcPr>
            <w:tcW w:w="62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Holdings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(548,980)</w:t>
            </w:r>
          </w:p>
        </w:tc>
        <w:tc>
          <w:tcPr>
            <w:tcW w:w="1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(245,390)</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(241,340)</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6"/>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21,807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11,734</w:t>
            </w:r>
          </w:p>
        </w:tc>
      </w:tr>
      <w:tr>
        <w:trPr>
          <w:trHeight w:val="211"/>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219,421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120,231</w:t>
            </w:r>
          </w:p>
        </w:tc>
      </w:tr>
      <w:tr>
        <w:trPr>
          <w:trHeight w:val="206"/>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warrant and contingent liabilities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(198,401)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benefit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2,129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r>
      <w:tr>
        <w:trPr>
          <w:trHeight w:val="206"/>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loss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from purchase of business: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6"/>
        </w:trPr>
        <w:tc>
          <w:tcPr>
            <w:tcW w:w="6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(10,611)</w:t>
            </w:r>
          </w:p>
        </w:tc>
      </w:tr>
      <w:tr>
        <w:trPr>
          <w:trHeight w:val="211"/>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Inventory</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(8,979)</w:t>
            </w:r>
          </w:p>
        </w:tc>
      </w:tr>
      <w:tr>
        <w:trPr>
          <w:trHeight w:val="206"/>
        </w:trPr>
        <w:tc>
          <w:tcPr>
            <w:tcW w:w="6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r>
      <w:tr>
        <w:trPr>
          <w:trHeight w:val="211"/>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Due to/from related parties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06"/>
        </w:trPr>
        <w:tc>
          <w:tcPr>
            <w:tcW w:w="6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r>
      <w:tr>
        <w:trPr>
          <w:trHeight w:val="211"/>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w:t>
            </w:r>
          </w:p>
        </w:tc>
      </w:tr>
      <w:tr>
        <w:trPr>
          <w:trHeight w:val="206"/>
        </w:trPr>
        <w:tc>
          <w:tcPr>
            <w:tcW w:w="6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Contract liabilities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08"/>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3,239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15,960</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(319,155)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(190,434)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(93,128)</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4"/>
        </w:trPr>
        <w:tc>
          <w:tcPr>
            <w:tcW w:w="6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business, net of cash acquired</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(127,004)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(24,094)</w:t>
            </w:r>
          </w:p>
        </w:tc>
      </w:tr>
      <w:tr>
        <w:trPr>
          <w:trHeight w:val="20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 of internal-use software assets</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(141,326)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(31,974)</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4"/>
        </w:trPr>
        <w:tc>
          <w:tcPr>
            <w:tcW w:w="6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Series C redeemable convertible preferred stock, net of issuance costs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117,324</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PIPE issuance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equity infusion from the merger, net of redemptions</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442,684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Legacy Sema4 Shareholder payout</w:t>
            </w: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(230,665)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transaction costs</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Appreciation Rights payout</w:t>
            </w: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15,928</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principal payments</w:t>
            </w:r>
          </w:p>
        </w:tc>
        <w:tc>
          <w:tcPr>
            <w:tcW w:w="9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principal payments</w:t>
            </w: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w:t>
            </w:r>
          </w:p>
        </w:tc>
      </w:tr>
      <w:tr>
        <w:trPr>
          <w:trHeight w:val="22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493,729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129,056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6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(263,166)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282,509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401,469</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118,960</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115,006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179705</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54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138,303</w:t>
            </w:r>
          </w:p>
        </w:tc>
        <w:tc>
          <w:tcPr>
            <w:tcW w:w="620" w:type="dxa"/>
            <w:vAlign w:val="bottom"/>
            <w:tcBorders>
              <w:top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401,469</w:t>
            </w:r>
          </w:p>
        </w:tc>
        <w:tc>
          <w:tcPr>
            <w:tcW w:w="60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118,960</w:t>
            </w:r>
          </w:p>
        </w:tc>
      </w:tr>
      <w:tr>
        <w:trPr>
          <w:trHeight w:val="208"/>
        </w:trPr>
        <w:tc>
          <w:tcPr>
            <w:tcW w:w="6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5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1,932</w:t>
            </w:r>
          </w:p>
        </w:tc>
        <w:tc>
          <w:tcPr>
            <w:tcW w:w="6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2,751</w:t>
            </w:r>
          </w:p>
        </w:tc>
        <w:tc>
          <w:tcPr>
            <w:tcW w:w="6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54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1,241</w:t>
            </w:r>
          </w:p>
        </w:tc>
        <w:tc>
          <w:tcPr>
            <w:tcW w:w="62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349</w:t>
            </w:r>
          </w:p>
        </w:tc>
        <w:tc>
          <w:tcPr>
            <w:tcW w:w="60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consideration paid for purchase of business</w:t>
            </w:r>
          </w:p>
        </w:tc>
        <w:tc>
          <w:tcPr>
            <w:tcW w:w="5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172,000</w:t>
            </w:r>
          </w:p>
        </w:tc>
        <w:tc>
          <w:tcPr>
            <w:tcW w:w="6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expenses</w:t>
            </w:r>
          </w:p>
        </w:tc>
        <w:tc>
          <w:tcPr>
            <w:tcW w:w="54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761</w:t>
            </w:r>
          </w:p>
        </w:tc>
        <w:tc>
          <w:tcPr>
            <w:tcW w:w="60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development costs in accounts payable and accrued expenses</w:t>
            </w:r>
          </w:p>
        </w:tc>
        <w:tc>
          <w:tcPr>
            <w:tcW w:w="5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461</w:t>
            </w:r>
          </w:p>
        </w:tc>
        <w:tc>
          <w:tcPr>
            <w:tcW w:w="6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1,149</w:t>
            </w:r>
          </w:p>
        </w:tc>
        <w:tc>
          <w:tcPr>
            <w:tcW w:w="6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 incurred but unpaid</w:t>
            </w:r>
          </w:p>
        </w:tc>
        <w:tc>
          <w:tcPr>
            <w:tcW w:w="54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1,000</w:t>
            </w:r>
          </w:p>
        </w:tc>
        <w:tc>
          <w:tcPr>
            <w:tcW w:w="60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Holdings Corp.</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6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Organization and Description of Business</w:t>
      </w:r>
    </w:p>
    <w:p>
      <w:pPr>
        <w:spacing w:after="0" w:line="18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GeneDx Holdings Corp. (“GeneDx Holdings”) (formerly, Sema4 Holdings Corp. (“Sema4 Holdings”)) through its subsidiaries Sema4 OpCo, Inc., formerly Mount Sinai Genomics Inc., a Delaware corporation (“Legacy Sema4”) and GeneDx, LLC, provides genomics-related diagnostic and information services and pursues genomics medical research. GeneDx utilizes an integrated portfolio of laboratory processes, software tools and informatics capabilities to process DNA-containing samples, analyze information about patient-specific genetic variation and generate test reports for clinicians and their patients. GeneDx provides a variety of genetic diagnostic tests, and screening solutions, and information with a focus on pediatrics, rare diseases for children and adults, and hereditary cancer screening. GeneDx Holdings’ operating subsidiaries primarily serve healthcare professionals who work with their patients and bills third-party payors across the United States.</w:t>
      </w:r>
    </w:p>
    <w:p>
      <w:pPr>
        <w:spacing w:after="0" w:line="359"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On July 22, 2021 (the “Closing Date”), CM Life Sciences, Inc. (“CMLS”) completed the acquisition of Legacy Sema4, pursuant to that certain Agreement and Plan of Merger (as amended, the “Business Combination Merger Agreement”), dated February 9, 2021. On the Closing Date, S-IV Sub, Inc. merged with and into the Legacy Sema4, with Legacy Sema4 surviving the merger as a wholly-owned subsidiary of CMLS (the “Business Combination Merger” and, together with the other transactions contemplated by the Business Combination Merger Agreement, the “Business Combination”). In connection with the consummation of the Business Combination, CMLS changed its name to “Sema4 Holdings Corp.” and Legacy Sema4 changed its name to “Sema4 OpCo, Inc.” All equity securities of Legacy Sema4 were converted into the right to receive the applicable portion of the merger consideration.</w:t>
      </w:r>
    </w:p>
    <w:p>
      <w:pPr>
        <w:spacing w:after="0" w:line="120" w:lineRule="exact"/>
        <w:rPr>
          <w:sz w:val="20"/>
          <w:szCs w:val="20"/>
          <w:color w:val="auto"/>
        </w:rPr>
      </w:pPr>
    </w:p>
    <w:p>
      <w:pPr>
        <w:jc w:val="both"/>
        <w:ind w:firstLine="312"/>
        <w:spacing w:after="0" w:line="252" w:lineRule="auto"/>
        <w:rPr>
          <w:sz w:val="20"/>
          <w:szCs w:val="20"/>
          <w:color w:val="auto"/>
        </w:rPr>
      </w:pPr>
      <w:r>
        <w:rPr>
          <w:rFonts w:ascii="Times New Roman" w:cs="Times New Roman" w:eastAsia="Times New Roman" w:hAnsi="Times New Roman"/>
          <w:sz w:val="17"/>
          <w:szCs w:val="17"/>
          <w:color w:val="auto"/>
        </w:rPr>
        <w:t>The Business Combination Merger was accounted for as a reverse recapitalization with Legacy Sema4 as the accounting acquirer and CMLS as the acquired company for accounting purposes. The shares and net loss per common share, prior to the Business Combination Merger, have been retroactively restated as shares reflecting the exchange ratio established in the Business Combination Merger (1 share of Legacy Sema4 Class A common stock for 123.8339 shares of Sema4 Holdings Class A common stock (the “Class A common stock”) (the “Conversion Ratio”).</w:t>
      </w:r>
    </w:p>
    <w:p>
      <w:pPr>
        <w:spacing w:after="0" w:line="142"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Prior to the Business Combination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w:t>
      </w:r>
    </w:p>
    <w:p>
      <w:pPr>
        <w:spacing w:after="0" w:line="129"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In addition, on April 29, 2022, the Company consummated the transactions contemplated by that certain Agreement and Plan of Merger, dated as of January 14, 2022 (as amended, the “ Acquisition Merger Agreement”), by and among the Company and GeneDx, Inc. (“Legacy GeneDx”), a New Jersey corporation and wholly-owned subsidiary of OPKO Health, Inc. (“OPKO”), GeneDx Holding 2, Inc., which held 100% of Legacy GeneDx (“Holdco2”), at the Effective Time (as defined in the Acquisition Merger Agreement) and OPKO, which provided for, among other things, the acquisition of Legacy GeneDx from OPKO. After giving effect to the mergers and the other transactions contemplated by the Acquisition Merger Agreement (the “Acquisition”), Legacy GeneDx was converted into a Delaware limited liability company and became the Company’s wholly-owned indirect subsidiary. See Note 3, “Business Combination,” for additional details regarding the Business Combination and Acquisition.</w:t>
      </w:r>
    </w:p>
    <w:p>
      <w:pPr>
        <w:spacing w:after="0" w:line="15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On January 9, 2023, Sema4 Holdings Corp. changed its name to GeneDx Holdings Corp. Upon the name change, the Company’s Class A common stock and public warrants are listed on the Nasdaq under the symbols “WGS” and “WGSWW,” respectively.</w:t>
      </w:r>
    </w:p>
    <w:p>
      <w:pPr>
        <w:spacing w:after="0" w:line="108"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Unless otherwise stated herein or unless the context otherwise requires, references in these notes to the “Company,” or “GeneDx” refer to (i) Legacy Sema4 prior to the consummation of the Business Combination;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
        <w:spacing w:after="0" w:line="293" w:lineRule="auto"/>
        <w:tabs>
          <w:tab w:leader="none" w:pos="2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GeneDx Holdings and its subsidiaries following the consummation of the Business Combination (including, following the consummation of the Acquisition, Legacy GeneDx).</w:t>
      </w:r>
    </w:p>
    <w:p>
      <w:pPr>
        <w:spacing w:after="0" w:line="32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Summary of Significant Accounting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60" w:lineRule="exact"/>
        <w:rPr>
          <w:sz w:val="20"/>
          <w:szCs w:val="20"/>
          <w:color w:val="auto"/>
        </w:rPr>
      </w:pPr>
    </w:p>
    <w:p>
      <w:pPr>
        <w:jc w:val="both"/>
        <w:ind w:firstLine="312"/>
        <w:spacing w:after="0" w:line="25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accounting principles generally accepted in the United States of America (“U.S. GAAP”). The Company’s historical financial information includes costs of certain services historically provided by Icahn School of Medicine at Mount Sinai (“ISMMS”) pursuant to the Transition Services Agreement (“TSA”). These financial statements consolidate the operations and accounts of the Company and its wholly-owned subsidiaries. All intercompany accounts and transactions have been eliminated.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86"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preparation of audited consolidated financial statements in conformity with U.S. GAAP requires management to make certain estimates, judgments and assumptions that affect the reported amounts of assets and liabilities and the related disclosures at the date of the audited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capitalization of software costs, the valuation of stock-based awards, inventory, earn-out contingent liabilities and earn-out Restricted Stock Units (“RSUs”). Actual results could differ materially from those estimates, judgments and assumptions.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 and Other Risks and Uncertainties</w:t>
      </w:r>
    </w:p>
    <w:p>
      <w:pPr>
        <w:spacing w:after="0" w:line="17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primarily of cash and cash equivalents and accounts receivable. The majority of the Company’s cash, cash equivalents and restricted cash are uninsured with account balances in excess of the Federal Deposit Insurance Company limits. On March 14, 2023, we announced full access to our capital with now 100% of the Company’s cash, cash equivalents and marketable securities held in institutions designated as systematically important financial institutions.</w:t>
      </w:r>
    </w:p>
    <w:p>
      <w:pPr>
        <w:spacing w:after="0" w:line="11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1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2022 and 2021 were primarily from large managed care insurance companies. There was no individual customer that accounted for 10% or more of revenue or accounts receivable for any of the years presented. The Company does not require collateral as a means to mitigate customer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12"/>
        <w:spacing w:after="0" w:line="266" w:lineRule="auto"/>
        <w:rPr>
          <w:sz w:val="20"/>
          <w:szCs w:val="20"/>
          <w:color w:val="auto"/>
        </w:rPr>
      </w:pPr>
      <w:r>
        <w:rPr>
          <w:rFonts w:ascii="Times New Roman" w:cs="Times New Roman" w:eastAsia="Times New Roman" w:hAnsi="Times New Roman"/>
          <w:sz w:val="17"/>
          <w:szCs w:val="17"/>
          <w:color w:val="auto"/>
        </w:rPr>
        <w:t>For each significant payor group, revenue as a percentage of total revenues and accounts receivable as a percentage of total accounts receivable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40" w:type="dxa"/>
            <w:vAlign w:val="bottom"/>
            <w:gridSpan w:val="3"/>
          </w:tcPr>
          <w:p>
            <w:pPr>
              <w:jc w:val="center"/>
              <w:ind w:right="893"/>
              <w:spacing w:after="0"/>
              <w:rPr>
                <w:sz w:val="20"/>
                <w:szCs w:val="20"/>
                <w:color w:val="auto"/>
              </w:rPr>
            </w:pPr>
            <w:r>
              <w:rPr>
                <w:rFonts w:ascii="Times New Roman" w:cs="Times New Roman" w:eastAsia="Times New Roman" w:hAnsi="Times New Roman"/>
                <w:sz w:val="14"/>
                <w:szCs w:val="14"/>
                <w:b w:val="1"/>
                <w:bCs w:val="1"/>
                <w:color w:val="auto"/>
                <w:w w:val="98"/>
              </w:rPr>
              <w:t>Accounts Receivable</w:t>
            </w:r>
          </w:p>
        </w:tc>
      </w:tr>
      <w:tr>
        <w:trPr>
          <w:trHeight w:val="23"/>
        </w:trPr>
        <w:tc>
          <w:tcPr>
            <w:tcW w:w="30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r>
      <w:tr>
        <w:trPr>
          <w:trHeight w:val="182"/>
        </w:trPr>
        <w:tc>
          <w:tcPr>
            <w:tcW w:w="30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center"/>
              <w:ind w:right="87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8"/>
        </w:trPr>
        <w:tc>
          <w:tcPr>
            <w:tcW w:w="30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spacing w:after="0"/>
              <w:rPr>
                <w:sz w:val="16"/>
                <w:szCs w:val="16"/>
                <w:color w:val="auto"/>
              </w:rPr>
            </w:pPr>
          </w:p>
        </w:tc>
        <w:tc>
          <w:tcPr>
            <w:tcW w:w="960" w:type="dxa"/>
            <w:vAlign w:val="bottom"/>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40" w:type="dxa"/>
            <w:vAlign w:val="bottom"/>
            <w:gridSpan w:val="3"/>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Payor group A (1)</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left="49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221"/>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Payor group B (2)</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19"/>
                <w:szCs w:val="19"/>
                <w:color w:val="auto"/>
              </w:rPr>
            </w:pPr>
          </w:p>
        </w:tc>
        <w:tc>
          <w:tcPr>
            <w:tcW w:w="960" w:type="dxa"/>
            <w:vAlign w:val="bottom"/>
          </w:tcPr>
          <w:p>
            <w:pPr>
              <w:jc w:val="center"/>
              <w:ind w:left="517"/>
              <w:spacing w:after="0"/>
              <w:rPr>
                <w:sz w:val="20"/>
                <w:szCs w:val="20"/>
                <w:color w:val="auto"/>
              </w:rPr>
            </w:pPr>
            <w:r>
              <w:rPr>
                <w:rFonts w:ascii="Times New Roman" w:cs="Times New Roman" w:eastAsia="Times New Roman" w:hAnsi="Times New Roman"/>
                <w:sz w:val="17"/>
                <w:szCs w:val="17"/>
                <w:color w:val="auto"/>
              </w:rPr>
              <w:t>14%</w:t>
            </w:r>
          </w:p>
        </w:tc>
        <w:tc>
          <w:tcPr>
            <w:tcW w:w="2240" w:type="dxa"/>
            <w:vAlign w:val="bottom"/>
            <w:gridSpan w:val="3"/>
          </w:tcPr>
          <w:p>
            <w:pPr>
              <w:jc w:val="center"/>
              <w:ind w:left="602"/>
              <w:spacing w:after="0"/>
              <w:rPr>
                <w:sz w:val="20"/>
                <w:szCs w:val="20"/>
                <w:color w:val="auto"/>
              </w:rPr>
            </w:pPr>
            <w:r>
              <w:rPr>
                <w:rFonts w:ascii="Times New Roman" w:cs="Times New Roman" w:eastAsia="Times New Roman" w:hAnsi="Times New Roman"/>
                <w:sz w:val="17"/>
                <w:szCs w:val="17"/>
                <w:color w:val="auto"/>
                <w:w w:val="93"/>
              </w:rPr>
              <w:t>*</w:t>
            </w:r>
          </w:p>
        </w:tc>
      </w:tr>
      <w:tr>
        <w:trPr>
          <w:trHeight w:val="22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Payor group D</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7"/>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gridSpan w:val="3"/>
            <w:shd w:val="clear" w:color="auto" w:fill="CCEEFF"/>
          </w:tcPr>
          <w:p>
            <w:pPr>
              <w:jc w:val="center"/>
              <w:ind w:left="602"/>
              <w:spacing w:after="0"/>
              <w:rPr>
                <w:sz w:val="20"/>
                <w:szCs w:val="20"/>
                <w:color w:val="auto"/>
              </w:rPr>
            </w:pPr>
            <w:r>
              <w:rPr>
                <w:rFonts w:ascii="Times New Roman" w:cs="Times New Roman" w:eastAsia="Times New Roman" w:hAnsi="Times New Roman"/>
                <w:sz w:val="17"/>
                <w:szCs w:val="17"/>
                <w:color w:val="auto"/>
              </w:rPr>
              <w:t>15%</w:t>
            </w:r>
          </w:p>
        </w:tc>
      </w:tr>
      <w:tr>
        <w:trPr>
          <w:trHeight w:val="227"/>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Payor group E</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960" w:type="dxa"/>
            <w:vAlign w:val="bottom"/>
          </w:tcPr>
          <w:p>
            <w:pPr>
              <w:jc w:val="center"/>
              <w:ind w:left="517"/>
              <w:spacing w:after="0"/>
              <w:rPr>
                <w:sz w:val="20"/>
                <w:szCs w:val="20"/>
                <w:color w:val="auto"/>
              </w:rPr>
            </w:pPr>
            <w:r>
              <w:rPr>
                <w:rFonts w:ascii="Times New Roman" w:cs="Times New Roman" w:eastAsia="Times New Roman" w:hAnsi="Times New Roman"/>
                <w:sz w:val="17"/>
                <w:szCs w:val="17"/>
                <w:color w:val="auto"/>
              </w:rPr>
              <w:t>14%</w:t>
            </w:r>
          </w:p>
        </w:tc>
        <w:tc>
          <w:tcPr>
            <w:tcW w:w="2240" w:type="dxa"/>
            <w:vAlign w:val="bottom"/>
            <w:gridSpan w:val="3"/>
          </w:tcPr>
          <w:p>
            <w:pPr>
              <w:jc w:val="center"/>
              <w:ind w:left="602"/>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 w:lineRule="exact"/>
        <w:rPr>
          <w:sz w:val="20"/>
          <w:szCs w:val="20"/>
          <w:color w:val="auto"/>
        </w:rPr>
      </w:pPr>
    </w:p>
    <w:p>
      <w:pPr>
        <w:ind w:left="300" w:hanging="296"/>
        <w:spacing w:after="0"/>
        <w:tabs>
          <w:tab w:leader="none" w:pos="3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148" w:lineRule="exact"/>
        <w:rPr>
          <w:sz w:val="20"/>
          <w:szCs w:val="20"/>
          <w:color w:val="auto"/>
        </w:rPr>
      </w:pPr>
    </w:p>
    <w:p>
      <w:pPr>
        <w:ind w:left="320" w:right="200" w:hanging="316"/>
        <w:spacing w:after="0" w:line="282" w:lineRule="auto"/>
        <w:tabs>
          <w:tab w:leader="none" w:pos="20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payor group represented less than 10% of the Company’s total revenues in 2022 due primarily to a reversal of revenue related to certain overpayments previously made by this payor. Refer to Note 4, “Revenue Recognition.”</w:t>
      </w:r>
    </w:p>
    <w:p>
      <w:pPr>
        <w:spacing w:after="0" w:line="194" w:lineRule="exact"/>
        <w:rPr>
          <w:rFonts w:ascii="Times New Roman" w:cs="Times New Roman" w:eastAsia="Times New Roman" w:hAnsi="Times New Roman"/>
          <w:sz w:val="14"/>
          <w:szCs w:val="14"/>
          <w:color w:val="auto"/>
        </w:rPr>
      </w:pPr>
    </w:p>
    <w:p>
      <w:pPr>
        <w:ind w:left="320" w:right="100" w:hanging="316"/>
        <w:spacing w:after="0" w:line="282" w:lineRule="auto"/>
        <w:tabs>
          <w:tab w:leader="none" w:pos="20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payor group includes multiple individual plans and the Company calculates and presents the aggregated value from all plans, which is consistent with the Company’s portfolio approach used in accounting for diagnostic test revenue.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is subject to a concentration of risk from a limited number of suppliers for certain reagents and laboratory supplies. One supplier accounted for approximately 5%, 7% and 11% of purchases for the years ended December 31, 2022, 2021 and 2020, respectively. Another supplier accounted for approximately 12%, 11% and 10% of purchases for the years ended December 31, 2022, 2021 and 2020, respectively. This risk is managed by maintaining a target quantity of surplus stock. Alternative suppliers are available for some or all of these reagents and supplies.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w:t>
      </w:r>
    </w:p>
    <w:p>
      <w:pPr>
        <w:spacing w:after="0" w:line="19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Beginning in April 2020, the Company’s diagnostic test volumes decreased significantly as compared to the prior year as a result of the initial outbreak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Test volumes have since improved to what would, at this time, be considered normalized market conditions. A COVID-19 resurgence in the United States could however have a material impact on the Company’s consolidated results of operations, cash flows and financial condition.</w:t>
      </w:r>
    </w:p>
    <w:p>
      <w:pPr>
        <w:spacing w:after="0" w:line="11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within the consolidated balance sheets as of December 31, 2022 and December 31, 2021.</w:t>
      </w:r>
    </w:p>
    <w:p>
      <w:pPr>
        <w:spacing w:after="0" w:line="13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During 2021, the Company received an additional $5.6 million under the PRF distribution, which was recognized in other income in the consolidated statements of operations and comprehensive loss.</w:t>
      </w:r>
    </w:p>
    <w:p>
      <w:pPr>
        <w:spacing w:after="0" w:line="82"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Additionally, under the CARES Act, the Company deferred payment of U.S. social security taxes in 2020. As a result, $3.8 million of employer payroll tax payments were initially deferred as of December 31, 2020 with $1.9 million paid in both December 2021 and December 2022 with no remaining liability as of December 31, 2022.</w:t>
      </w:r>
    </w:p>
    <w:p>
      <w:pPr>
        <w:spacing w:after="0" w:line="124"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Following the Company’s announcement that it would discontinue COVID-19 testing services by March 31, 2022, the Company no longer provides COVID-19 testing services. During the year ended December 31, 2022, the Company wrote off an accounts receivable balance of $0.4 million related to COVID-19 testing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7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1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on the consolidated balance sheets that sum to the total of the same amounts shown on the consolidated statements of cash flows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400,569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108,132</w:t>
            </w:r>
          </w:p>
        </w:tc>
      </w:tr>
      <w:tr>
        <w:trPr>
          <w:trHeight w:val="22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10,828</w:t>
            </w:r>
          </w:p>
        </w:tc>
      </w:tr>
      <w:tr>
        <w:trPr>
          <w:trHeight w:val="23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401,469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118,960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 xml:space="preserve">Restricted cash as of December 31, 2022 includes $13.5 million held in escrow as restricted cash related to the closing of the Acquisition of Legacy GeneDx. The escrow amount is to be held for a period of 12 months following the closing date of the Acquisition as a fund for OPKO’s indemnification obligations pursuant to the Acquisition Merger Agreement. In addition, restricted cash, non-current, as of December 31, 2022 consists of money market deposit accounts that secure an irrevocable standby letter of credit that serves as collateral for security deposit operating leases (see Note 9,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73"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7"/>
          <w:szCs w:val="17"/>
          <w:color w:val="auto"/>
        </w:rPr>
        <w:t>Accounts receivable consists of amounts due from customers and third-party payors for services performed and reflect the consideration to which the Company expects to be entitled in exchange for providing those services. Accounts receivable is estimated and recorded in the period the related revenue is recorded. During the years ended December 31, 2022 and 2021, the Company did not record provisions for doubtful accounts. The Company did not write off any accounts receivable balances for the years ended December 31, 2022 and 2021, and $0.2 million of accounts receivable was written off for the year ended December 31, 2020.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net</w:t>
      </w:r>
    </w:p>
    <w:p>
      <w:pPr>
        <w:spacing w:after="0" w:line="173"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Inventory, net, which primarily consists of finished goods such as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During the fourth quarter of 2022, the Company identified indicators of impairment specifically with the planned exit and discontinuance of testing for Legacy Sema4. Certain inventory testing supplies and reagents have been or are being liquidated or disposed of rather than used to produce revenue. As a result, the Company recorded a $22.5 million impairment charge within impairment loss in the Company’s consolidated statements of operations and comprehensive loss for the year ended December 31, 2022. There was no impairment loss recorded for the years ended December 31, 2021 and December 31, 2020.</w:t>
      </w:r>
    </w:p>
    <w:p>
      <w:pPr>
        <w:spacing w:after="0" w:line="33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Additionally, in the normal course of business the Company recorded a reserve offsetting inventory in the consolidated balance sheets, for excess and obsolete inventory of $1.1 million and $2.1 million for the years ended December 31, 2022 and December 31, 2021,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7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Property and equipment, net are stated at cost less accumulated depreciation and amortization. Equipment includes assets under finance lease. Improvements are capitalized, while maintenance and repairs are expensed as incurred. When assets are retired or otherwise disposed of, the cost and accumulated depreciation and amortization are removed from the consolidated balance sheets and any resulting gain or loss is reflected in the consolidated statements of operations and comprehensive loss in the period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Finance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9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 xml:space="preserve">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During the fourth quarter of 2022, the Company identified indicators that it is more likely than not that the fair value of certain asset groups was less than their carrying value, see Note 6, </w:t>
      </w:r>
      <w:r>
        <w:rPr>
          <w:rFonts w:ascii="Times New Roman" w:cs="Times New Roman" w:eastAsia="Times New Roman" w:hAnsi="Times New Roman"/>
          <w:sz w:val="17"/>
          <w:szCs w:val="17"/>
          <w:i w:val="1"/>
          <w:iCs w:val="1"/>
          <w:color w:val="auto"/>
        </w:rPr>
        <w:t>“Property and Equipment, net.”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99"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as goodwill. The use of alternative valuation assumptions, including estimated revenue projections, growth rates,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60" w:lineRule="exact"/>
        <w:rPr>
          <w:sz w:val="20"/>
          <w:szCs w:val="20"/>
          <w:color w:val="auto"/>
        </w:rPr>
      </w:pPr>
    </w:p>
    <w:p>
      <w:pPr>
        <w:jc w:val="both"/>
        <w:ind w:firstLine="312"/>
        <w:spacing w:after="0" w:line="245" w:lineRule="auto"/>
        <w:rPr>
          <w:sz w:val="20"/>
          <w:szCs w:val="20"/>
          <w:color w:val="auto"/>
        </w:rPr>
      </w:pPr>
      <w:r>
        <w:rPr>
          <w:rFonts w:ascii="Times New Roman" w:cs="Times New Roman" w:eastAsia="Times New Roman" w:hAnsi="Times New Roman"/>
          <w:sz w:val="17"/>
          <w:szCs w:val="17"/>
          <w:color w:val="auto"/>
        </w:rPr>
        <w:t xml:space="preserve">In accordance with ASC 350, Intangibles-Goodwill and Other (“ASC 350”), the Company’s goodwill is not amortized but is tested for impairment on an annual basis or whenever events or changes in circumstances indicate that the carrying amount of these assets may not be recoverable. Under ASC 350, the Company will perform annual impairment reviews of goodwill during the fourth fiscal quarter or more frequently if business factors indicate. In the fourth quarter of 2022, the Company identified indicators of impairment that indicate that it is more likely than not that the fair value of a reporting unit is less than its carrying value and as a result goodwill was fully written off with $174.5 million recorded within impairment loss in the Company’s consolidated statements of operations and comprehensive loss for the year ended December 31, 2022, see Note 18, </w:t>
      </w:r>
      <w:r>
        <w:rPr>
          <w:rFonts w:ascii="Times New Roman" w:cs="Times New Roman" w:eastAsia="Times New Roman" w:hAnsi="Times New Roman"/>
          <w:sz w:val="17"/>
          <w:szCs w:val="17"/>
          <w:i w:val="1"/>
          <w:iCs w:val="1"/>
          <w:color w:val="auto"/>
        </w:rPr>
        <w:t>“Goodwill and Intangible Assets.”</w:t>
      </w:r>
      <w:r>
        <w:rPr>
          <w:rFonts w:ascii="Times New Roman" w:cs="Times New Roman" w:eastAsia="Times New Roman" w:hAnsi="Times New Roman"/>
          <w:sz w:val="17"/>
          <w:szCs w:val="17"/>
          <w:color w:val="auto"/>
        </w:rPr>
        <w:t xml:space="preserve"> There was no goodwill for the years ended December 31, 2021 and December 31, 2020.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8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Amortizable intangible assets include trade names and trademarks, developed technology and customer relationships acquired as part of business combinations. Intangible assets acquired through our business combinations in the second quarter of 2022 are amortized on a straight line basis. All intangible assets subject to amortization are reviewed for impairment in accordance with ASC 360, Property, Plant and Equipment. There were no impairment losses recorded on intangible assets for any periods presented.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w:t>
      </w:r>
    </w:p>
    <w:p>
      <w:pPr>
        <w:spacing w:after="0" w:line="199"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The Company capitalizes certain costs incurred related to the development of our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 In the fourth quarter of 2022, the Company identified indicators of impairment that the carrying value of the capitalized software may not be recoverable. As a result, certain costs previously capitalized were written down with $8.7 million recorded within cost of services, research and development and general and administrative expenses in the Company’s consolidated statements of operations and comprehensive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Cloud Computing</w:t>
      </w:r>
    </w:p>
    <w:p>
      <w:pPr>
        <w:spacing w:after="0" w:line="19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 During the year ended December 31, 2022, $0.3 million of implementation costs are capitalized and recorded in other current and non-current assets for amortization.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7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 Observable inputs such as quoted prices (unadjusted) in active markets that are accessible at the measurement date for identical assets or liabilities.</w:t>
      </w:r>
    </w:p>
    <w:p>
      <w:pPr>
        <w:spacing w:after="0" w:line="169" w:lineRule="exact"/>
        <w:rPr>
          <w:sz w:val="20"/>
          <w:szCs w:val="20"/>
          <w:color w:val="auto"/>
        </w:rPr>
      </w:pPr>
    </w:p>
    <w:p>
      <w:pPr>
        <w:ind w:left="320"/>
        <w:spacing w:after="0" w:line="296"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 Observable inputs such as quoted prices for similar instruments in active markets, quoted prices for identical or similar instruments in markets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not active or model-derived valuations whose significant inputs are observable.</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Unobservable inputs that are significant to the measurement of fair value but are supported by little to no market data.</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Company’s financial assets and liabilities consist of cash and cash equivalents, restricted cash, accounts receivable, accounts payable, accrued liabilities, and long-term debt. The Company’s cash and cash equivalents, restricted cash, accounts receivable, accounts payable and accrued liabilities approximate their fair value due to the relatively short-term nature of these accounts.</w:t>
      </w:r>
    </w:p>
    <w:p>
      <w:pPr>
        <w:spacing w:after="0" w:line="1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loan from the Connecticut Department of Economic and Community Development is classified within level 2 of the fair value hierarchy. As of December 31, 2022, this loan is recorded at its carrying value of $11.0 million in the consolidated balance sheet. The fair value is $4.9 million, which is estimated based on discounted cash flows using the yields of similar debt instruments of other companies with similar credit profiles.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86"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As of the consummation of the Merger in July 2021, there were 21,995,000 warrants to purchase shares of Class A common stock outstanding, including 14,758,333 public warrants and 7,236,667 private placement warrants. As of December 31, 2022 and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may redeem the outstanding public warrants if the price per share of the Class A common stock equals or exceeds $18.00 as described below:</w:t>
      </w:r>
    </w:p>
    <w:p>
      <w:pPr>
        <w:spacing w:after="0" w:line="195" w:lineRule="exact"/>
        <w:rPr>
          <w:sz w:val="20"/>
          <w:szCs w:val="20"/>
          <w:color w:val="auto"/>
        </w:rPr>
      </w:pPr>
    </w:p>
    <w:p>
      <w:pPr>
        <w:ind w:left="620" w:hanging="304"/>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18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194"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may redeem the outstanding public warrants if the price per share of the common stock equals or exceeds $10.00 as described below:</w:t>
      </w:r>
    </w:p>
    <w:p>
      <w:pPr>
        <w:spacing w:after="0" w:line="247" w:lineRule="exact"/>
        <w:rPr>
          <w:sz w:val="20"/>
          <w:szCs w:val="20"/>
          <w:color w:val="auto"/>
        </w:rPr>
      </w:pPr>
    </w:p>
    <w:p>
      <w:pPr>
        <w:ind w:left="620" w:hanging="304"/>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168"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95"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5"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24"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6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Consideration (Legacy GeneDx)</w:t>
      </w:r>
    </w:p>
    <w:p>
      <w:pPr>
        <w:spacing w:after="0" w:line="18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connection with the Acquisition of Legacy GeneDx, up to $150 million of contingent payments will be payable to OPKO in cash and/or shares of Company’s Class A common stock with such mix to be determined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Company’s sole discretion, based upon achievement of 2022 and 2023 revenue milestones, pursuant to the Acquisition Merger Agreement (the “Milestone Payments”). If the Company elects to pay in shares of Class A common stock, the Acquisition Merger Agreement provides that the shares issues are to be valued at a fixed $4.86 per share for a maximum of 30.9 million shares.</w:t>
      </w:r>
    </w:p>
    <w:p>
      <w:pPr>
        <w:spacing w:after="0" w:line="137"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Subject to the terms and conditions of the Acquisition Merger Agreement, (a) the first Milestone Payment of $112.5 million will become due and payable if the revenue of the Legacy GeneDx group for the fiscal year 2022 equals or exceeds $163 million and (b) the second Milestone Payment of $37.5 million will become due and payable if the revenue of the Legacy GeneDx group for the fiscal year 2023 equals or exceeds $219 million (each of clauses (a) and (b), a “Milestone Event”); provided that 80% of the Milestone Payment for the first milestone period or the second milestone period, as applicable, will become payable in respect of such period if the Legacy GeneDx group achieves 90% of the applicable Milestone Event revenue target for such period, which amount will scale on a linear basis up to 100% of the applicable Milestone Payment at 100% of the applicable revenue target. The milestone payments would require issuance of shares of Company’s Class A common stock up to 23.2 million shares and 7.7 million shares for the first Milestone Payment and second Milestone Payment, respectively. The fair value of the Milestone Payment is classified within level 3 of the fair value hierarchy. As of December 31, 2022, the fair value of the second Milestone Payment was determined to be $1.6 million, which is estimated using a Monte Carlo simulation valuation model and assuming the Company will pay the earn-out in shares. The total liability as of December 31, 2022, is $7.6 million, $6.0 million of which represents the fair value of the first Milestone Payment which was already earned and is expected to be paid via issuance of shares of Company’s Class A common stock based on the results of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Earn-out contingent liability</w:t>
      </w:r>
    </w:p>
    <w:p>
      <w:pPr>
        <w:spacing w:after="0" w:line="186"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356"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$0.9 million and $0.2 million in relation to the earn-out RSU for the years ended December 31, 2022 and 2021, respectively.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14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fair value of the earn-out RSUs are classified within level 3 of the fair value hierarchy and the estimated fair value is determined using a Monte Carlo valuation analysis.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7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stock on the grant date. The Company uses the Black-Scholes option-pricing model to estimate the fair value of its stock option awards.</w:t>
      </w:r>
    </w:p>
    <w:p>
      <w:pPr>
        <w:spacing w:after="0" w:line="169"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Company issues new shares upon share option exercise and vesting of a restricted share unit. Forfeitures of stock-based compensation are recognized as they occur.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60" w:lineRule="exact"/>
        <w:rPr>
          <w:sz w:val="20"/>
          <w:szCs w:val="20"/>
          <w:color w:val="auto"/>
        </w:rPr>
      </w:pPr>
    </w:p>
    <w:p>
      <w:pPr>
        <w:ind w:right="140" w:firstLine="312"/>
        <w:spacing w:after="0" w:line="249"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20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Company recognizes tax benefits from uncertain tax positions only if it is more likely than not, based on technical merits, that the position will be sustained upon examination by the appropriate taxing authorities. The amount of tax benefit recognized for an uncertain tax position is the largest that is more than 50 percent likelihood to be realized upon ultimate settlement. The Company records interest and penalties related to tax uncertainties, where appropriate, in income tax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73"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Under ASU 2016-02, Leases (ASC 842), the Company determines if an arrangement is or contains a lease at inception. A lease qualifies as a finance lease if any of the following criteria are met at the inception of the lease: (i) there is a transfer of ownership of the leased asset to the Company by the end of the lease term, (ii) the Company holds an option to purchase the leased asset that the Company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classified as operating leases.</w:t>
      </w:r>
    </w:p>
    <w:p>
      <w:pPr>
        <w:spacing w:after="0" w:line="120"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Right-of-use assets (ROU assets) represent the Company’s right to use an underlying asset for the lease term and lease liabilities represent the Company’s obligation to make lease payments arising from the lease. Operating and finance lease ROU assets and liabilities are recognized at the lease commencement date based on the present value of lease payments over the lease term. The Company does not recognize a ROU asset or lease liability for leases with a term of 12 months or less and does not include variable costs, which are based on actual usage, in the measurement of ROU assets and lease liabilities. The ROU assets include any lease payments made prior to the commencement date and initial direct costs incurred and excludes lease incentives received. ROU assets are subsequently assessed for impairment in accordance with the Company’s accounting policy for long-lived assets.</w:t>
      </w:r>
    </w:p>
    <w:p>
      <w:pPr>
        <w:spacing w:after="0" w:line="12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w:t>
      </w:r>
    </w:p>
    <w:p>
      <w:pPr>
        <w:spacing w:after="0" w:line="11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 recognizes lease expense for operating leases on a straight-line basis over the lease term, which may include options to extend or terminate the lease when it is reasonably certain that the Company will exercise such options. Variable costs are expensed when the event determining the amount of variable consideration to be paid occurs. Interest expense for finance leases is recognized based on the accretion of the lease liability.</w:t>
      </w:r>
    </w:p>
    <w:p>
      <w:pPr>
        <w:spacing w:after="0" w:line="11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 xml:space="preserve">The Company has operating and finance lease arrangements with lease and non-lease components. The Company accounts for lease and non-lease components as a single lease component for all leases. In the fourth quarter of 2022, the Company identified indicators of impairment that indicate that it is more likely than not that the fair value of a reporting unit is less than its carrying value, see Note 9,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 xml:space="preserve">The Company adopted Accounting Standards Codification (“ASC”) Topic 606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Diagnostic test revenue</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1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1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16"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18"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For institutional clients, the customer is the institution. The Company determines the transaction price associated with services rendered in accordance with the contractual rates established with each customer.</w:t>
      </w:r>
    </w:p>
    <w:p>
      <w:pPr>
        <w:spacing w:after="0" w:line="95"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revenue</w:t>
      </w:r>
    </w:p>
    <w:p>
      <w:pPr>
        <w:spacing w:after="0" w:line="171"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Company enters into both short-term and long-term project-based collaboration and service agreements with customers. Certain of these contracts include a license to directly access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Certain of these contracts include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20"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186"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Historically, the Company operated in one segment. During 2022, with the Acquisition of Legacy GeneDx, the change in Chief Operating Decision Maker (“CODM”) and the announced exit from the majority of the Legacy Sema4 diagnostics operations, the Company’s CODM began to evaluate the Company’s business separately for GeneDx, inclusive of Legacy GeneDx and Legacy Sema4 data revenues and associated costs and corporate support costs, and the existing Legacy Sema4 diagnostics business during the fourth quarter of 2022. As a result, the Company has concluded that two reportable segments exist and have been presented for 2022. The majority of the Company’s operations for 2021 and 2022 are included in the Legacy Sema4 segment and the majority of the GeneDx segment for 2022 was resultant from the 2022 Acquisition, and thus did not exist within the Company’s consolidated results for 2021 and 2020. As a result, the Company has not presented segments for 2021 and 2020. See Note 17,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for 2022 segment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w:t>
      </w:r>
    </w:p>
    <w:p>
      <w:pPr>
        <w:spacing w:after="0" w:line="19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8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Company adopted ASU No. 2016-02, Leases (ASC 842) on January 1, 2022 using the modified retrospective method. The Company also elected to use the package of practical expedients permitted under the transition guidance which allows for the carry forward of historical lease classification for existing leases on the adoption date and does not require the assessment of existing lease contracts to determine whether the contracts contain a lease or initial direct costs. Prior periods were not retrospectively adjusted.</w:t>
      </w:r>
    </w:p>
    <w:p>
      <w:pPr>
        <w:spacing w:after="0" w:line="12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adoption of this standard as of January 1, 2022, resulted in the recognition of operating lease ROU assets in the amount of $39.2 million and operating lease liabilities in the amount of $42.2 million. The adoption did not have material impact on finance leases. The adoption did not have material impact on the consolidated statements of operations and comprehensive loss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adopted ASU 2021-10 effective January 1, 2022. The Company did not receive any such grants during the year ended December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99"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June 2016, the FASB issued ASU 2016-13, Financial Instruments – Credit Losses (Topic 326): Measurement of Credit Losses on Financial Instruments (“ASU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guidance was adopted by the Company as of January 1, 2023. The Company is currently evaluating the impact of the new guidance on its consolidated financial statements and related disclosures.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Business Combination</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discussed in Note 1, on July 22, 2021, the Company consummated the Business Combination and received net cash proceeds of $510.0 million.</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Pursuant to the Business Combination, the following occurred:</w:t>
      </w:r>
    </w:p>
    <w:p>
      <w:pPr>
        <w:spacing w:after="0" w:line="182" w:lineRule="exact"/>
        <w:rPr>
          <w:sz w:val="20"/>
          <w:szCs w:val="20"/>
          <w:color w:val="auto"/>
        </w:rPr>
      </w:pPr>
    </w:p>
    <w:p>
      <w:pPr>
        <w:jc w:val="both"/>
        <w:ind w:left="620" w:hanging="304"/>
        <w:spacing w:after="0" w:line="274" w:lineRule="auto"/>
        <w:tabs>
          <w:tab w:leader="none" w:pos="6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12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CMLS’s Class B common stock was automatically converted into common stock of the Company.</w:t>
      </w:r>
    </w:p>
    <w:p>
      <w:pPr>
        <w:spacing w:after="0" w:line="168"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15"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111" w:lineRule="exact"/>
        <w:rPr>
          <w:rFonts w:ascii="Times New Roman" w:cs="Times New Roman" w:eastAsia="Times New Roman" w:hAnsi="Times New Roman"/>
          <w:sz w:val="17"/>
          <w:szCs w:val="17"/>
          <w:color w:val="auto"/>
        </w:rPr>
      </w:pPr>
    </w:p>
    <w:p>
      <w:pPr>
        <w:ind w:left="620" w:hanging="304"/>
        <w:spacing w:after="0" w:line="293" w:lineRule="auto"/>
        <w:tabs>
          <w:tab w:leader="none" w:pos="6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12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GeneDx Acquisition</w:t>
      </w:r>
    </w:p>
    <w:p>
      <w:pPr>
        <w:spacing w:after="0" w:line="186"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As discussed in Note 1, on April 29, 2022, the Company completed the Acquisition of Legacy GeneDx. At the closing of the Acquisition, the Company paid OPKO cash consideration of $140.5 million (net of transaction expenses and other customary purchase price adjustments) and issued to OPKO 80 million shares of the Company’s Class A common stock ($172 million based on the closing date share price of $2.15 per share). A portion of this cash ($13.4 million) and share consideration (8.3 million shares) will be held in escrow for 12 months following the closing date of the Acquisition. In addition, up to $150 million is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the Company’s Class A common stock (valued at a fixed $4.86 per share, subject to adjustment for stock splits and similar changes), with such mix to be determined in the Company’s sole discretion. As of the acquisition date, the fair value of the earn-out was determined to be $52.0 million and was included in the aggregate purchase price of $364.5 million. Concurrently with the closing of the Acquisition, the Company also issued and sold in private placement 50,000,000 shares of the Company’s Class A common stock to certain institutional investors for aggregate gross proceeds of $200 million (the “Acquisition PIPE Investment”).</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net purchase price and the fair values of the assets and liabilities of GeneDx on a preliminary basis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receivables</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21,651</w:t>
            </w:r>
          </w:p>
        </w:tc>
      </w:tr>
      <w:tr>
        <w:trPr>
          <w:trHeight w:val="22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6,210</w:t>
            </w:r>
          </w:p>
        </w:tc>
      </w:tr>
      <w:tr>
        <w:trPr>
          <w:trHeight w:val="221"/>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w:t>
            </w:r>
          </w:p>
        </w:tc>
      </w:tr>
      <w:tr>
        <w:trPr>
          <w:trHeight w:val="22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21"/>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29,509</w:t>
            </w:r>
          </w:p>
        </w:tc>
      </w:tr>
      <w:tr>
        <w:trPr>
          <w:trHeight w:val="22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w:t>
            </w:r>
          </w:p>
        </w:tc>
      </w:tr>
      <w:tr>
        <w:trPr>
          <w:trHeight w:val="221"/>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 and trademarks</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2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48,000</w:t>
            </w:r>
          </w:p>
        </w:tc>
      </w:tr>
      <w:tr>
        <w:trPr>
          <w:trHeight w:val="221"/>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98,000</w:t>
            </w:r>
          </w:p>
        </w:tc>
      </w:tr>
      <w:tr>
        <w:trPr>
          <w:trHeight w:val="22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(12,862)</w:t>
            </w:r>
          </w:p>
        </w:tc>
      </w:tr>
      <w:tr>
        <w:trPr>
          <w:trHeight w:val="221"/>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(15,781)</w:t>
            </w:r>
          </w:p>
        </w:tc>
      </w:tr>
      <w:tr>
        <w:trPr>
          <w:trHeight w:val="22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(51,779)</w:t>
            </w:r>
          </w:p>
        </w:tc>
      </w:tr>
      <w:tr>
        <w:trPr>
          <w:trHeight w:val="221"/>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(5,798)</w:t>
            </w:r>
          </w:p>
        </w:tc>
      </w:tr>
      <w:tr>
        <w:trPr>
          <w:trHeight w:val="214"/>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net assets acquired</w:t>
            </w: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178,605</w:t>
            </w:r>
          </w:p>
        </w:tc>
      </w:tr>
      <w:tr>
        <w:trPr>
          <w:trHeight w:val="221"/>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 (1)</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185,871</w:t>
            </w:r>
          </w:p>
        </w:tc>
      </w:tr>
      <w:tr>
        <w:trPr>
          <w:trHeight w:val="239"/>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purchase price</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364,476</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316"/>
        <w:spacing w:after="0" w:line="296" w:lineRule="auto"/>
        <w:tabs>
          <w:tab w:leader="none" w:pos="56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Goodwill represents the excess of the purchase price over the fair value of the net tangible and intangible assets acquired. see Note 18, </w:t>
      </w:r>
      <w:r>
        <w:rPr>
          <w:rFonts w:ascii="Times New Roman" w:cs="Times New Roman" w:eastAsia="Times New Roman" w:hAnsi="Times New Roman"/>
          <w:sz w:val="17"/>
          <w:szCs w:val="17"/>
          <w:i w:val="1"/>
          <w:iCs w:val="1"/>
          <w:color w:val="auto"/>
        </w:rPr>
        <w:t>“Goodwill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Intangible Assets” </w:t>
      </w:r>
      <w:r>
        <w:rPr>
          <w:rFonts w:ascii="Times New Roman" w:cs="Times New Roman" w:eastAsia="Times New Roman" w:hAnsi="Times New Roman"/>
          <w:sz w:val="17"/>
          <w:szCs w:val="17"/>
          <w:color w:val="auto"/>
        </w:rPr>
        <w:t>for more detail.</w:t>
      </w:r>
    </w:p>
    <w:p>
      <w:pPr>
        <w:spacing w:after="0" w:line="105"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 xml:space="preserve">The amounts above represent the preliminary fair value estimates and the Company has identified certain adjustments during the measurement period that are primarily related to the Legacy GeneDx accrued expenses that do not represent GeneDx’s assumed liabilities. These measurement period adjustments are reflected in the goodwill balance and shown in Note 18, </w:t>
      </w:r>
      <w:r>
        <w:rPr>
          <w:rFonts w:ascii="Times New Roman" w:cs="Times New Roman" w:eastAsia="Times New Roman" w:hAnsi="Times New Roman"/>
          <w:sz w:val="17"/>
          <w:szCs w:val="17"/>
          <w:i w:val="1"/>
          <w:iCs w:val="1"/>
          <w:color w:val="auto"/>
        </w:rPr>
        <w:t>“Goodwill and Intangible Assets.”</w:t>
      </w:r>
      <w:r>
        <w:rPr>
          <w:rFonts w:ascii="Times New Roman" w:cs="Times New Roman" w:eastAsia="Times New Roman" w:hAnsi="Times New Roman"/>
          <w:sz w:val="17"/>
          <w:szCs w:val="17"/>
          <w:color w:val="auto"/>
        </w:rPr>
        <w:t xml:space="preserve"> Further adjustments may be made as the Company obtains additional information during the remaining measurement period and finalizes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estimates. Specifically, the Company is still in the process of reviewing and finalizing the net working capital adjustment with OPKO. Upon final agreement, the Company may have further adjustments.</w:t>
      </w:r>
    </w:p>
    <w:p>
      <w:pPr>
        <w:spacing w:after="0" w:line="12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Increases or decreases in the estimated fair values of the net assets acquired may impact the Company’s consolidated statements of operations and comprehensive loss in future periods. The Company expects that the values assigned to the assets acquired and liabilities assumed will be finalized during the one-year measurement period following the Acquisition closing date.</w:t>
      </w:r>
    </w:p>
    <w:p>
      <w:pPr>
        <w:spacing w:after="0" w:line="11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For the year ended December 31, 2022, $12.1 million of Legacy GeneDx Acquisition-related costs are reflected within general and administrative expenses in the Company’s consolidated statements of operations and comprehensive loss. These costs include third-party professional firms’ services related to due diligence, advisory and legal services. The Company’s consolidated results include $116.4 million of revenue and $(25.9) million of pretax loss for the year ended December 31, 2022 from Legacy GeneDx.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 forma financial information</w:t>
      </w:r>
    </w:p>
    <w:p>
      <w:pPr>
        <w:spacing w:after="0" w:line="173"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pro forma information below gives effect to the Acquisition as if it had been completed on January 1, 2021 (“the pro forma acquisition date”). The pro forma information is not necessarily indicative of the Company’s revenue results had the Acquisition been completed on the pro forma acquisition date, nor is it necessarily indicative of the Company’s future results. The pro forma revenue information reflects Legacy GeneDx’s historic revenue and does not include any additional revenue opportunities following the Acquisition. The purchase price allocations for the assets acquired and liabilities assumed are based on preliminary valuations and are subject to change as the Company obtains additional information during the acquisition measurement period. Increases or decreases in the estimated fair values of the net assets acquired may impact the Company’s consolidated statements of operations and comprehensive loss in future periods. The Company expects that the values assigned to the assets acquired and liabilities assumed will be finalized during the one-year measurement period following the Acquisition closing date. The pro forma revenues and net loss include the following adjustments based on the Company’s preliminary analysis and are subject to change as additional analysis is performed:</w:t>
      </w:r>
    </w:p>
    <w:p>
      <w:pPr>
        <w:spacing w:after="0" w:line="123" w:lineRule="exact"/>
        <w:rPr>
          <w:sz w:val="20"/>
          <w:szCs w:val="20"/>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revised amortization expense resulting from the acquired intangible assets,</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 intercompany revenue recognized by Legacy GeneDx with OPKO or other related parties,</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benefits resulting from the deferred tax liabilities acquired, and</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revised stock based compensation reflecting the inducement awards issued to the Legacy GeneDx employees.</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84"/>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4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2"/>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2022 (in thousands)</w:t>
            </w:r>
          </w:p>
        </w:tc>
        <w:tc>
          <w:tcPr>
            <w:tcW w:w="20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2021 (in thousands)</w:t>
            </w:r>
          </w:p>
        </w:tc>
      </w:tr>
      <w:tr>
        <w:trPr>
          <w:trHeight w:val="220"/>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 forma revenues</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282,959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326,720</w:t>
            </w:r>
          </w:p>
        </w:tc>
      </w:tr>
      <w:tr>
        <w:trPr>
          <w:trHeight w:val="143"/>
        </w:trPr>
        <w:tc>
          <w:tcPr>
            <w:tcW w:w="4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2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 forma net loss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(252,506)</w:t>
            </w:r>
          </w:p>
        </w:tc>
      </w:tr>
    </w:tbl>
    <w:p>
      <w:pPr>
        <w:spacing w:after="0" w:line="216"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For year ended December 31, 2022 and 2021 pro forma revenues combine the Company and Legacy GeneDx and included Legacy GeneDx revenue of $165.2 million and $118.3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Revenue Recognition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Disaggregated 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disaggregated revenue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Diagnostic test revenue:</w:t>
            </w: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1"/>
        </w:trPr>
        <w:tc>
          <w:tcPr>
            <w:tcW w:w="6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Patients with third-party insurance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173,624</w:t>
            </w:r>
          </w:p>
        </w:tc>
        <w:tc>
          <w:tcPr>
            <w:tcW w:w="1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169,576</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138,153</w:t>
            </w:r>
          </w:p>
        </w:tc>
      </w:tr>
      <w:tr>
        <w:trPr>
          <w:trHeight w:val="221"/>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Institutional customers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35,200</w:t>
            </w:r>
          </w:p>
        </w:tc>
      </w:tr>
      <w:tr>
        <w:trPr>
          <w:trHeight w:val="221"/>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Self-pay patients</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w:t>
            </w:r>
          </w:p>
        </w:tc>
      </w:tr>
      <w:tr>
        <w:trPr>
          <w:trHeight w:val="25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diagnostic test revenue</w:t>
            </w:r>
          </w:p>
        </w:tc>
        <w:tc>
          <w:tcPr>
            <w:tcW w:w="9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205,100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175,351</w:t>
            </w:r>
          </w:p>
        </w:tc>
      </w:tr>
      <w:tr>
        <w:trPr>
          <w:trHeight w:val="26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9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7,095</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3,971</w:t>
            </w:r>
          </w:p>
        </w:tc>
      </w:tr>
      <w:tr>
        <w:trPr>
          <w:trHeight w:val="23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212,195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179,322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Reassessment of variable consideration</w:t>
      </w:r>
    </w:p>
    <w:p>
      <w:pPr>
        <w:spacing w:after="0" w:line="18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2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2022, a change in estimate included a decrease in revenue related to a payor, as further disclosed in the “—Certain payor matters” below, for tests in which the performance obligation of delivering the test results was met in prior periods. The decrease was further offset by other upward adjustments made for tests in which the performance obligation of delivering the test results was met in prior periods related to other payors.</w:t>
      </w:r>
    </w:p>
    <w:p>
      <w:pPr>
        <w:spacing w:after="0" w:line="124"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During 2022, the Company recorded $54.0 million to decrease revenue resulting from changes in the estimated transaction price due to contractual adjustments, obtaining updated information from payors and patients that was unknown at the time the performance obligation was met and potential and actual settlements with third party payors. As described in more detail below, third-party payors may decide to deny payment or seek to recoup payments for tests performed by the Company for a number of reasons and, as a result, the Company may be required to refund payments previously received, and the Company’s revenues may be subject to retroactive adjustment as a result. The Company processes requests for recoupment from third-party payors in the ordinary course of its business and reflects in the Company’s transaction price estimations. See “—Certain payor matters” below for further details regarding an ongoing matter related to certain overpayments the Company allegedly received from a third-party payor; the Company has established certain liabilities and reversed certain of its previously recorded revenue as a result of this matter and other potential settlements with payors.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payor matters</w:t>
      </w:r>
    </w:p>
    <w:p>
      <w:pPr>
        <w:spacing w:after="0" w:line="186" w:lineRule="exact"/>
        <w:rPr>
          <w:sz w:val="20"/>
          <w:szCs w:val="20"/>
          <w:color w:val="auto"/>
        </w:rPr>
      </w:pPr>
    </w:p>
    <w:p>
      <w:pPr>
        <w:jc w:val="both"/>
        <w:ind w:firstLine="312"/>
        <w:spacing w:after="0" w:line="279" w:lineRule="auto"/>
        <w:rPr>
          <w:sz w:val="20"/>
          <w:szCs w:val="20"/>
          <w:color w:val="auto"/>
        </w:rPr>
      </w:pPr>
      <w:r>
        <w:rPr>
          <w:rFonts w:ascii="Times New Roman" w:cs="Times New Roman" w:eastAsia="Times New Roman" w:hAnsi="Times New Roman"/>
          <w:sz w:val="17"/>
          <w:szCs w:val="17"/>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79" w:lineRule="auto"/>
        <w:rPr>
          <w:sz w:val="20"/>
          <w:szCs w:val="20"/>
          <w:color w:val="auto"/>
        </w:rPr>
      </w:pPr>
      <w:r>
        <w:rPr>
          <w:rFonts w:ascii="Times New Roman" w:cs="Times New Roman" w:eastAsia="Times New Roman" w:hAnsi="Times New Roman"/>
          <w:sz w:val="17"/>
          <w:szCs w:val="17"/>
          <w:color w:val="auto"/>
        </w:rPr>
        <w:t>As an integral part of the Company’s billing compliance program the Company instituted a third-party review of billing claims and compliance practices, and initiated improvements including implementing a package of new billing compliance policies and procedures and strengthening the Company’s billing</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compliance team.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331" w:lineRule="exact"/>
        <w:rPr>
          <w:sz w:val="20"/>
          <w:szCs w:val="20"/>
          <w:color w:val="auto"/>
        </w:rPr>
      </w:pPr>
    </w:p>
    <w:p>
      <w:pPr>
        <w:jc w:val="both"/>
        <w:ind w:firstLine="625"/>
        <w:spacing w:after="0" w:line="235" w:lineRule="auto"/>
        <w:rPr>
          <w:sz w:val="20"/>
          <w:szCs w:val="20"/>
          <w:color w:val="auto"/>
        </w:rPr>
      </w:pPr>
      <w:r>
        <w:rPr>
          <w:rFonts w:ascii="Times New Roman" w:cs="Times New Roman" w:eastAsia="Times New Roman" w:hAnsi="Times New Roman"/>
          <w:sz w:val="17"/>
          <w:szCs w:val="17"/>
          <w:color w:val="auto"/>
        </w:rPr>
        <w:t>Throughout 2022, the Company was engaged in discussions with one of its third-party payors (the “Payor”) regarding certain overpayments. On December 30, 2022, the Company entered into a settlement agreement with the Payor in order to settle the claims related to coverage and billing matters allegedly resulting in the overpayments by the Payor to the Company (the “Disputed Claims”). Under the settlement agreement, $42.0 million is to be paid by the Company to the Payor in a series of installments over the next four years with the final installment payment scheduled to be on or before June 30, 2026. The first installment payment of $15.0 million was made on December 31, 2022. In consideration for these payments, the Payor has agreed to provide releases of the Disputed Claims, which releases become effective on or about April 1, 2023.</w:t>
      </w:r>
    </w:p>
    <w:p>
      <w:pPr>
        <w:spacing w:after="0" w:line="152" w:lineRule="exact"/>
        <w:rPr>
          <w:sz w:val="20"/>
          <w:szCs w:val="20"/>
          <w:color w:val="auto"/>
        </w:rPr>
      </w:pPr>
    </w:p>
    <w:p>
      <w:pPr>
        <w:jc w:val="both"/>
        <w:ind w:firstLine="312"/>
        <w:spacing w:after="0" w:line="303" w:lineRule="auto"/>
        <w:rPr>
          <w:sz w:val="20"/>
          <w:szCs w:val="20"/>
          <w:color w:val="auto"/>
        </w:rPr>
      </w:pPr>
      <w:r>
        <w:rPr>
          <w:rFonts w:ascii="Times New Roman" w:cs="Times New Roman" w:eastAsia="Times New Roman" w:hAnsi="Times New Roman"/>
          <w:sz w:val="17"/>
          <w:szCs w:val="17"/>
          <w:color w:val="auto"/>
        </w:rPr>
        <w:t>As a result of this matter, and in connection with a review of certain billing policies and procedures undertaken by management, the Company considered the need to establish reserves for potential recoupments of payments previously made by third-party payors. As of December 31, 2022, $39.0 million has been</w:t>
      </w:r>
    </w:p>
    <w:p>
      <w:pPr>
        <w:spacing w:after="0" w:line="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accrued. See Note 16, “Supplemental Financial Information.”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7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Due to the long-term nature of collaboration service agreements, the Company’s obligations pursuant to such agreements represent partially unsatisfied performance obligations as of December 31, 2022. The revenues under existing service agreements with original expected durations of more than one year are estimated to be approximately $6.8 million. The Company expects to recognize the majority of this revenue over the next 2.5 years.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Costs to fulfill contracts</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1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of December 31, 2022 and 2021, the Company had outstanding deferred costs to fulfill contracts of $0.3 million and $1.8 million, respectively. At each period, all outstanding deferred costs were recorded as other current assets.</w:t>
      </w:r>
    </w:p>
    <w:p>
      <w:pPr>
        <w:spacing w:after="0" w:line="95"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Amortization of deferred costs was $1.5 million, $1.4 million and $0.9 million for the years ended December 31, 2022, 2021 and 2020, respectively. The amortization of these costs is recorded in cost of services of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hanging="296"/>
        <w:spacing w:after="0"/>
        <w:tabs>
          <w:tab w:leader="none" w:pos="30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70"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tables set forth the fair value of financial instruments that were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2"/>
        </w:trPr>
        <w:tc>
          <w:tcPr>
            <w:tcW w:w="47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16,901</w:t>
            </w:r>
          </w:p>
        </w:tc>
        <w:tc>
          <w:tcPr>
            <w:tcW w:w="100" w:type="dxa"/>
            <w:vAlign w:val="bottom"/>
          </w:tcPr>
          <w:p>
            <w:pPr>
              <w:spacing w:after="0"/>
              <w:rPr>
                <w:sz w:val="19"/>
                <w:szCs w:val="19"/>
                <w:color w:val="auto"/>
              </w:rPr>
            </w:pP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16,901</w:t>
            </w:r>
          </w:p>
        </w:tc>
        <w:tc>
          <w:tcPr>
            <w:tcW w:w="100" w:type="dxa"/>
            <w:vAlign w:val="bottom"/>
          </w:tcPr>
          <w:p>
            <w:pPr>
              <w:spacing w:after="0"/>
              <w:rPr>
                <w:sz w:val="19"/>
                <w:szCs w:val="19"/>
                <w:color w:val="auto"/>
              </w:rPr>
            </w:pP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financial assets</w:t>
            </w:r>
          </w:p>
        </w:tc>
        <w:tc>
          <w:tcPr>
            <w:tcW w:w="100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3"/>
        </w:trPr>
        <w:tc>
          <w:tcPr>
            <w:tcW w:w="4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Public warrant liability</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19"/>
                <w:szCs w:val="19"/>
                <w:color w:val="auto"/>
              </w:rPr>
            </w:pP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19"/>
                <w:szCs w:val="19"/>
                <w:color w:val="auto"/>
              </w:rPr>
            </w:pP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 warrant liability</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Earn-out contingent liability</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based on milestone achievement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7,619</w:t>
            </w:r>
          </w:p>
        </w:tc>
      </w:tr>
      <w:tr>
        <w:trPr>
          <w:trHeight w:val="214"/>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100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8,037</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7,619</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3"/>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
        </w:trPr>
        <w:tc>
          <w:tcPr>
            <w:tcW w:w="4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385,370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385,370</w:t>
            </w:r>
          </w:p>
        </w:tc>
        <w:tc>
          <w:tcPr>
            <w:tcW w:w="80" w:type="dxa"/>
            <w:vAlign w:val="bottom"/>
          </w:tcPr>
          <w:p>
            <w:pPr>
              <w:spacing w:after="0"/>
              <w:rPr>
                <w:sz w:val="19"/>
                <w:szCs w:val="19"/>
                <w:color w:val="auto"/>
              </w:rPr>
            </w:pP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spacing w:after="0"/>
              <w:rPr>
                <w:sz w:val="19"/>
                <w:szCs w:val="19"/>
                <w:color w:val="auto"/>
              </w:rPr>
            </w:pPr>
          </w:p>
        </w:tc>
      </w:tr>
      <w:tr>
        <w:trPr>
          <w:trHeight w:val="239"/>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financial assets</w:t>
            </w: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3"/>
        </w:trPr>
        <w:tc>
          <w:tcPr>
            <w:tcW w:w="4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Public warrant liability</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14,463</w:t>
            </w:r>
          </w:p>
        </w:tc>
        <w:tc>
          <w:tcPr>
            <w:tcW w:w="80" w:type="dxa"/>
            <w:vAlign w:val="bottom"/>
          </w:tcPr>
          <w:p>
            <w:pPr>
              <w:spacing w:after="0"/>
              <w:rPr>
                <w:sz w:val="19"/>
                <w:szCs w:val="19"/>
                <w:color w:val="auto"/>
              </w:rPr>
            </w:pP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spacing w:after="0"/>
              <w:rPr>
                <w:sz w:val="19"/>
                <w:szCs w:val="19"/>
                <w:color w:val="auto"/>
              </w:rPr>
            </w:pP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 warrant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Earn-out contingent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39"/>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color w:val="auto"/>
        </w:rPr>
        <w:t>Of the $123.9 million cash and cash equivalents presented on the consolidated balance sheets, $16.9 million is in money market funds and is classified within Level 1 of the fair value hierarchy as the fair value is based on quoted prices in active markets.</w:t>
      </w:r>
    </w:p>
    <w:p>
      <w:pPr>
        <w:spacing w:after="0" w:line="95" w:lineRule="exact"/>
        <w:rPr>
          <w:sz w:val="20"/>
          <w:szCs w:val="20"/>
          <w:color w:val="auto"/>
        </w:rPr>
      </w:pPr>
    </w:p>
    <w:p>
      <w:pPr>
        <w:jc w:val="both"/>
        <w:ind w:right="100" w:firstLine="312"/>
        <w:spacing w:after="0" w:line="259" w:lineRule="auto"/>
        <w:rPr>
          <w:sz w:val="20"/>
          <w:szCs w:val="20"/>
          <w:color w:val="auto"/>
        </w:rPr>
      </w:pPr>
      <w:r>
        <w:rPr>
          <w:rFonts w:ascii="Times New Roman" w:cs="Times New Roman" w:eastAsia="Times New Roman" w:hAnsi="Times New Roman"/>
          <w:sz w:val="17"/>
          <w:szCs w:val="17"/>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 For the year ended December 31, 2022, a gain of $21.1 million was recorded within the change in the change in fair market value of warrant and earn-out contingent liabilities in the consolidated statements of operations and comprehensive loss based on re-measurement performed as of the period 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earn-out contingent liabilities include the Company’s contingent obligation to issue earn-out shares for Legacy Sema4 stockholders (“Earn-out Shares”) as well as the Company’s contingent obligation to make an additional Milestone Payment of up to $150 million, up to 30.9 million shares of its Class A common stock, or a combination of cash and shares at our discretion, to OPKO if certain revenue-based milestones are achieved for each of the fiscal years ended December 31, 2022 and December 31, 2023. As of December 31, 2022, the first milestone was met and is anticipated to be paid by the Company issuing approximately 23.2 million shares of Class A common stock, which is determined to be approximately $6 million in fair value as of December 31, 2022.</w:t>
      </w:r>
    </w:p>
    <w:p>
      <w:pPr>
        <w:spacing w:after="0" w:line="144"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The Earn-out Shares are accounted for as a liability and required remeasurement at each reporting date. The estimated fair value of the total Earn-out Shares as of December 31, 2022 is determined based on a Monte Carlo simulation valuation model. The fair value of the earn-out contingent liability is sensitive to the expected volatility for the Company and the Company’s Class A common stock price which is sensitive to changes in the forecasts of earnings and/or the relevant operating metrics. The expected volatility for the Company is based on the historical volatility of selected guideline companies, the historical volatility of the Company, and the implied volatility of the Company’s call options</w:t>
      </w:r>
      <w:r>
        <w:rPr>
          <w:rFonts w:ascii="Calibri" w:cs="Calibri" w:eastAsia="Calibri" w:hAnsi="Calibri"/>
          <w:sz w:val="19"/>
          <w:szCs w:val="19"/>
          <w:color w:val="auto"/>
        </w:rPr>
        <w:t>.</w:t>
      </w:r>
      <w:r>
        <w:rPr>
          <w:rFonts w:ascii="Times New Roman" w:cs="Times New Roman" w:eastAsia="Times New Roman" w:hAnsi="Times New Roman"/>
          <w:sz w:val="17"/>
          <w:szCs w:val="17"/>
          <w:color w:val="auto"/>
        </w:rPr>
        <w:t xml:space="preserve"> The key assumptions utilized in determining the Earn-out Shares valuation as of December 31, 2022 and December 31, 2021 were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3560" w:type="dxa"/>
            <w:vAlign w:val="bottom"/>
          </w:tcPr>
          <w:p>
            <w:pPr>
              <w:spacing w:after="0"/>
              <w:rPr>
                <w:sz w:val="15"/>
                <w:szCs w:val="15"/>
                <w:color w:val="auto"/>
              </w:rPr>
            </w:pPr>
          </w:p>
        </w:tc>
        <w:tc>
          <w:tcPr>
            <w:tcW w:w="26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3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56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$4.46</w:t>
            </w:r>
          </w:p>
        </w:tc>
      </w:tr>
      <w:tr>
        <w:trPr>
          <w:trHeight w:val="221"/>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107.5%</w:t>
            </w:r>
          </w:p>
        </w:tc>
        <w:tc>
          <w:tcPr>
            <w:tcW w:w="10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r>
      <w:tr>
        <w:trPr>
          <w:trHeight w:val="221"/>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0.6</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227"/>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0.58%</w:t>
            </w:r>
          </w:p>
        </w:tc>
      </w:tr>
    </w:tbl>
    <w:p>
      <w:pPr>
        <w:spacing w:after="0" w:line="200" w:lineRule="exact"/>
        <w:rPr>
          <w:sz w:val="20"/>
          <w:szCs w:val="20"/>
          <w:color w:val="auto"/>
        </w:rPr>
      </w:pPr>
    </w:p>
    <w:p>
      <w:pPr>
        <w:spacing w:after="0" w:line="310"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The fair value determined and recorded as of December 31, 2022 and December 31, 2021 was zero and $10.2 million, respectively. During the year ended December 31, 2022 a gain of $10.2 million was recorded within the change in fair market value of warrant and earn-out contingent liabilities in the consolidated statements of operations and comprehensive loss based on re-measurement performed as of the period end date.</w:t>
      </w:r>
    </w:p>
    <w:p>
      <w:pPr>
        <w:spacing w:after="0" w:line="202"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Milestone Payments contingent liability represents additional acquisition consideration to pay up to $150 million, up to 30.9 million shares of the Company’s Class A common stock or a combination of cash and shares at the Company’s discretion based on the achievement of Legacy GeneDx revenue-based milestones in fiscal years 2022 and 2023. Subject to the terms and conditions of the Acquisition Merger Agreement, (a) the first Milestone Payment representing 75% of the aggregate became due as the Legacy GeneDx group’s revenue exceeded $163 million for the year ended December 31, 2022 and (b) the second Milestone Payment representing the final 25% will become due and payable if the revenue of the Legacy GeneDx group for the fiscal year 2023 equals or exceeds $219 million; provided that 80% of the Milestone Payment will become payable in respect of such period if the Legacy GeneDx group achieves 90% of the applicable Milestone Event revenue target, which amount will scale on a linear basis up to 100% of the applicable Milestone Payment at 100% of the applicable revenue target. Each Milestone Payment will be satisfied through the payment and/or issuance of a combination of cash and shares of the Company’s Class A common stock (valued at a fixed $4.86 per share), with such mix to be determined at the Company’s sole discretion. Settlement of the first Milestone Payment is expected to be paid via issuance of shares of Company’s Class A common stock based on the results of 2022.</w:t>
      </w:r>
    </w:p>
    <w:p>
      <w:pPr>
        <w:spacing w:after="0" w:line="14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Company recorded the fair value of the Milestone Payments for $7.6 million as of December 31, 2022, of which $6.0 million has been earned and is presented as current liabilities in the consolidated balance sheets. For the year ended December 31, 2022, a gain of $38.9 million was recorded in the change in fair market value of warrant and earn-out contingent liabilities in the consolidated statements of operations and comprehensive loss based on re-measurement performed as of the period end date. The fair value of the remaining earn-out was determined based on a Monte Carlo simulation valuation model and the key assumptions include revenue projections, revenue volatility of 25%, the Company’s expectation to settle the liability in shares and share price of $0.26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312"/>
        <w:spacing w:after="0" w:line="277" w:lineRule="auto"/>
        <w:rPr>
          <w:sz w:val="20"/>
          <w:szCs w:val="20"/>
          <w:color w:val="auto"/>
        </w:rPr>
      </w:pPr>
      <w:r>
        <w:rPr>
          <w:rFonts w:ascii="Times New Roman" w:cs="Times New Roman" w:eastAsia="Times New Roman" w:hAnsi="Times New Roman"/>
          <w:sz w:val="17"/>
          <w:szCs w:val="17"/>
          <w:color w:val="auto"/>
        </w:rPr>
        <w:t>The earn-out contingent liabilities are categorized as Level 3 of the fair value hierarchy as the Company utilizes unobservable inputs in estimating the fair value. There were no transfers between Level 1, Level 2 and Level 3 during the periods presented.</w:t>
      </w:r>
    </w:p>
    <w:p>
      <w:pPr>
        <w:spacing w:after="0" w:line="184" w:lineRule="exact"/>
        <w:rPr>
          <w:sz w:val="20"/>
          <w:szCs w:val="20"/>
          <w:color w:val="auto"/>
        </w:rPr>
      </w:pPr>
    </w:p>
    <w:p>
      <w:pPr>
        <w:ind w:left="300" w:hanging="296"/>
        <w:spacing w:after="0"/>
        <w:tabs>
          <w:tab w:leader="none" w:pos="30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170"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Property and equipment consisted of the following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5"/>
                <w:szCs w:val="15"/>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2"/>
        </w:trPr>
        <w:tc>
          <w:tcPr>
            <w:tcW w:w="80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28,552</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under finance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21,384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21,384</w:t>
            </w:r>
          </w:p>
        </w:tc>
      </w:tr>
      <w:tr>
        <w:trPr>
          <w:trHeight w:val="22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21,905</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32,171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25,693</w:t>
            </w:r>
          </w:p>
        </w:tc>
      </w:tr>
      <w:tr>
        <w:trPr>
          <w:trHeight w:val="22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under finance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6,276</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r>
      <w:tr>
        <w:trPr>
          <w:trHeight w:val="22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w:t>
            </w:r>
          </w:p>
        </w:tc>
      </w:tr>
      <w:tr>
        <w:trPr>
          <w:trHeight w:val="22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Furniture, fixtures and other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3,777</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3,241</w:t>
            </w:r>
          </w:p>
        </w:tc>
      </w:tr>
      <w:tr>
        <w:trPr>
          <w:trHeight w:val="214"/>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152,987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114,625</w:t>
            </w:r>
          </w:p>
        </w:tc>
      </w:tr>
      <w:tr>
        <w:trPr>
          <w:trHeight w:val="22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(101,460)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(51,906)</w:t>
            </w:r>
          </w:p>
        </w:tc>
      </w:tr>
      <w:tr>
        <w:trPr>
          <w:trHeight w:val="239"/>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51,527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62,719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 xml:space="preserve">For the years ended December 31, 2022, 2021 and 2020, depreciation and amortization expense was $50.0 million, $21.8 million and $11.7 million, respectively, which included software amortization expense of $15.4 million, $5.6 million and $3.0 million for the years ended December 31, 2022, 2021 and 2020, respectively. For intangible amortization, see Note 18, </w:t>
      </w:r>
      <w:r>
        <w:rPr>
          <w:rFonts w:ascii="Times New Roman" w:cs="Times New Roman" w:eastAsia="Times New Roman" w:hAnsi="Times New Roman"/>
          <w:sz w:val="17"/>
          <w:szCs w:val="17"/>
          <w:i w:val="1"/>
          <w:iCs w:val="1"/>
          <w:color w:val="auto"/>
        </w:rPr>
        <w:t>“Goodwill and Intangible Assets.”</w:t>
      </w:r>
    </w:p>
    <w:p>
      <w:pPr>
        <w:spacing w:after="0" w:line="11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For the year ended December 31, 2022, the Company accelerated depreciation and amortization charge of $24.0 million due to the change in the Company’s useful lives on certain fixed assets that are related to the business exit activity.</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 is included within the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9,055</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1,639</w:t>
            </w:r>
          </w:p>
        </w:tc>
      </w:tr>
      <w:tr>
        <w:trPr>
          <w:trHeight w:val="239"/>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depreciation and amortization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Related Party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revenues</w:t>
      </w:r>
    </w:p>
    <w:p>
      <w:pPr>
        <w:spacing w:after="0" w:line="17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Related party revenues primarily include diagnostic testing revenues generated by GeneDx from BioReference Laboratories, Inc. (“BRLI”), which is a subsidiary of OPKO. The prices charged represent market rates. Revenue recorded from this contract was $1.7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expenses</w:t>
      </w:r>
    </w:p>
    <w:p>
      <w:pPr>
        <w:spacing w:after="0" w:line="18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42"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For years ended December 31, 2021 and 2020, the Company incurred certain costs with ISMMS. Expenses recognized under the TSA totaled $1.4 million and $7.2 million for the years ended December 31, 2021 and 2020, respectively, and are presented within related party expenses in the consolidated statements of operations and comprehensive loss. The Company did not incur any costs under the TSA in the year ended December 31, 2022. The Company did not have any TSA payables due to ISMMS of as of December 31, 2022 and 2021. The ISMMS TSA expired on March 28, 2021.</w:t>
      </w:r>
    </w:p>
    <w:p>
      <w:pPr>
        <w:spacing w:after="0" w:line="12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Expenses recognized pursuant to other service arrangements with ISMMS totaled $7.4 million, $7.0 million and $4.4 million for the years ended December 31, 2022, 2021 and 2020,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$2.4 million and $2.6 million as of December 30, 2022 and 2021, respectively. These amounts are included within due to related parties on the Company’s consolidated balance sheets.</w:t>
      </w:r>
    </w:p>
    <w:p>
      <w:pPr>
        <w:spacing w:after="0" w:line="13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Additionally, the Company incurred $1.7 million in purchases of diagnostic testing kits and materials for the year ended December 31, 2022 from an affiliate of a member of the Board of Directors who has served in the role since July 2021. The prices paid represent market rates. Payables due were $0.4 million as of December 31, 2022.</w:t>
      </w:r>
    </w:p>
    <w:p>
      <w:pPr>
        <w:spacing w:after="0" w:line="137"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GeneDx and OPKO entered into a Transition Services Agreement dated as of April 29, 2022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including human resources, information technology support, and finance and accounting. The Company recognized $1.3 million and in costs for the year ended December 31, 2022, respectively. As of December 31, 2022, $0.4 million was unpaid and included in due to related parties in consolidated balance sheets.</w:t>
      </w:r>
    </w:p>
    <w:p>
      <w:pPr>
        <w:spacing w:after="0" w:line="13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Company also recorded $1.3 million of receivables from OPKO related to the Acquisition closing working capital adjustment. This amount is presented as other current assets in consolidated balance sheets as of December 31, 2022.</w:t>
      </w:r>
    </w:p>
    <w:p>
      <w:pPr>
        <w:spacing w:after="0" w:line="108" w:lineRule="exact"/>
        <w:rPr>
          <w:sz w:val="20"/>
          <w:szCs w:val="20"/>
          <w:color w:val="auto"/>
        </w:rPr>
      </w:pPr>
    </w:p>
    <w:p>
      <w:pPr>
        <w:jc w:val="both"/>
        <w:ind w:firstLine="312"/>
        <w:spacing w:after="0" w:line="275" w:lineRule="auto"/>
        <w:rPr>
          <w:sz w:val="20"/>
          <w:szCs w:val="20"/>
          <w:color w:val="auto"/>
        </w:rPr>
      </w:pPr>
      <w:r>
        <w:rPr>
          <w:rFonts w:ascii="Times New Roman" w:cs="Times New Roman" w:eastAsia="Times New Roman" w:hAnsi="Times New Roman"/>
          <w:sz w:val="17"/>
          <w:szCs w:val="17"/>
          <w:color w:val="auto"/>
        </w:rPr>
        <w:t>Total related party costs are included within cost of services and related party expenses in the consolidated statements of operations and comprehensive loss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of services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w:t>
            </w:r>
          </w:p>
        </w:tc>
      </w:tr>
      <w:tr>
        <w:trPr>
          <w:trHeight w:val="22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Related party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9,395</w:t>
            </w:r>
          </w:p>
        </w:tc>
      </w:tr>
      <w:tr>
        <w:trPr>
          <w:trHeight w:val="239"/>
        </w:trPr>
        <w:tc>
          <w:tcPr>
            <w:tcW w:w="6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related party costs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Long-Term Debt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and Security Agreement (the “SVB Agreement”)</w:t>
      </w:r>
    </w:p>
    <w:p>
      <w:pPr>
        <w:spacing w:after="0" w:line="147"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SVB Agreement) will bear interest at a floating rate per annum equal to the greater of (1) 4.00% and (2) the Prime Rate plus the Prime Rate Margin. The Revolver will mature on November 15, 2024.</w:t>
      </w:r>
    </w:p>
    <w:p>
      <w:pPr>
        <w:spacing w:after="0" w:line="18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obligations under the SVB Agreement are secured by a first priority perfected security interest in substantially all of the Company’s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9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SVB Agreement contains affirmative and negative covenants, including, among other things, restrictions on indebtedness, liens, investments, mergers, dispositions, and dividends and other distributions.</w:t>
      </w:r>
    </w:p>
    <w:p>
      <w:pPr>
        <w:spacing w:after="0" w:line="9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9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2022.</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 amounts have been drawn under the SVB Agreement as of December 31, 2022.</w:t>
      </w:r>
    </w:p>
    <w:p>
      <w:pPr>
        <w:spacing w:after="0" w:line="16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On March 10, 2023, SVB was closed by the California Department of Financial Protection and Innovation, which appointed the Federal Deposit Insurance Corporation (“FDIC”) as receiver. On March 14, 2023, Silicon Valley Bridge Bank, N.A., a new bank that is regulated by the Office of the Comptroller of the Currency, announced that it had assumed all loan positions, including as lender, issuing bank, administrative and any other function that was formerly performed by SVB, and that all commitments to advance under existing credit agreements will be honored in accordance with and pursuant to the terms thereof.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2016 Funding Commitment</w:t>
      </w:r>
    </w:p>
    <w:p>
      <w:pPr>
        <w:spacing w:after="0" w:line="173"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the Company’s obligation to repay the DECD.</w:t>
      </w:r>
    </w:p>
    <w:p>
      <w:pPr>
        <w:spacing w:after="0" w:line="120"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In June 2018, the Company amended the existing $9.5 million DECD Loan Agreement (the “2018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addition, under the terms of the 2018 Amended DECD Loan Agreement, the DECD provided the Company with the ability to seek partial principal loan forgiveness of up to $12.3 million in the aggregate, contingent upon the Company achieving job creation and retention milestones.</w:t>
      </w:r>
    </w:p>
    <w:p>
      <w:pPr>
        <w:spacing w:after="0" w:line="95"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outstanding loan balance from the DECD was $11.0 million at December 31, 2021, following the achievement of the Phase 1 funding milestone. In January 2023, the Company amended the 2018 Amended DECD Loan Agreement, which resulted in agreeing to pay $2.0 million in principal, obtaining $2.75 million in debt forgiveness for achieving its Phase 2 job milestone, and agreeing to two new forgiveness milestone targets for Phase 3 (eligible for $2 million in forgiveness) and the Final Phase (eligible for $1 million in forgiveness) (the “2022 Amended DECD Loan Agreement”). Upon execution of this amendment in January 2023, we have paid the $2.0 million in principal and received $2.75 million in debt forgiveness, both of which were classified as current liabilities as of December. The terms of the 2022 Amended DECD Loan Agreement require the Company to make interest-only payments through July 2024 and principal and interest payments commencing in August 2024 through July 2029 at the same fixed annual interest rate of 2.0%.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As of December 31, 2022, the long-term debt matures as follows (in thousands):</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2"/>
        </w:trPr>
        <w:tc>
          <w:tcPr>
            <w:tcW w:w="9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1"/>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w:t>
            </w:r>
          </w:p>
        </w:tc>
      </w:tr>
      <w:tr>
        <w:trPr>
          <w:trHeight w:val="221"/>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r>
      <w:tr>
        <w:trPr>
          <w:trHeight w:val="221"/>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r>
      <w:tr>
        <w:trPr>
          <w:trHeight w:val="221"/>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w:t>
            </w:r>
          </w:p>
        </w:tc>
      </w:tr>
      <w:tr>
        <w:trPr>
          <w:trHeight w:val="221"/>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r>
      <w:tr>
        <w:trPr>
          <w:trHeight w:val="221"/>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w:t>
            </w:r>
          </w:p>
        </w:tc>
      </w:tr>
      <w:tr>
        <w:trPr>
          <w:trHeight w:val="21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maturities of long-term debt</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w:t>
            </w:r>
          </w:p>
        </w:tc>
      </w:tr>
      <w:tr>
        <w:trPr>
          <w:trHeight w:val="214"/>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(4,750)</w:t>
            </w:r>
          </w:p>
        </w:tc>
      </w:tr>
      <w:tr>
        <w:trPr>
          <w:trHeight w:val="23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 of current portion</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Debt due to the DECD is collateralized by providing a security interest in certain machinery and equipment the Company holds at its Stamford headquarters, as defined in a separate security agreement. The DECD Security Agreement provides a security for the payment and performance of meeting the Company’s obligations to the DECD until the obligations have been fully satisfied.</w:t>
      </w:r>
    </w:p>
    <w:p>
      <w:pPr>
        <w:spacing w:after="0" w:line="109" w:lineRule="exact"/>
        <w:rPr>
          <w:sz w:val="20"/>
          <w:szCs w:val="20"/>
          <w:color w:val="auto"/>
        </w:rPr>
      </w:pPr>
    </w:p>
    <w:p>
      <w:pPr>
        <w:ind w:left="360" w:hanging="356"/>
        <w:spacing w:after="0"/>
        <w:tabs>
          <w:tab w:leader="none" w:pos="36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Accounting</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adopted ASC 842 on January 1, 2022 on a modified retrospective basis. As a result, the Company’s lease disclosures as of and for the year</w:t>
      </w:r>
    </w:p>
    <w:p>
      <w:pPr>
        <w:spacing w:after="0" w:line="5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ended December 31, 2022 are reported under ASC 842. Comparative financial information as of and for the years ended December 31, 2021 and 2022 have not been restated and continues to be reported under ASC 840, the lease accounting standard in effect for that period.</w:t>
      </w:r>
    </w:p>
    <w:p>
      <w:pPr>
        <w:spacing w:after="0" w:line="9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economic environment on a collateralized basis, unless there is a rate implicit in the lease that is readily determinable.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186"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Company's operating lease arrangements are principally for office space and laboratory facilities. The Company’s headquarter lease was initially entered into via sub-lease agreements with ISMMS and a third party and they will expire in 2034. We also entered into a separate lease with a third party for space in the same building as our headquarters and that lease expires in 2029. The agreements include escalating rent and rent-free period provisions. Pursuant to the terms of the lease agreement, the Company was required to have issued an irrevocable standby letter of credit to the lessor for $0.9 million, which was included in restricted cash, non-current on the consolidated balance sheets as of December 31, 2021 and 2022. The Company identified impairment indicators with respect to certain office space which was determined to be excess. The Company performed quantitative analysis as of December 31, 2022. The fair value was determined primarily based on estimating sublease income for the lease and discount rate. The Company utilized third party information in the estimation process. Based on the analysis, the Company recorded an impairment charge of $10.0 million.</w:t>
      </w:r>
    </w:p>
    <w:p>
      <w:pPr>
        <w:spacing w:after="0" w:line="15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finance lease and the land as an operating lease.</w:t>
      </w:r>
    </w:p>
    <w:p>
      <w:pPr>
        <w:spacing w:after="0" w:line="13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January 2020, the Company entered into a lease agreement which expanded the Company’s existing laboratory facility in Branford, Connecticut. The lease commenced in February 2020 with a 10 year term. The lease includes escalating rent fees over the lease term.</w:t>
      </w:r>
    </w:p>
    <w:p>
      <w:pPr>
        <w:spacing w:after="0" w:line="108"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April 2022, the Company acquired an operating lease for office space and laboratory operations in Gaithersburg, Maryland, in connection with the Acquisition. The lease includes a base term of 9 years remaining from the date of acquisition and an escalating rent provision.</w:t>
      </w:r>
    </w:p>
    <w:p>
      <w:pPr>
        <w:spacing w:after="0" w:line="12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July 2022, the Company executed a lease agreement to extend the lease term of existing office spaces in New York, New York, commencing in September 2022 for a period of 13 months.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Leases</w:t>
      </w:r>
    </w:p>
    <w:p>
      <w:pPr>
        <w:spacing w:after="0" w:line="18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used for the Stamford Lease is 13.1%, which is used to measure the operating and finance lease liability. During the prior year, the Company accounted for finance leases under ASC 840 as capital leases. As of December 31, 2021, the finance lease obligations of $3.4 million and $18.4 million were included in other current liabilities and other liabilities, respectively on the consolidated balance sheets.</w:t>
      </w:r>
    </w:p>
    <w:p>
      <w:pPr>
        <w:spacing w:after="0" w:line="133" w:lineRule="exact"/>
        <w:rPr>
          <w:sz w:val="20"/>
          <w:szCs w:val="20"/>
          <w:color w:val="auto"/>
        </w:rPr>
      </w:pPr>
    </w:p>
    <w:p>
      <w:pPr>
        <w:jc w:val="both"/>
        <w:ind w:firstLine="312"/>
        <w:spacing w:after="0" w:line="286" w:lineRule="auto"/>
        <w:rPr>
          <w:sz w:val="20"/>
          <w:szCs w:val="20"/>
          <w:color w:val="auto"/>
        </w:rPr>
      </w:pPr>
      <w:r>
        <w:rPr>
          <w:rFonts w:ascii="Times New Roman" w:cs="Times New Roman" w:eastAsia="Times New Roman" w:hAnsi="Times New Roman"/>
          <w:sz w:val="17"/>
          <w:szCs w:val="17"/>
          <w:color w:val="auto"/>
        </w:rPr>
        <w:t>The tables below present financial information associated with the Company’s leases. This information is presented as of, and for the year ended, December 31, 2022 because, the Company adopted the ASC 842 using a transition method that does not require application to periods prior to adoption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9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w w:val="96"/>
              </w:rPr>
              <w:t>Assets</w:t>
            </w:r>
          </w:p>
        </w:tc>
        <w:tc>
          <w:tcPr>
            <w:tcW w:w="3260" w:type="dxa"/>
            <w:vAlign w:val="bottom"/>
            <w:tcBorders>
              <w:bottom w:val="single" w:sz="8" w:color="CCEEFF"/>
            </w:tcBorders>
            <w:gridSpan w:val="2"/>
            <w:shd w:val="clear" w:color="auto" w:fill="CCEEFF"/>
          </w:tcPr>
          <w:p>
            <w:pPr>
              <w:spacing w:after="0"/>
              <w:rPr>
                <w:sz w:val="15"/>
                <w:szCs w:val="15"/>
                <w:color w:val="auto"/>
              </w:rPr>
            </w:pPr>
          </w:p>
        </w:tc>
        <w:tc>
          <w:tcPr>
            <w:tcW w:w="49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Operating lease assets</w:t>
            </w:r>
          </w:p>
        </w:tc>
        <w:tc>
          <w:tcPr>
            <w:tcW w:w="4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center"/>
              <w:ind w:left="1274"/>
              <w:spacing w:after="0"/>
              <w:rPr>
                <w:sz w:val="20"/>
                <w:szCs w:val="20"/>
                <w:color w:val="auto"/>
              </w:rPr>
            </w:pPr>
            <w:r>
              <w:rPr>
                <w:rFonts w:ascii="Times New Roman" w:cs="Times New Roman" w:eastAsia="Times New Roman" w:hAnsi="Times New Roman"/>
                <w:sz w:val="17"/>
                <w:szCs w:val="17"/>
                <w:color w:val="auto"/>
              </w:rPr>
              <w:t>32,7</w:t>
            </w:r>
          </w:p>
        </w:tc>
      </w:tr>
      <w:tr>
        <w:trPr>
          <w:trHeight w:val="221"/>
        </w:trPr>
        <w:tc>
          <w:tcPr>
            <w:tcW w:w="20" w:type="dxa"/>
            <w:vAlign w:val="bottom"/>
            <w:shd w:val="clear" w:color="auto" w:fill="CCEEFF"/>
          </w:tcPr>
          <w:p>
            <w:pPr>
              <w:spacing w:after="0"/>
              <w:rPr>
                <w:sz w:val="19"/>
                <w:szCs w:val="19"/>
                <w:color w:val="auto"/>
              </w:rPr>
            </w:pPr>
          </w:p>
        </w:tc>
        <w:tc>
          <w:tcPr>
            <w:tcW w:w="3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Finance lease assets</w:t>
            </w:r>
          </w:p>
        </w:tc>
        <w:tc>
          <w:tcPr>
            <w:tcW w:w="4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1354"/>
              <w:spacing w:after="0"/>
              <w:rPr>
                <w:sz w:val="20"/>
                <w:szCs w:val="20"/>
                <w:color w:val="auto"/>
              </w:rPr>
            </w:pPr>
            <w:r>
              <w:rPr>
                <w:rFonts w:ascii="Times New Roman" w:cs="Times New Roman" w:eastAsia="Times New Roman" w:hAnsi="Times New Roman"/>
                <w:sz w:val="17"/>
                <w:szCs w:val="17"/>
                <w:color w:val="auto"/>
              </w:rPr>
              <w:t>8,6</w:t>
            </w:r>
          </w:p>
        </w:tc>
      </w:tr>
      <w:tr>
        <w:trPr>
          <w:trHeight w:val="214"/>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lease assets</w:t>
            </w:r>
          </w:p>
        </w:tc>
        <w:tc>
          <w:tcPr>
            <w:tcW w:w="49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color w:val="auto"/>
              </w:rPr>
              <w:t>41,3</w:t>
            </w:r>
          </w:p>
        </w:tc>
      </w:tr>
      <w:tr>
        <w:trPr>
          <w:trHeight w:val="240"/>
        </w:trPr>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192"/>
        </w:trPr>
        <w:tc>
          <w:tcPr>
            <w:tcW w:w="20" w:type="dxa"/>
            <w:vAlign w:val="bottom"/>
          </w:tcPr>
          <w:p>
            <w:pPr>
              <w:spacing w:after="0"/>
              <w:rPr>
                <w:sz w:val="16"/>
                <w:szCs w:val="16"/>
                <w:color w:val="auto"/>
              </w:rPr>
            </w:pPr>
          </w:p>
        </w:tc>
        <w:tc>
          <w:tcPr>
            <w:tcW w:w="74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7"/>
                <w:szCs w:val="17"/>
                <w:b w:val="1"/>
                <w:bCs w:val="1"/>
                <w:color w:val="auto"/>
                <w:w w:val="98"/>
              </w:rPr>
              <w:t>Liabilities</w:t>
            </w:r>
          </w:p>
        </w:tc>
        <w:tc>
          <w:tcPr>
            <w:tcW w:w="29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4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1"/>
        </w:trPr>
        <w:tc>
          <w:tcPr>
            <w:tcW w:w="20" w:type="dxa"/>
            <w:vAlign w:val="bottom"/>
          </w:tcPr>
          <w:p>
            <w:pPr>
              <w:spacing w:after="0"/>
              <w:rPr>
                <w:sz w:val="19"/>
                <w:szCs w:val="19"/>
                <w:color w:val="auto"/>
              </w:rPr>
            </w:pPr>
          </w:p>
        </w:tc>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Operating</w:t>
            </w:r>
          </w:p>
        </w:tc>
        <w:tc>
          <w:tcPr>
            <w:tcW w:w="4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center"/>
              <w:ind w:left="1354"/>
              <w:spacing w:after="0"/>
              <w:rPr>
                <w:sz w:val="20"/>
                <w:szCs w:val="20"/>
                <w:color w:val="auto"/>
              </w:rPr>
            </w:pPr>
            <w:r>
              <w:rPr>
                <w:rFonts w:ascii="Times New Roman" w:cs="Times New Roman" w:eastAsia="Times New Roman" w:hAnsi="Times New Roman"/>
                <w:sz w:val="17"/>
                <w:szCs w:val="17"/>
                <w:color w:val="auto"/>
              </w:rPr>
              <w:t>2,4</w:t>
            </w:r>
          </w:p>
        </w:tc>
      </w:tr>
      <w:tr>
        <w:trPr>
          <w:trHeight w:val="221"/>
        </w:trPr>
        <w:tc>
          <w:tcPr>
            <w:tcW w:w="20" w:type="dxa"/>
            <w:vAlign w:val="bottom"/>
            <w:shd w:val="clear" w:color="auto" w:fill="CCEEFF"/>
          </w:tcPr>
          <w:p>
            <w:pPr>
              <w:spacing w:after="0"/>
              <w:rPr>
                <w:sz w:val="19"/>
                <w:szCs w:val="19"/>
                <w:color w:val="auto"/>
              </w:rPr>
            </w:pPr>
          </w:p>
        </w:tc>
        <w:tc>
          <w:tcPr>
            <w:tcW w:w="3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Finance</w:t>
            </w:r>
          </w:p>
        </w:tc>
        <w:tc>
          <w:tcPr>
            <w:tcW w:w="4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354"/>
              <w:spacing w:after="0"/>
              <w:rPr>
                <w:sz w:val="20"/>
                <w:szCs w:val="20"/>
                <w:color w:val="auto"/>
              </w:rPr>
            </w:pPr>
            <w:r>
              <w:rPr>
                <w:rFonts w:ascii="Times New Roman" w:cs="Times New Roman" w:eastAsia="Times New Roman" w:hAnsi="Times New Roman"/>
                <w:sz w:val="17"/>
                <w:szCs w:val="17"/>
                <w:color w:val="auto"/>
              </w:rPr>
              <w:t>3,7</w:t>
            </w:r>
          </w:p>
        </w:tc>
      </w:tr>
      <w:tr>
        <w:trPr>
          <w:trHeight w:val="260"/>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21"/>
        </w:trPr>
        <w:tc>
          <w:tcPr>
            <w:tcW w:w="20" w:type="dxa"/>
            <w:vAlign w:val="bottom"/>
            <w:shd w:val="clear" w:color="auto" w:fill="CCEEFF"/>
          </w:tcPr>
          <w:p>
            <w:pPr>
              <w:spacing w:after="0"/>
              <w:rPr>
                <w:sz w:val="19"/>
                <w:szCs w:val="19"/>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4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Operating</w:t>
            </w:r>
          </w:p>
        </w:tc>
        <w:tc>
          <w:tcPr>
            <w:tcW w:w="4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center"/>
              <w:ind w:left="1274"/>
              <w:spacing w:after="0"/>
              <w:rPr>
                <w:sz w:val="20"/>
                <w:szCs w:val="20"/>
                <w:color w:val="auto"/>
              </w:rPr>
            </w:pPr>
            <w:r>
              <w:rPr>
                <w:rFonts w:ascii="Times New Roman" w:cs="Times New Roman" w:eastAsia="Times New Roman" w:hAnsi="Times New Roman"/>
                <w:sz w:val="17"/>
                <w:szCs w:val="17"/>
                <w:color w:val="auto"/>
              </w:rPr>
              <w:t>44,4</w:t>
            </w:r>
          </w:p>
        </w:tc>
      </w:tr>
      <w:tr>
        <w:trPr>
          <w:trHeight w:val="221"/>
        </w:trPr>
        <w:tc>
          <w:tcPr>
            <w:tcW w:w="20" w:type="dxa"/>
            <w:vAlign w:val="bottom"/>
            <w:shd w:val="clear" w:color="auto" w:fill="CCEEFF"/>
          </w:tcPr>
          <w:p>
            <w:pPr>
              <w:spacing w:after="0"/>
              <w:rPr>
                <w:sz w:val="19"/>
                <w:szCs w:val="19"/>
                <w:color w:val="auto"/>
              </w:rPr>
            </w:pPr>
          </w:p>
        </w:tc>
        <w:tc>
          <w:tcPr>
            <w:tcW w:w="3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Finance</w:t>
            </w:r>
          </w:p>
        </w:tc>
        <w:tc>
          <w:tcPr>
            <w:tcW w:w="4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3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15,5</w:t>
            </w:r>
          </w:p>
        </w:tc>
      </w:tr>
      <w:tr>
        <w:trPr>
          <w:trHeight w:val="214"/>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lease liabilities</w:t>
            </w:r>
          </w:p>
        </w:tc>
        <w:tc>
          <w:tcPr>
            <w:tcW w:w="49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color w:val="auto"/>
              </w:rPr>
              <w:t>66,1</w:t>
            </w:r>
          </w:p>
        </w:tc>
      </w:tr>
      <w:tr>
        <w:trPr>
          <w:trHeight w:val="123"/>
        </w:trPr>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49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r>
      <w:tr>
        <w:trPr>
          <w:trHeight w:val="692"/>
        </w:trPr>
        <w:tc>
          <w:tcPr>
            <w:tcW w:w="2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r>
      <w:tr>
        <w:trPr>
          <w:trHeight w:val="23"/>
        </w:trPr>
        <w:tc>
          <w:tcPr>
            <w:tcW w:w="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gridSpan w:val="3"/>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1"/>
        </w:trPr>
        <w:tc>
          <w:tcPr>
            <w:tcW w:w="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lease cost</w:t>
            </w:r>
          </w:p>
        </w:tc>
        <w:tc>
          <w:tcPr>
            <w:tcW w:w="4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Operating lease cost</w:t>
            </w:r>
          </w:p>
        </w:tc>
        <w:tc>
          <w:tcPr>
            <w:tcW w:w="49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spacing w:after="0"/>
              <w:rPr>
                <w:sz w:val="19"/>
                <w:szCs w:val="19"/>
                <w:color w:val="auto"/>
              </w:rPr>
            </w:pPr>
          </w:p>
        </w:tc>
        <w:tc>
          <w:tcPr>
            <w:tcW w:w="1700" w:type="dxa"/>
            <w:vAlign w:val="bottom"/>
          </w:tcPr>
          <w:p>
            <w:pPr>
              <w:jc w:val="center"/>
              <w:ind w:left="1354"/>
              <w:spacing w:after="0"/>
              <w:rPr>
                <w:sz w:val="20"/>
                <w:szCs w:val="20"/>
                <w:color w:val="auto"/>
              </w:rPr>
            </w:pPr>
            <w:r>
              <w:rPr>
                <w:rFonts w:ascii="Times New Roman" w:cs="Times New Roman" w:eastAsia="Times New Roman" w:hAnsi="Times New Roman"/>
                <w:sz w:val="17"/>
                <w:szCs w:val="17"/>
                <w:color w:val="auto"/>
                <w:w w:val="87"/>
              </w:rPr>
              <w:t>6,04</w:t>
            </w:r>
          </w:p>
        </w:tc>
      </w:tr>
      <w:tr>
        <w:trPr>
          <w:trHeight w:val="221"/>
        </w:trPr>
        <w:tc>
          <w:tcPr>
            <w:tcW w:w="20" w:type="dxa"/>
            <w:vAlign w:val="bottom"/>
            <w:shd w:val="clear" w:color="auto" w:fill="CCEEFF"/>
          </w:tcPr>
          <w:p>
            <w:pPr>
              <w:spacing w:after="0"/>
              <w:rPr>
                <w:sz w:val="19"/>
                <w:szCs w:val="19"/>
                <w:color w:val="auto"/>
              </w:rPr>
            </w:pPr>
          </w:p>
        </w:tc>
        <w:tc>
          <w:tcPr>
            <w:tcW w:w="3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Short-term lease cost</w:t>
            </w:r>
          </w:p>
        </w:tc>
        <w:tc>
          <w:tcPr>
            <w:tcW w:w="4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354"/>
              <w:spacing w:after="0"/>
              <w:rPr>
                <w:sz w:val="20"/>
                <w:szCs w:val="20"/>
                <w:color w:val="auto"/>
              </w:rPr>
            </w:pPr>
            <w:r>
              <w:rPr>
                <w:rFonts w:ascii="Times New Roman" w:cs="Times New Roman" w:eastAsia="Times New Roman" w:hAnsi="Times New Roman"/>
                <w:sz w:val="17"/>
                <w:szCs w:val="17"/>
                <w:color w:val="auto"/>
                <w:w w:val="87"/>
              </w:rPr>
              <w:t>1,13</w:t>
            </w:r>
          </w:p>
        </w:tc>
      </w:tr>
      <w:tr>
        <w:trPr>
          <w:trHeight w:val="221"/>
        </w:trPr>
        <w:tc>
          <w:tcPr>
            <w:tcW w:w="2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7"/>
                <w:szCs w:val="17"/>
                <w:color w:val="auto"/>
              </w:rPr>
              <w:t>Variable lease cost</w:t>
            </w:r>
          </w:p>
        </w:tc>
        <w:tc>
          <w:tcPr>
            <w:tcW w:w="4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1354"/>
              <w:spacing w:after="0"/>
              <w:rPr>
                <w:sz w:val="20"/>
                <w:szCs w:val="20"/>
                <w:color w:val="auto"/>
              </w:rPr>
            </w:pPr>
            <w:r>
              <w:rPr>
                <w:rFonts w:ascii="Times New Roman" w:cs="Times New Roman" w:eastAsia="Times New Roman" w:hAnsi="Times New Roman"/>
                <w:sz w:val="17"/>
                <w:szCs w:val="17"/>
                <w:color w:val="auto"/>
                <w:w w:val="87"/>
              </w:rPr>
              <w:t>1,11</w:t>
            </w:r>
          </w:p>
        </w:tc>
      </w:tr>
      <w:tr>
        <w:trPr>
          <w:trHeight w:val="214"/>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lease cost</w:t>
            </w:r>
          </w:p>
        </w:tc>
        <w:tc>
          <w:tcPr>
            <w:tcW w:w="49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left="1354"/>
              <w:spacing w:after="0"/>
              <w:rPr>
                <w:sz w:val="20"/>
                <w:szCs w:val="20"/>
                <w:color w:val="auto"/>
              </w:rPr>
            </w:pPr>
            <w:r>
              <w:rPr>
                <w:rFonts w:ascii="Times New Roman" w:cs="Times New Roman" w:eastAsia="Times New Roman" w:hAnsi="Times New Roman"/>
                <w:sz w:val="17"/>
                <w:szCs w:val="17"/>
                <w:color w:val="auto"/>
                <w:w w:val="87"/>
              </w:rPr>
              <w:t>8,28</w:t>
            </w:r>
          </w:p>
        </w:tc>
      </w:tr>
      <w:tr>
        <w:trPr>
          <w:trHeight w:val="91"/>
        </w:trPr>
        <w:tc>
          <w:tcPr>
            <w:tcW w:w="20" w:type="dxa"/>
            <w:vAlign w:val="bottom"/>
          </w:tcPr>
          <w:p>
            <w:pPr>
              <w:spacing w:after="0"/>
              <w:rPr>
                <w:sz w:val="7"/>
                <w:szCs w:val="7"/>
                <w:color w:val="auto"/>
              </w:rPr>
            </w:pPr>
          </w:p>
        </w:tc>
        <w:tc>
          <w:tcPr>
            <w:tcW w:w="3720" w:type="dxa"/>
            <w:vAlign w:val="bottom"/>
            <w:gridSpan w:val="3"/>
          </w:tcPr>
          <w:p>
            <w:pPr>
              <w:spacing w:after="0"/>
              <w:rPr>
                <w:sz w:val="7"/>
                <w:szCs w:val="7"/>
                <w:color w:val="auto"/>
              </w:rPr>
            </w:pPr>
          </w:p>
        </w:tc>
        <w:tc>
          <w:tcPr>
            <w:tcW w:w="4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221"/>
        </w:trPr>
        <w:tc>
          <w:tcPr>
            <w:tcW w:w="20" w:type="dxa"/>
            <w:vAlign w:val="bottom"/>
            <w:shd w:val="clear" w:color="auto" w:fill="CCEEFF"/>
          </w:tcPr>
          <w:p>
            <w:pPr>
              <w:spacing w:after="0"/>
              <w:rPr>
                <w:sz w:val="19"/>
                <w:szCs w:val="19"/>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Finance lease cost</w:t>
            </w:r>
          </w:p>
        </w:tc>
        <w:tc>
          <w:tcPr>
            <w:tcW w:w="4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Depreciation and amortization of leased assets</w:t>
            </w:r>
          </w:p>
        </w:tc>
        <w:tc>
          <w:tcPr>
            <w:tcW w:w="49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spacing w:after="0"/>
              <w:rPr>
                <w:sz w:val="19"/>
                <w:szCs w:val="19"/>
                <w:color w:val="auto"/>
              </w:rPr>
            </w:pPr>
          </w:p>
        </w:tc>
        <w:tc>
          <w:tcPr>
            <w:tcW w:w="1700" w:type="dxa"/>
            <w:vAlign w:val="bottom"/>
          </w:tcPr>
          <w:p>
            <w:pPr>
              <w:jc w:val="center"/>
              <w:ind w:left="1354"/>
              <w:spacing w:after="0"/>
              <w:rPr>
                <w:sz w:val="20"/>
                <w:szCs w:val="20"/>
                <w:color w:val="auto"/>
              </w:rPr>
            </w:pPr>
            <w:r>
              <w:rPr>
                <w:rFonts w:ascii="Times New Roman" w:cs="Times New Roman" w:eastAsia="Times New Roman" w:hAnsi="Times New Roman"/>
                <w:sz w:val="17"/>
                <w:szCs w:val="17"/>
                <w:color w:val="auto"/>
                <w:w w:val="87"/>
              </w:rPr>
              <w:t>5,51</w:t>
            </w:r>
          </w:p>
        </w:tc>
      </w:tr>
      <w:tr>
        <w:trPr>
          <w:trHeight w:val="221"/>
        </w:trPr>
        <w:tc>
          <w:tcPr>
            <w:tcW w:w="20" w:type="dxa"/>
            <w:vAlign w:val="bottom"/>
            <w:shd w:val="clear" w:color="auto" w:fill="CCEEFF"/>
          </w:tcPr>
          <w:p>
            <w:pPr>
              <w:spacing w:after="0"/>
              <w:rPr>
                <w:sz w:val="19"/>
                <w:szCs w:val="19"/>
                <w:color w:val="auto"/>
              </w:rPr>
            </w:pPr>
          </w:p>
        </w:tc>
        <w:tc>
          <w:tcPr>
            <w:tcW w:w="3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4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1354"/>
              <w:spacing w:after="0"/>
              <w:rPr>
                <w:sz w:val="20"/>
                <w:szCs w:val="20"/>
                <w:color w:val="auto"/>
              </w:rPr>
            </w:pPr>
            <w:r>
              <w:rPr>
                <w:rFonts w:ascii="Times New Roman" w:cs="Times New Roman" w:eastAsia="Times New Roman" w:hAnsi="Times New Roman"/>
                <w:sz w:val="17"/>
                <w:szCs w:val="17"/>
                <w:color w:val="auto"/>
                <w:w w:val="87"/>
              </w:rPr>
              <w:t>2,15</w:t>
            </w:r>
          </w:p>
        </w:tc>
      </w:tr>
      <w:tr>
        <w:trPr>
          <w:trHeight w:val="214"/>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finance lease cost</w:t>
            </w:r>
          </w:p>
        </w:tc>
        <w:tc>
          <w:tcPr>
            <w:tcW w:w="4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354"/>
              <w:spacing w:after="0"/>
              <w:rPr>
                <w:sz w:val="20"/>
                <w:szCs w:val="20"/>
                <w:color w:val="auto"/>
              </w:rPr>
            </w:pPr>
            <w:r>
              <w:rPr>
                <w:rFonts w:ascii="Times New Roman" w:cs="Times New Roman" w:eastAsia="Times New Roman" w:hAnsi="Times New Roman"/>
                <w:sz w:val="17"/>
                <w:szCs w:val="17"/>
                <w:color w:val="auto"/>
                <w:w w:val="87"/>
              </w:rPr>
              <w:t>7,67</w:t>
            </w:r>
          </w:p>
        </w:tc>
      </w:tr>
      <w:tr>
        <w:trPr>
          <w:trHeight w:val="214"/>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Total lease cost</w:t>
            </w:r>
          </w:p>
        </w:tc>
        <w:tc>
          <w:tcPr>
            <w:tcW w:w="49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center"/>
              <w:ind w:left="1254"/>
              <w:spacing w:after="0"/>
              <w:rPr>
                <w:sz w:val="20"/>
                <w:szCs w:val="20"/>
                <w:color w:val="auto"/>
              </w:rPr>
            </w:pPr>
            <w:r>
              <w:rPr>
                <w:rFonts w:ascii="Times New Roman" w:cs="Times New Roman" w:eastAsia="Times New Roman" w:hAnsi="Times New Roman"/>
                <w:sz w:val="17"/>
                <w:szCs w:val="17"/>
                <w:color w:val="auto"/>
                <w:w w:val="93"/>
              </w:rPr>
              <w:t>15,95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Future minimum lease payments under non-cancellable leases as of December 31, 2022 are as follows:</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240" w:type="dxa"/>
            <w:vAlign w:val="bottom"/>
          </w:tcPr>
          <w:p>
            <w:pPr>
              <w:spacing w:after="0"/>
              <w:rPr>
                <w:sz w:val="15"/>
                <w:szCs w:val="15"/>
                <w:color w:val="auto"/>
              </w:rPr>
            </w:pPr>
          </w:p>
        </w:tc>
        <w:tc>
          <w:tcPr>
            <w:tcW w:w="2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00" w:type="dxa"/>
            <w:vAlign w:val="bottom"/>
          </w:tcPr>
          <w:p>
            <w:pPr>
              <w:spacing w:after="0"/>
              <w:rPr>
                <w:sz w:val="15"/>
                <w:szCs w:val="15"/>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1"/>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1"/>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1"/>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1"/>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1"/>
        </w:trPr>
        <w:tc>
          <w:tcPr>
            <w:tcW w:w="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51,640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47,839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99,4</w:t>
            </w:r>
          </w:p>
        </w:tc>
      </w:tr>
      <w:tr>
        <w:trPr>
          <w:trHeight w:val="214"/>
        </w:trPr>
        <w:tc>
          <w:tcPr>
            <w:tcW w:w="2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80,064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r>
      <w:tr>
        <w:trPr>
          <w:trHeight w:val="221"/>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(41,573)</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r>
      <w:tr>
        <w:trPr>
          <w:trHeight w:val="214"/>
        </w:trPr>
        <w:tc>
          <w:tcPr>
            <w:tcW w:w="2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46,877</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19,257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r>
      <w:tr>
        <w:trPr>
          <w:trHeight w:val="448"/>
        </w:trPr>
        <w:tc>
          <w:tcPr>
            <w:tcW w:w="72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Other information related to leases as of and for the year ended December 31, 2022 are as follows: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4"/>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1"/>
        </w:trPr>
        <w:tc>
          <w:tcPr>
            <w:tcW w:w="20" w:type="dxa"/>
            <w:vAlign w:val="bottom"/>
            <w:shd w:val="clear" w:color="auto" w:fill="CCEEFF"/>
          </w:tcPr>
          <w:p>
            <w:pPr>
              <w:spacing w:after="0"/>
              <w:rPr>
                <w:sz w:val="15"/>
                <w:szCs w:val="15"/>
                <w:color w:val="auto"/>
              </w:rPr>
            </w:pPr>
          </w:p>
        </w:tc>
        <w:tc>
          <w:tcPr>
            <w:tcW w:w="494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Weighted-average remaining lease term (years)</w:t>
            </w: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1"/>
        </w:trPr>
        <w:tc>
          <w:tcPr>
            <w:tcW w:w="20" w:type="dxa"/>
            <w:vAlign w:val="bottom"/>
            <w:tcBorders>
              <w:top w:val="single" w:sz="8" w:color="CCEEFF"/>
            </w:tcBorders>
          </w:tcPr>
          <w:p>
            <w:pPr>
              <w:spacing w:after="0"/>
              <w:rPr>
                <w:sz w:val="19"/>
                <w:szCs w:val="19"/>
                <w:color w:val="auto"/>
              </w:rPr>
            </w:pPr>
          </w:p>
        </w:tc>
        <w:tc>
          <w:tcPr>
            <w:tcW w:w="3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Operating leases</w:t>
            </w:r>
          </w:p>
        </w:tc>
        <w:tc>
          <w:tcPr>
            <w:tcW w:w="1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center"/>
              <w:ind w:right="534"/>
              <w:spacing w:after="0"/>
              <w:rPr>
                <w:sz w:val="20"/>
                <w:szCs w:val="20"/>
                <w:color w:val="auto"/>
              </w:rPr>
            </w:pPr>
            <w:r>
              <w:rPr>
                <w:rFonts w:ascii="Times New Roman" w:cs="Times New Roman" w:eastAsia="Times New Roman" w:hAnsi="Times New Roman"/>
                <w:sz w:val="17"/>
                <w:szCs w:val="17"/>
                <w:color w:val="auto"/>
              </w:rPr>
              <w:t>12.2</w:t>
            </w:r>
          </w:p>
        </w:tc>
      </w:tr>
      <w:tr>
        <w:trPr>
          <w:trHeight w:val="221"/>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Finance leases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534"/>
              <w:spacing w:after="0"/>
              <w:rPr>
                <w:sz w:val="20"/>
                <w:szCs w:val="20"/>
                <w:color w:val="auto"/>
              </w:rPr>
            </w:pPr>
            <w:r>
              <w:rPr>
                <w:rFonts w:ascii="Times New Roman" w:cs="Times New Roman" w:eastAsia="Times New Roman" w:hAnsi="Times New Roman"/>
                <w:sz w:val="17"/>
                <w:szCs w:val="17"/>
                <w:color w:val="auto"/>
              </w:rPr>
              <w:t>19.0</w:t>
            </w:r>
          </w:p>
        </w:tc>
      </w:tr>
      <w:tr>
        <w:trPr>
          <w:trHeight w:val="91"/>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01"/>
        </w:trPr>
        <w:tc>
          <w:tcPr>
            <w:tcW w:w="20" w:type="dxa"/>
            <w:vAlign w:val="bottom"/>
            <w:shd w:val="clear" w:color="auto" w:fill="CCEEFF"/>
          </w:tcPr>
          <w:p>
            <w:pPr>
              <w:spacing w:after="0"/>
              <w:rPr>
                <w:sz w:val="17"/>
                <w:szCs w:val="17"/>
                <w:color w:val="auto"/>
              </w:rPr>
            </w:pPr>
          </w:p>
        </w:tc>
        <w:tc>
          <w:tcPr>
            <w:tcW w:w="494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2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1"/>
        </w:trPr>
        <w:tc>
          <w:tcPr>
            <w:tcW w:w="20" w:type="dxa"/>
            <w:vAlign w:val="bottom"/>
            <w:tcBorders>
              <w:top w:val="single" w:sz="8" w:color="CCEEFF"/>
            </w:tcBorders>
          </w:tcPr>
          <w:p>
            <w:pPr>
              <w:spacing w:after="0"/>
              <w:rPr>
                <w:sz w:val="19"/>
                <w:szCs w:val="19"/>
                <w:color w:val="auto"/>
              </w:rPr>
            </w:pPr>
          </w:p>
        </w:tc>
        <w:tc>
          <w:tcPr>
            <w:tcW w:w="2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Operating leases</w:t>
            </w:r>
          </w:p>
        </w:tc>
        <w:tc>
          <w:tcPr>
            <w:tcW w:w="260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center"/>
              <w:ind w:right="554"/>
              <w:spacing w:after="0"/>
              <w:rPr>
                <w:sz w:val="20"/>
                <w:szCs w:val="20"/>
                <w:color w:val="auto"/>
              </w:rPr>
            </w:pPr>
            <w:r>
              <w:rPr>
                <w:rFonts w:ascii="Times New Roman" w:cs="Times New Roman" w:eastAsia="Times New Roman" w:hAnsi="Times New Roman"/>
                <w:sz w:val="17"/>
                <w:szCs w:val="17"/>
                <w:color w:val="auto"/>
              </w:rPr>
              <w:t>6.9%</w:t>
            </w:r>
          </w:p>
        </w:tc>
      </w:tr>
      <w:tr>
        <w:trPr>
          <w:trHeight w:val="221"/>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Finance leases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554"/>
              <w:spacing w:after="0"/>
              <w:rPr>
                <w:sz w:val="20"/>
                <w:szCs w:val="20"/>
                <w:color w:val="auto"/>
              </w:rPr>
            </w:pPr>
            <w:r>
              <w:rPr>
                <w:rFonts w:ascii="Times New Roman" w:cs="Times New Roman" w:eastAsia="Times New Roman" w:hAnsi="Times New Roman"/>
                <w:sz w:val="17"/>
                <w:szCs w:val="17"/>
                <w:color w:val="auto"/>
              </w:rPr>
              <w:t>11.2%</w:t>
            </w:r>
          </w:p>
        </w:tc>
      </w:tr>
      <w:tr>
        <w:trPr>
          <w:trHeight w:val="91"/>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700" w:type="dxa"/>
            <w:vAlign w:val="bottom"/>
            <w:gridSpan w:val="2"/>
          </w:tcPr>
          <w:p>
            <w:pPr>
              <w:spacing w:after="0"/>
              <w:rPr>
                <w:sz w:val="7"/>
                <w:szCs w:val="7"/>
                <w:color w:val="auto"/>
              </w:rPr>
            </w:pPr>
          </w:p>
        </w:tc>
        <w:tc>
          <w:tcPr>
            <w:tcW w:w="19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auto"/>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Cash paid for amounts included in the measurement of lease liabilities</w:t>
            </w:r>
          </w:p>
        </w:tc>
        <w:tc>
          <w:tcPr>
            <w:tcW w:w="1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4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1"/>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7"/>
        </w:trPr>
        <w:tc>
          <w:tcPr>
            <w:tcW w:w="20" w:type="dxa"/>
            <w:vAlign w:val="bottom"/>
          </w:tcPr>
          <w:p>
            <w:pPr>
              <w:spacing w:after="0"/>
              <w:rPr>
                <w:sz w:val="19"/>
                <w:szCs w:val="19"/>
                <w:color w:val="auto"/>
              </w:rPr>
            </w:pPr>
          </w:p>
        </w:tc>
        <w:tc>
          <w:tcPr>
            <w:tcW w:w="4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Financing cash flows from finance lease</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bl>
    <w:p>
      <w:pPr>
        <w:spacing w:after="0" w:line="200" w:lineRule="exact"/>
        <w:rPr>
          <w:sz w:val="20"/>
          <w:szCs w:val="20"/>
          <w:color w:val="auto"/>
        </w:rPr>
      </w:pPr>
    </w:p>
    <w:p>
      <w:pPr>
        <w:spacing w:after="0" w:line="24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10.</w:t>
        <w:tab/>
        <w:t>Commitments and Contingencies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sets forth purchase obligations as of December 31, 2022 with a remaining term of at least one year (in thousands):</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4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Commitments</w:t>
            </w:r>
          </w:p>
        </w:tc>
      </w:tr>
      <w:tr>
        <w:trPr>
          <w:trHeight w:val="220"/>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provider</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1"/>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Equipment provider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9"/>
        </w:trPr>
        <w:tc>
          <w:tcPr>
            <w:tcW w:w="4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312"/>
        <w:spacing w:after="0" w:line="293" w:lineRule="auto"/>
        <w:rPr>
          <w:sz w:val="20"/>
          <w:szCs w:val="20"/>
          <w:color w:val="auto"/>
        </w:rPr>
      </w:pPr>
      <w:r>
        <w:rPr>
          <w:rFonts w:ascii="Times New Roman" w:cs="Times New Roman" w:eastAsia="Times New Roman" w:hAnsi="Times New Roman"/>
          <w:sz w:val="17"/>
          <w:szCs w:val="17"/>
          <w:color w:val="auto"/>
        </w:rPr>
        <w:t>The Company enters into contracts with suppliers to purchase materials needed for diagnostic testing. These contracts generally do not require multi-year purchase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8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consolidated financial condition or results of operations.</w:t>
      </w:r>
    </w:p>
    <w:p>
      <w:pPr>
        <w:spacing w:after="0" w:line="137"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Except as described below, the Company was not a party to any material legal proceedings as of December 31, 2022, nor is it a party to any material legal proceedings as of the date of issuance of these audited consolidated financial statements.</w:t>
      </w:r>
    </w:p>
    <w:p>
      <w:pPr>
        <w:spacing w:after="0" w:line="108"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On September 7, 2022, a shareholder class action lawsuit was filed in the United States District Court for the District of Connecticut against the Company and certain of the Company’s current and former officers. The complaint purports to bring suit on behalf of stockholders who purchased the Company’s publicly traded securities between March 14, 2022 and August 15, 2022. Following the appointment of a lead plaintiff, an amended complaint was filed on January 30, 2023. As amended,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spacing w:after="0" w:line="12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CMLS Holdings LLC and certain individuals for breach of fiduciary duty as control persons. The suit seeks to recover unspecified damages on behalf of the alleged class, among other relief. The Company believes the allegations and claims made in the complaint are without merit. The Company is subject to certain claims for advancement and indemnification by the individual defendants in this proceeding.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Defined Contribution Plan</w:t>
      </w:r>
    </w:p>
    <w:p>
      <w:pPr>
        <w:spacing w:after="0" w:line="173"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$9.8 million, $8.0 million and $5.5 million for the years ended December 31, 2022, 2021 and 2020, respectively.</w:t>
      </w:r>
    </w:p>
    <w:p>
      <w:pPr>
        <w:spacing w:after="0" w:line="200" w:lineRule="exact"/>
        <w:rPr>
          <w:sz w:val="20"/>
          <w:szCs w:val="20"/>
          <w:color w:val="auto"/>
        </w:rPr>
      </w:pPr>
    </w:p>
    <w:p>
      <w:pPr>
        <w:spacing w:after="0" w:line="3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Stock-Based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Incentive Plans</w:t>
      </w:r>
    </w:p>
    <w:p>
      <w:pPr>
        <w:spacing w:after="0" w:line="19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24"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2022, there was an aggregate of 9,648,510 shares available for grants of stock options or other awards under the 2021 Plan.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73"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2022.</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Activity</w:t>
      </w:r>
    </w:p>
    <w:p>
      <w:pPr>
        <w:spacing w:after="0" w:line="186"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44"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 financial statements as of July 22, 2021.</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All stock options granted under the 2021 Plan are accounted for as equity awards.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summarizes the stock option activity, which reflects the conversion of the options granted under the 2017 Plan into awards with respect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Class A common stock in connection with the consummation of the Business Combination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56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Stock Options</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40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40" w:type="dxa"/>
            <w:vAlign w:val="bottom"/>
          </w:tcPr>
          <w:p>
            <w:pPr>
              <w:spacing w:after="0"/>
              <w:rPr>
                <w:sz w:val="12"/>
                <w:szCs w:val="12"/>
                <w:color w:val="auto"/>
              </w:rPr>
            </w:pPr>
          </w:p>
        </w:tc>
        <w:tc>
          <w:tcPr>
            <w:tcW w:w="13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30,905,543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109,887</w:t>
            </w:r>
          </w:p>
        </w:tc>
        <w:tc>
          <w:tcPr>
            <w:tcW w:w="0" w:type="dxa"/>
            <w:vAlign w:val="bottom"/>
          </w:tcPr>
          <w:p>
            <w:pPr>
              <w:spacing w:after="0"/>
              <w:rPr>
                <w:sz w:val="1"/>
                <w:szCs w:val="1"/>
                <w:color w:val="auto"/>
              </w:rPr>
            </w:pPr>
          </w:p>
        </w:tc>
      </w:tr>
      <w:tr>
        <w:trPr>
          <w:trHeight w:val="221"/>
        </w:trPr>
        <w:tc>
          <w:tcPr>
            <w:tcW w:w="5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13,347,197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Options 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(11,021,636)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Options forfeited and canceled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(6,868,297)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26,362,807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775,842</w:t>
            </w:r>
          </w:p>
        </w:tc>
        <w:tc>
          <w:tcPr>
            <w:tcW w:w="0" w:type="dxa"/>
            <w:vAlign w:val="bottom"/>
          </w:tcPr>
          <w:p>
            <w:pPr>
              <w:spacing w:after="0"/>
              <w:rPr>
                <w:sz w:val="1"/>
                <w:szCs w:val="1"/>
                <w:color w:val="auto"/>
              </w:rPr>
            </w:pPr>
          </w:p>
        </w:tc>
      </w:tr>
      <w:tr>
        <w:trPr>
          <w:trHeight w:val="227"/>
        </w:trPr>
        <w:tc>
          <w:tcPr>
            <w:tcW w:w="5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Options exercisable at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15,157,018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803,370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Non-vested options outstanding at the end of the year was 11,205,789 with weighted average grant-date fair value of $2.17.</w:t>
      </w:r>
    </w:p>
    <w:p>
      <w:pPr>
        <w:spacing w:after="0" w:line="195"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weighted-average grant-date fair value of options granted and total fair value of the options with tranches vested was $1.55 and $24.5 million for the year ended December 31, 2022, respectively. The weighted-average grant-date fair value of options forfeited and canceled was $4.92 for the year ended December 31, 2022. The aggregate intrinsic value of exercised options was $18.1 million, $17.1 million and $0.6 million in the years ended December 31, 2022, 2021 and 2020, respectively, and is calculated based on the difference between the exercise price and the fair value of the Company’s common stock as of the exercise date. The total payments for share-based liabilities were $0.1 million and $0.3 million in the years ended December 31, 2021 and 2020, respectively, while no payments were made in the year ended December 31, 2022.</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fair value of the stock option awards for the period ended December 31, 2022, and as of December 31, 2021, and 2020 were estimated using the Black-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Scholes option pricing model with the following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6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65.20%-90.00%</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49.60%-67.70%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65.80%</w:t>
            </w:r>
          </w:p>
        </w:tc>
      </w:tr>
      <w:tr>
        <w:trPr>
          <w:trHeight w:val="221"/>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expected volatility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75.00%</w:t>
            </w:r>
          </w:p>
        </w:tc>
        <w:tc>
          <w:tcPr>
            <w:tcW w:w="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66.15%</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65.80%</w:t>
            </w:r>
          </w:p>
        </w:tc>
      </w:tr>
      <w:tr>
        <w:trPr>
          <w:trHeight w:val="22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5.48-6.18</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5.00-6.06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0.50–1.49</w:t>
            </w:r>
          </w:p>
        </w:tc>
      </w:tr>
      <w:tr>
        <w:trPr>
          <w:trHeight w:val="221"/>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1.65%-3.38%</w:t>
            </w:r>
          </w:p>
        </w:tc>
        <w:tc>
          <w:tcPr>
            <w:tcW w:w="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0.71%-1.26%</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0.10%</w:t>
            </w:r>
          </w:p>
        </w:tc>
      </w:tr>
      <w:tr>
        <w:trPr>
          <w:trHeight w:val="22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Class A common stock</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$0.99-$3.45</w:t>
            </w:r>
          </w:p>
        </w:tc>
        <w:tc>
          <w:tcPr>
            <w:tcW w:w="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$7.62-$11.60</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$5.49</w:t>
            </w:r>
          </w:p>
        </w:tc>
      </w:tr>
    </w:tbl>
    <w:p>
      <w:pPr>
        <w:spacing w:after="0" w:line="210" w:lineRule="exact"/>
        <w:rPr>
          <w:sz w:val="20"/>
          <w:szCs w:val="20"/>
          <w:color w:val="auto"/>
        </w:rPr>
      </w:pPr>
    </w:p>
    <w:p>
      <w:pPr>
        <w:ind w:right="140" w:firstLine="312"/>
        <w:spacing w:after="0" w:line="245" w:lineRule="auto"/>
        <w:rPr>
          <w:sz w:val="20"/>
          <w:szCs w:val="20"/>
          <w:color w:val="auto"/>
        </w:rPr>
      </w:pPr>
      <w:r>
        <w:rPr>
          <w:rFonts w:ascii="Times New Roman" w:cs="Times New Roman" w:eastAsia="Times New Roman" w:hAnsi="Times New Roman"/>
          <w:sz w:val="17"/>
          <w:szCs w:val="17"/>
          <w:color w:val="auto"/>
        </w:rPr>
        <w:t>We estimated a volatility factor for the Company’s options based on analysis of historical share prices of a peer group of public companies. We did not rely on the volatility of the Company’s common stock because of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 (RSU)</w:t>
      </w:r>
    </w:p>
    <w:p>
      <w:pPr>
        <w:spacing w:after="0" w:line="173"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with vesting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beginning 12 months from the grant date and vesting immediately on the grant date. The following table summarizes the activity related to the Company's time-based RSUs:</w:t>
      </w:r>
    </w:p>
    <w:p>
      <w:pPr>
        <w:spacing w:after="0" w:line="11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Restricted Stock Units</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 Grant Date Fair</w:t>
            </w:r>
          </w:p>
        </w:tc>
      </w:tr>
      <w:tr>
        <w:trPr>
          <w:trHeight w:val="189"/>
        </w:trPr>
        <w:tc>
          <w:tcPr>
            <w:tcW w:w="5680" w:type="dxa"/>
            <w:vAlign w:val="bottom"/>
          </w:tcPr>
          <w:p>
            <w:pPr>
              <w:spacing w:after="0"/>
              <w:rPr>
                <w:sz w:val="16"/>
                <w:szCs w:val="16"/>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Value Per Unit</w:t>
            </w:r>
          </w:p>
        </w:tc>
      </w:tr>
      <w:tr>
        <w:trPr>
          <w:trHeight w:val="21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12,589,558</w:t>
            </w:r>
          </w:p>
        </w:tc>
        <w:tc>
          <w:tcPr>
            <w:tcW w:w="8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center"/>
              <w:ind w:left="1878"/>
              <w:spacing w:after="0"/>
              <w:rPr>
                <w:sz w:val="20"/>
                <w:szCs w:val="20"/>
                <w:color w:val="auto"/>
              </w:rPr>
            </w:pPr>
            <w:r>
              <w:rPr>
                <w:rFonts w:ascii="Times New Roman" w:cs="Times New Roman" w:eastAsia="Times New Roman" w:hAnsi="Times New Roman"/>
                <w:sz w:val="17"/>
                <w:szCs w:val="17"/>
                <w:color w:val="auto"/>
              </w:rPr>
              <w:t>7.64</w:t>
            </w:r>
          </w:p>
        </w:tc>
      </w:tr>
      <w:tr>
        <w:trPr>
          <w:trHeight w:val="221"/>
        </w:trPr>
        <w:tc>
          <w:tcPr>
            <w:tcW w:w="5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Stock Units 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29,004,515</w:t>
            </w:r>
          </w:p>
        </w:tc>
        <w:tc>
          <w:tcPr>
            <w:tcW w:w="80" w:type="dxa"/>
            <w:vAlign w:val="bottom"/>
          </w:tcPr>
          <w:p>
            <w:pPr>
              <w:spacing w:after="0"/>
              <w:rPr>
                <w:sz w:val="19"/>
                <w:szCs w:val="19"/>
                <w:color w:val="auto"/>
              </w:rPr>
            </w:pPr>
          </w:p>
        </w:tc>
        <w:tc>
          <w:tcPr>
            <w:tcW w:w="2380" w:type="dxa"/>
            <w:vAlign w:val="bottom"/>
          </w:tcPr>
          <w:p>
            <w:pPr>
              <w:jc w:val="center"/>
              <w:ind w:left="1878"/>
              <w:spacing w:after="0"/>
              <w:rPr>
                <w:sz w:val="20"/>
                <w:szCs w:val="20"/>
                <w:color w:val="auto"/>
              </w:rPr>
            </w:pPr>
            <w:r>
              <w:rPr>
                <w:rFonts w:ascii="Times New Roman" w:cs="Times New Roman" w:eastAsia="Times New Roman" w:hAnsi="Times New Roman"/>
                <w:sz w:val="17"/>
                <w:szCs w:val="17"/>
                <w:color w:val="auto"/>
                <w:w w:val="99"/>
              </w:rPr>
              <w:t>$1.63</w:t>
            </w:r>
          </w:p>
        </w:tc>
      </w:tr>
      <w:tr>
        <w:trPr>
          <w:trHeight w:val="221"/>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Stock Units vested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(4,841,898)</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ind w:left="1878"/>
              <w:spacing w:after="0"/>
              <w:rPr>
                <w:sz w:val="20"/>
                <w:szCs w:val="20"/>
                <w:color w:val="auto"/>
              </w:rPr>
            </w:pPr>
            <w:r>
              <w:rPr>
                <w:rFonts w:ascii="Times New Roman" w:cs="Times New Roman" w:eastAsia="Times New Roman" w:hAnsi="Times New Roman"/>
                <w:sz w:val="17"/>
                <w:szCs w:val="17"/>
                <w:color w:val="auto"/>
                <w:w w:val="99"/>
              </w:rPr>
              <w:t>$6.46</w:t>
            </w:r>
          </w:p>
        </w:tc>
      </w:tr>
      <w:tr>
        <w:trPr>
          <w:trHeight w:val="221"/>
        </w:trPr>
        <w:tc>
          <w:tcPr>
            <w:tcW w:w="5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Restricted Stock Units 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(8,535,177)</w:t>
            </w:r>
          </w:p>
        </w:tc>
        <w:tc>
          <w:tcPr>
            <w:tcW w:w="8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center"/>
              <w:ind w:left="1878"/>
              <w:spacing w:after="0"/>
              <w:rPr>
                <w:sz w:val="20"/>
                <w:szCs w:val="20"/>
                <w:color w:val="auto"/>
              </w:rPr>
            </w:pPr>
            <w:r>
              <w:rPr>
                <w:rFonts w:ascii="Times New Roman" w:cs="Times New Roman" w:eastAsia="Times New Roman" w:hAnsi="Times New Roman"/>
                <w:sz w:val="17"/>
                <w:szCs w:val="17"/>
                <w:color w:val="auto"/>
                <w:w w:val="99"/>
              </w:rPr>
              <w:t>$5.51</w:t>
            </w:r>
          </w:p>
        </w:tc>
      </w:tr>
      <w:tr>
        <w:trPr>
          <w:trHeight w:val="214"/>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28,216,998</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jc w:val="center"/>
              <w:ind w:left="1878"/>
              <w:spacing w:after="0"/>
              <w:rPr>
                <w:sz w:val="20"/>
                <w:szCs w:val="20"/>
                <w:color w:val="auto"/>
              </w:rPr>
            </w:pPr>
            <w:r>
              <w:rPr>
                <w:rFonts w:ascii="Times New Roman" w:cs="Times New Roman" w:eastAsia="Times New Roman" w:hAnsi="Times New Roman"/>
                <w:sz w:val="17"/>
                <w:szCs w:val="17"/>
                <w:color w:val="auto"/>
                <w:w w:val="99"/>
              </w:rPr>
              <w:t>$2.36</w:t>
            </w:r>
          </w:p>
        </w:tc>
      </w:tr>
    </w:tbl>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total fair value of RSUs vested for the year ended December 31, 2022 was $33.7 million.</w:t>
      </w:r>
    </w:p>
    <w:p>
      <w:pPr>
        <w:spacing w:after="0" w:line="18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Additionally, the Company issued 126,980 RSUs subject to both service and performance based vesting conditions to the Executive Chairman of the Company. The grant date was established during the second quarter period and vesting of the RSUs will be based on the achievement of performance goals established for calendar year 2022. As of December 31, 2022, these RSUs were all forfeited due to the established performance goals not being achieved.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Earn-out RSUs</w:t>
      </w:r>
    </w:p>
    <w:p>
      <w:pPr>
        <w:spacing w:after="0" w:line="17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grant date fair value determined for Triggering Event I, II and III was $1.82, $1.39 and $0.94 per unit, respectively. At year-end, any re-allocated RSUs due to the Legacy Sema4 option holders’ forfeiture activities were accounted for as new grants and the fair value determined for Triggering Event I, II and III was $0, $0 and $0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 (SAR) Activity</w:t>
      </w:r>
    </w:p>
    <w:p>
      <w:pPr>
        <w:spacing w:after="0" w:line="19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There were no outstanding SARs as of December 31,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Stock-based compensation expense is included within the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3"/>
        </w:trPr>
        <w:tc>
          <w:tcPr>
            <w:tcW w:w="6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1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22,567</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12,942</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26,650</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11,755</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68,884</w:t>
            </w: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41,975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219,421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120,231</w:t>
            </w:r>
          </w:p>
        </w:tc>
      </w:tr>
      <w:tr>
        <w:trPr>
          <w:trHeight w:val="20"/>
        </w:trPr>
        <w:tc>
          <w:tcPr>
            <w:tcW w:w="6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As of December 31, 2022, unrecognized stock-based compensation cost related to the unvested portion of the Company’s stock options was $12.7 million, which is expected to be recognized on a graded-vesting basis over a weighted-average period of 1.7 years. As of December 31, 2022, unrecognized stock-based compensation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the Company’s RSUs was $34.5 million, which is expected to be recognized on a graded-vesting basis over a weighted-average period of 1.7 years.</w:t>
      </w:r>
    </w:p>
    <w:p>
      <w:pPr>
        <w:spacing w:after="0" w:line="16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tab/>
        <w:t>Common Stock</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There were 388,511,138 shares and 242,647,604 shares of GeneDx Holdings Class A common stock issued and outstanding as of December 31, 2022 and 2021, respectively. Each share of common stock entitles the holder to one vote and to receive dividends when and if declared by the board of directors of the Company. No dividends have been declared through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income before incomes taxes consisted of the following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(598,136)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(245,390)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(241,340)</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(598,032)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(245,390)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(241,340)</w:t>
            </w:r>
          </w:p>
        </w:tc>
      </w:tr>
      <w:tr>
        <w:trPr>
          <w:trHeight w:val="289"/>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and Local</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w:t>
            </w: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6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(40,828)</w:t>
            </w:r>
          </w:p>
        </w:tc>
        <w:tc>
          <w:tcPr>
            <w:tcW w:w="1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and Local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(49,124)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Tax Expense</w:t>
            </w: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(49,052)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For the years ended December 31, 2022, 2021 and 2020, the Company recorded a total income tax benefit of $49,052, $0, $0, respectively. Accordingly, the effective tax rate for the Company for the years ended December 31, 2022, 2021 and 2020 was 8.2%, 0%, 0%, respectively. A reconciliation of the anticipated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(benefit) computed by applying the statutory federal income tax rate of 21% to loss before income taxes to the amount reported in the statement of operations and comprehensive loss is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Pr>
          <w:p>
            <w:pPr>
              <w:spacing w:after="0"/>
              <w:rPr>
                <w:sz w:val="15"/>
                <w:szCs w:val="15"/>
                <w:color w:val="auto"/>
              </w:rPr>
            </w:pPr>
          </w:p>
        </w:tc>
      </w:tr>
      <w:tr>
        <w:trPr>
          <w:trHeight w:val="23"/>
        </w:trPr>
        <w:tc>
          <w:tcPr>
            <w:tcW w:w="63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2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taxes at statutory rate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 (net of federal benefit)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Non-deductible stock-based compensation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(7.8)</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162(m) Limitation</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Permanent Items</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fair market value gain on warrants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Impairment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(6.1)</w:t>
            </w:r>
          </w:p>
        </w:tc>
        <w:tc>
          <w:tcPr>
            <w:tcW w:w="10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(9.6)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(15.9)</w:t>
            </w: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tax effects of temporary differences and carryforwards that give rise to significant portions of the net deferred tax assets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5"/>
                <w:szCs w:val="15"/>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2"/>
        </w:trPr>
        <w:tc>
          <w:tcPr>
            <w:tcW w:w="80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199,426</w:t>
            </w:r>
          </w:p>
        </w:tc>
        <w:tc>
          <w:tcPr>
            <w:tcW w:w="80" w:type="dxa"/>
            <w:vAlign w:val="bottom"/>
          </w:tcPr>
          <w:p>
            <w:pPr>
              <w:spacing w:after="0"/>
              <w:rPr>
                <w:sz w:val="19"/>
                <w:szCs w:val="19"/>
                <w:color w:val="auto"/>
              </w:rPr>
            </w:pP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132,075</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12,311</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4,170</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costs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7,285</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Unearned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employer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Obsolete inventory reserve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Section 174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4"/>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280,963</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160,463</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Valuation allowance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(226,644)</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(155,668)</w:t>
            </w:r>
          </w:p>
        </w:tc>
      </w:tr>
      <w:tr>
        <w:trPr>
          <w:trHeight w:val="214"/>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54,319</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6"/>
        </w:trPr>
        <w:tc>
          <w:tcPr>
            <w:tcW w:w="8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1"/>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ROU asset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0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(4,795)</w:t>
            </w:r>
          </w:p>
        </w:tc>
      </w:tr>
      <w:tr>
        <w:trPr>
          <w:trHeight w:val="221"/>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Intangible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(48,248)</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(56,978)</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liability after valuation allowance</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of December 31, 2022, the Company had the following tax net operating loss carryforwards available to reduce future federal and state taxable income, and tax credit carryforwards available to offset future federal and Connecticut income taxes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period</w:t>
            </w:r>
          </w:p>
        </w:tc>
      </w:tr>
      <w:tr>
        <w:trPr>
          <w:trHeight w:val="23"/>
        </w:trPr>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net operating loss carryforwards: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 (pre-2018 net operating losses)</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33,056</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2036-2037</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Federal (post-2017 net operating losses)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656,536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 expiration</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and Local</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974,006</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2028-2042</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 and Local</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42,314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 expiration</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 carryforwards: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Federal research and development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2038-2040</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Connecticut research and experimental</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2035-2036</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Connecticut research and development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 expiration</w:t>
            </w: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the following deferred tax valuation allowance balances (in thousands):</w:t>
      </w:r>
    </w:p>
    <w:p>
      <w:pPr>
        <w:spacing w:after="0" w:line="200" w:lineRule="exact"/>
        <w:rPr>
          <w:sz w:val="20"/>
          <w:szCs w:val="20"/>
          <w:color w:val="auto"/>
        </w:rPr>
      </w:pPr>
    </w:p>
    <w:p>
      <w:pPr>
        <w:spacing w:after="0" w:line="28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1120" w:type="dxa"/>
            <w:vAlign w:val="bottom"/>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00" w:type="dxa"/>
            <w:vAlign w:val="bottom"/>
          </w:tcPr>
          <w:p>
            <w:pPr>
              <w:spacing w:after="0"/>
              <w:rPr>
                <w:sz w:val="15"/>
                <w:szCs w:val="15"/>
                <w:color w:val="auto"/>
              </w:rPr>
            </w:pPr>
          </w:p>
        </w:tc>
        <w:tc>
          <w:tcPr>
            <w:tcW w:w="258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w w:val="97"/>
              </w:rPr>
              <w:t>Balance at the Beginning of Period</w:t>
            </w:r>
          </w:p>
        </w:tc>
        <w:tc>
          <w:tcPr>
            <w:tcW w:w="2280" w:type="dxa"/>
            <w:vAlign w:val="bottom"/>
          </w:tcPr>
          <w:p>
            <w:pPr>
              <w:jc w:val="right"/>
              <w:ind w:right="109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Write-Offs/Other</w:t>
            </w:r>
          </w:p>
        </w:tc>
        <w:tc>
          <w:tcPr>
            <w:tcW w:w="280" w:type="dxa"/>
            <w:vAlign w:val="bottom"/>
          </w:tcPr>
          <w:p>
            <w:pPr>
              <w:spacing w:after="0"/>
              <w:rPr>
                <w:sz w:val="15"/>
                <w:szCs w:val="15"/>
                <w:color w:val="auto"/>
              </w:rPr>
            </w:pPr>
          </w:p>
        </w:tc>
        <w:tc>
          <w:tcPr>
            <w:tcW w:w="20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Balance at the End of Period</w:t>
            </w:r>
          </w:p>
        </w:tc>
      </w:tr>
      <w:tr>
        <w:trPr>
          <w:trHeight w:val="23"/>
        </w:trPr>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4"/>
        </w:trPr>
        <w:tc>
          <w:tcPr>
            <w:tcW w:w="112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7"/>
                <w:szCs w:val="17"/>
                <w:color w:val="auto"/>
                <w:w w:val="99"/>
              </w:rPr>
              <w:t>2022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58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7"/>
                <w:szCs w:val="17"/>
                <w:color w:val="auto"/>
              </w:rPr>
              <w:t>155,668</w:t>
            </w:r>
          </w:p>
        </w:tc>
        <w:tc>
          <w:tcPr>
            <w:tcW w:w="22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70,976</w:t>
            </w:r>
          </w:p>
        </w:tc>
        <w:tc>
          <w:tcPr>
            <w:tcW w:w="204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226,644</w:t>
            </w:r>
          </w:p>
        </w:tc>
      </w:tr>
      <w:tr>
        <w:trPr>
          <w:trHeight w:val="221"/>
        </w:trPr>
        <w:tc>
          <w:tcPr>
            <w:tcW w:w="1120" w:type="dxa"/>
            <w:vAlign w:val="bottom"/>
          </w:tcPr>
          <w:p>
            <w:pPr>
              <w:jc w:val="center"/>
              <w:ind w:left="98"/>
              <w:spacing w:after="0"/>
              <w:rPr>
                <w:sz w:val="20"/>
                <w:szCs w:val="20"/>
                <w:color w:val="auto"/>
              </w:rPr>
            </w:pPr>
            <w:r>
              <w:rPr>
                <w:rFonts w:ascii="Times New Roman" w:cs="Times New Roman" w:eastAsia="Times New Roman" w:hAnsi="Times New Roman"/>
                <w:sz w:val="17"/>
                <w:szCs w:val="17"/>
                <w:color w:val="auto"/>
                <w:w w:val="99"/>
              </w:rPr>
              <w:t>2021</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580" w:type="dxa"/>
            <w:vAlign w:val="bottom"/>
          </w:tcPr>
          <w:p>
            <w:pPr>
              <w:jc w:val="right"/>
              <w:ind w:right="418"/>
              <w:spacing w:after="0"/>
              <w:rPr>
                <w:sz w:val="20"/>
                <w:szCs w:val="20"/>
                <w:color w:val="auto"/>
              </w:rPr>
            </w:pPr>
            <w:r>
              <w:rPr>
                <w:rFonts w:ascii="Times New Roman" w:cs="Times New Roman" w:eastAsia="Times New Roman" w:hAnsi="Times New Roman"/>
                <w:sz w:val="17"/>
                <w:szCs w:val="17"/>
                <w:color w:val="auto"/>
              </w:rPr>
              <w:t>58,264</w:t>
            </w:r>
          </w:p>
        </w:tc>
        <w:tc>
          <w:tcPr>
            <w:tcW w:w="228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rPr>
              <w:t>97,404</w:t>
            </w:r>
          </w:p>
        </w:tc>
        <w:tc>
          <w:tcPr>
            <w:tcW w:w="204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155,668</w:t>
            </w:r>
          </w:p>
        </w:tc>
      </w:tr>
      <w:tr>
        <w:trPr>
          <w:trHeight w:val="221"/>
        </w:trPr>
        <w:tc>
          <w:tcPr>
            <w:tcW w:w="112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7"/>
                <w:szCs w:val="17"/>
                <w:color w:val="auto"/>
                <w:w w:val="99"/>
              </w:rPr>
              <w:t>2020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58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7"/>
                <w:szCs w:val="17"/>
                <w:color w:val="auto"/>
              </w:rPr>
              <w:t>20,082</w:t>
            </w:r>
          </w:p>
        </w:tc>
        <w:tc>
          <w:tcPr>
            <w:tcW w:w="22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38,182</w:t>
            </w:r>
          </w:p>
        </w:tc>
        <w:tc>
          <w:tcPr>
            <w:tcW w:w="204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58,264</w:t>
            </w:r>
          </w:p>
        </w:tc>
      </w:tr>
    </w:tbl>
    <w:p>
      <w:pPr>
        <w:spacing w:after="0" w:line="216" w:lineRule="exact"/>
        <w:rPr>
          <w:sz w:val="20"/>
          <w:szCs w:val="20"/>
          <w:color w:val="auto"/>
        </w:rPr>
      </w:pPr>
    </w:p>
    <w:p>
      <w:pPr>
        <w:jc w:val="both"/>
        <w:ind w:firstLine="312"/>
        <w:spacing w:after="0" w:line="286" w:lineRule="auto"/>
        <w:rPr>
          <w:sz w:val="20"/>
          <w:szCs w:val="20"/>
          <w:color w:val="auto"/>
        </w:rPr>
      </w:pPr>
      <w:r>
        <w:rPr>
          <w:rFonts w:ascii="Times New Roman" w:cs="Times New Roman" w:eastAsia="Times New Roman" w:hAnsi="Times New Roman"/>
          <w:sz w:val="17"/>
          <w:szCs w:val="17"/>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315"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0"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Future realization of the tax benefits of existing temporary differences and carryforwards ultimately depends on the existence of sufficient taxable income within the carryforward period. As of December 31, 2022, 2021, and 2020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partial valuation allowance as of December 31, 2022 and a full valuation allowance as of December 31, 2021 and 2020. The valuation allowance increased by $71.0 million in 2022, $97.4 million in 2021 and $38.1 million in 2020 primarily due to the increase in net operating loss carryforwards, research and development tax credits, accrued compensation expenses, stock-based compensation, lease liability, Section 174 amortization and accrued expenses.</w:t>
      </w:r>
    </w:p>
    <w:p>
      <w:pPr>
        <w:spacing w:after="0" w:line="125"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18"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11"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As of December 31, 2022, 2021 and 2020,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32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 reconciliation of the beginning and ending amounts of unrecognized tax benefits for the years ended December 31, 2022, 2021 and 2020 is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
        </w:trPr>
        <w:tc>
          <w:tcPr>
            <w:tcW w:w="63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Unrecognized tax benefits – January 1</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6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increases – tax positions in current period</w:t>
            </w:r>
          </w:p>
        </w:tc>
        <w:tc>
          <w:tcPr>
            <w:tcW w:w="10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27"/>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Unrecognized tax benefits – December 31</w:t>
            </w: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6"/>
        </w:trPr>
        <w:tc>
          <w:tcPr>
            <w:tcW w:w="6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To the extent penalties and interest would be assessed on any underpayment of income tax, the Company’s policy is that such amounts would be accrued and classified as a component of income tax expense in the financial statements. As of December 31, 2022, 2021 and 2020, the Company has accrued interest or penalties related to uncertain tax positions of less than $0.1 million, $0, and $0 respectively.</w:t>
      </w:r>
    </w:p>
    <w:p>
      <w:pPr>
        <w:spacing w:after="0" w:line="11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14.</w:t>
        <w:tab/>
        <w:t>Net Loss per Share</w:t>
      </w:r>
    </w:p>
    <w:p>
      <w:pPr>
        <w:spacing w:after="0" w:line="17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1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(245,390)</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(241,340)</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Denominator for basic and diluted earnings per share-weighted-average common shares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337,819,680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108,077,439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5,131</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loss per share</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(47,036)</w:t>
            </w:r>
          </w:p>
        </w:tc>
      </w:tr>
    </w:tbl>
    <w:p>
      <w:pPr>
        <w:spacing w:after="0" w:line="242"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2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the Company’s Class A common stock upon consummation of the Merger, all outstanding Legacy Sema4 Class B common stock has been retroactively converted to the Company’s Class A common stock.</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summarize the outstanding shares of potentially dilutive securities that were excluded from the computation of diluted net loss per share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attributable</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stockholders</w:t>
            </w:r>
          </w:p>
        </w:tc>
        <w:tc>
          <w:tcPr>
            <w:tcW w:w="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w:t>
            </w:r>
          </w:p>
        </w:tc>
        <w:tc>
          <w:tcPr>
            <w:tcW w:w="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period</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presented</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because</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including</w:t>
            </w: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them</w:t>
            </w: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would</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have</w:t>
            </w: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been</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anti-dilutive:</w:t>
            </w:r>
          </w:p>
        </w:tc>
      </w:tr>
      <w:tr>
        <w:trPr>
          <w:trHeight w:val="184"/>
        </w:trPr>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2"/>
        </w:trPr>
        <w:tc>
          <w:tcPr>
            <w:tcW w:w="9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0"/>
        </w:trPr>
        <w:tc>
          <w:tcPr>
            <w:tcW w:w="2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options and RSUs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54,579,805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35,519,867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32,339,971</w:t>
            </w:r>
          </w:p>
        </w:tc>
      </w:tr>
      <w:tr>
        <w:trPr>
          <w:trHeight w:val="247"/>
        </w:trPr>
        <w:tc>
          <w:tcPr>
            <w:tcW w:w="2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Outstanding warrants</w:t>
            </w: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21,994,972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21,994,972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2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earn-out shares</w:t>
            </w: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18,228,934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16,351,897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earn-out 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792,642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2,669,679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convertible preferred stock (on an if-converted basis)</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157,618,388</w:t>
            </w: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95,596,353</w:t>
            </w:r>
          </w:p>
        </w:tc>
        <w:tc>
          <w:tcPr>
            <w:tcW w:w="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76,536,415</w:t>
            </w: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189,958,359</w:t>
            </w:r>
          </w:p>
        </w:tc>
      </w:tr>
      <w:tr>
        <w:trPr>
          <w:trHeight w:val="20"/>
        </w:trPr>
        <w:tc>
          <w:tcPr>
            <w:tcW w:w="6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Restructuring Costs</w:t>
      </w:r>
    </w:p>
    <w:p>
      <w:pPr>
        <w:spacing w:after="0" w:line="197"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During the year ended December 31, 2022, the Company’s Compensation Committee of the Board of Directors approved by written consents, dated February 17, 2022, May 2, 2022 and August 11, 2022, a restructuring plan which was fully executed by management and restructuring charges were incurred and recorded in connection therewith, including an exit of the Company’s somatic tumor testing business. These costs include severance packages offered to the employees impacted by the plan, third party consulting costs, and costs related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laboratory in Branford, CT. The plan resulted in the Company eliminating approximately 250 positions.</w:t>
      </w:r>
    </w:p>
    <w:p>
      <w:pPr>
        <w:spacing w:after="0" w:line="182" w:lineRule="exact"/>
        <w:rPr>
          <w:sz w:val="20"/>
          <w:szCs w:val="20"/>
          <w:color w:val="auto"/>
        </w:rPr>
      </w:pPr>
    </w:p>
    <w:p>
      <w:pPr>
        <w:jc w:val="both"/>
        <w:ind w:right="100" w:firstLine="312"/>
        <w:spacing w:after="0" w:line="242" w:lineRule="auto"/>
        <w:rPr>
          <w:sz w:val="20"/>
          <w:szCs w:val="20"/>
          <w:color w:val="auto"/>
        </w:rPr>
      </w:pPr>
      <w:r>
        <w:rPr>
          <w:rFonts w:ascii="Times New Roman" w:cs="Times New Roman" w:eastAsia="Times New Roman" w:hAnsi="Times New Roman"/>
          <w:sz w:val="17"/>
          <w:szCs w:val="17"/>
          <w:color w:val="auto"/>
        </w:rPr>
        <w:t>Additionally, on November 14, 2022, the Company announced its plan to pursue a new strategic direction focused on the Company’s pediatric and rare disease testing business coupled with the Company’s Centrellis data platform. The Company’s strategic realignment was unanimously approved by the board of directors on November 11, 2022 included exiting its reproductive and women’s health testing business, which included carrier screening, noninvasive prenatal, and other ancillary reproductive testing offerings. The Company ceased accepting samples for these tests on December 14, 2022 and notified its customers impacted by the decision immediately. The Company expects to exit the operations of the reproductive and women’s health testing services by the end of the first quarter of 2023. As a result of this announcement, the Company expects to eliminate approximately 500 positions, and to cease operations at its Stamford, CT laboratory. When combined with the Company’s prior reductions in force during 2022, the exit will result in the elimination of approximately 32.5% of its workforce.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The  table  below  provides  certain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information</w:t>
            </w: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concerning  restructuring  activity</w:t>
            </w:r>
          </w:p>
        </w:tc>
        <w:tc>
          <w:tcPr>
            <w:tcW w:w="472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during  the  year  ended  December  31,  2022  (in  thousands):</w:t>
            </w:r>
          </w:p>
        </w:tc>
      </w:tr>
      <w:tr>
        <w:trPr>
          <w:trHeight w:val="198"/>
        </w:trPr>
        <w:tc>
          <w:tcPr>
            <w:tcW w:w="1440" w:type="dxa"/>
            <w:vAlign w:val="bottom"/>
          </w:tcPr>
          <w:p>
            <w:pPr>
              <w:spacing w:after="0"/>
              <w:rPr>
                <w:sz w:val="17"/>
                <w:szCs w:val="17"/>
                <w:color w:val="auto"/>
              </w:rPr>
            </w:pPr>
          </w:p>
        </w:tc>
        <w:tc>
          <w:tcPr>
            <w:tcW w:w="2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Reserve Balance at December 31, 2021</w:t>
            </w:r>
          </w:p>
        </w:tc>
        <w:tc>
          <w:tcPr>
            <w:tcW w:w="180" w:type="dxa"/>
            <w:vAlign w:val="bottom"/>
          </w:tcPr>
          <w:p>
            <w:pPr>
              <w:spacing w:after="0"/>
              <w:rPr>
                <w:sz w:val="17"/>
                <w:szCs w:val="17"/>
                <w:color w:val="auto"/>
              </w:rPr>
            </w:pP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Charged to Costs and Expenses</w:t>
            </w:r>
          </w:p>
        </w:tc>
        <w:tc>
          <w:tcPr>
            <w:tcW w:w="160" w:type="dxa"/>
            <w:vAlign w:val="bottom"/>
          </w:tcPr>
          <w:p>
            <w:pPr>
              <w:spacing w:after="0"/>
              <w:rPr>
                <w:sz w:val="17"/>
                <w:szCs w:val="17"/>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Payments and Other</w:t>
            </w:r>
          </w:p>
        </w:tc>
        <w:tc>
          <w:tcPr>
            <w:tcW w:w="2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Reserve Balance at December 31, 2022</w:t>
            </w:r>
          </w:p>
        </w:tc>
      </w:tr>
      <w:tr>
        <w:trPr>
          <w:trHeight w:val="23"/>
        </w:trPr>
        <w:tc>
          <w:tcPr>
            <w:tcW w:w="14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w:t>
            </w: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4,770</w:t>
            </w:r>
          </w:p>
        </w:tc>
        <w:tc>
          <w:tcPr>
            <w:tcW w:w="60" w:type="dxa"/>
            <w:vAlign w:val="bottom"/>
          </w:tcPr>
          <w:p>
            <w:pPr>
              <w:spacing w:after="0"/>
              <w:rPr>
                <w:sz w:val="18"/>
                <w:szCs w:val="18"/>
                <w:color w:val="auto"/>
              </w:rPr>
            </w:pPr>
          </w:p>
        </w:tc>
      </w:tr>
      <w:tr>
        <w:trPr>
          <w:trHeight w:val="221"/>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15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60" w:type="dxa"/>
            <w:vAlign w:val="bottom"/>
          </w:tcPr>
          <w:p>
            <w:pPr>
              <w:spacing w:after="0"/>
              <w:rPr>
                <w:sz w:val="19"/>
                <w:szCs w:val="19"/>
                <w:color w:val="auto"/>
              </w:rPr>
            </w:pPr>
          </w:p>
        </w:tc>
      </w:tr>
      <w:tr>
        <w:trPr>
          <w:trHeight w:val="214"/>
        </w:trPr>
        <w:tc>
          <w:tcPr>
            <w:tcW w:w="1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5,023</w:t>
            </w:r>
          </w:p>
        </w:tc>
        <w:tc>
          <w:tcPr>
            <w:tcW w:w="60" w:type="dxa"/>
            <w:vAlign w:val="bottom"/>
          </w:tcPr>
          <w:p>
            <w:pPr>
              <w:spacing w:after="0"/>
              <w:rPr>
                <w:sz w:val="18"/>
                <w:szCs w:val="18"/>
                <w:color w:val="auto"/>
              </w:rPr>
            </w:pPr>
          </w:p>
        </w:tc>
      </w:tr>
    </w:tbl>
    <w:p>
      <w:pPr>
        <w:spacing w:after="0" w:line="242" w:lineRule="exact"/>
        <w:rPr>
          <w:sz w:val="20"/>
          <w:szCs w:val="20"/>
          <w:color w:val="auto"/>
        </w:rPr>
      </w:pPr>
    </w:p>
    <w:p>
      <w:pPr>
        <w:jc w:val="both"/>
        <w:ind w:right="100" w:firstLine="312"/>
        <w:spacing w:after="0" w:line="266" w:lineRule="auto"/>
        <w:rPr>
          <w:sz w:val="20"/>
          <w:szCs w:val="20"/>
          <w:color w:val="auto"/>
        </w:rPr>
      </w:pPr>
      <w:r>
        <w:rPr>
          <w:rFonts w:ascii="Times New Roman" w:cs="Times New Roman" w:eastAsia="Times New Roman" w:hAnsi="Times New Roman"/>
          <w:sz w:val="17"/>
          <w:szCs w:val="17"/>
          <w:color w:val="auto"/>
        </w:rPr>
        <w:t>The Company may incur additional expenses not currently contemplated due to events associated with the reduction in force. The charges that the Company expects to incur in connection with the reduction in force are estimates and subject to a number of assumptions, and actual results may differ materially.</w:t>
      </w:r>
    </w:p>
    <w:p>
      <w:pPr>
        <w:spacing w:after="0" w:line="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16.</w:t>
        <w:tab/>
        <w:t>Supplemental Financial Information</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Accrued expenses consisted of the following (in thousands):</w:t>
      </w:r>
    </w:p>
    <w:p>
      <w:pPr>
        <w:spacing w:after="0" w:line="202"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29210</wp:posOffset>
            </wp:positionV>
            <wp:extent cx="18040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04035" cy="8255"/>
                    </a:xfrm>
                    <a:prstGeom prst="rect">
                      <a:avLst/>
                    </a:prstGeom>
                    <a:noFill/>
                  </pic:spPr>
                </pic:pic>
              </a:graphicData>
            </a:graphic>
          </wp:anchor>
        </w:drawing>
      </w:r>
    </w:p>
    <w:p>
      <w:pPr>
        <w:spacing w:after="0" w:line="27" w:lineRule="exact"/>
        <w:rPr>
          <w:sz w:val="20"/>
          <w:szCs w:val="20"/>
          <w:color w:val="auto"/>
        </w:rPr>
      </w:pPr>
    </w:p>
    <w:p>
      <w:pPr>
        <w:ind w:left="910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ectPr>
          <w:pgSz w:w="11900" w:h="16838" w:orient="portrait"/>
          <w:cols w:equalWidth="0" w:num="1">
            <w:col w:w="11340"/>
          </w:cols>
          <w:pgMar w:left="320" w:top="121" w:right="239" w:bottom="1440" w:gutter="0" w:footer="0" w:header="0"/>
        </w:sectPr>
      </w:pP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Accrued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-120015</wp:posOffset>
            </wp:positionV>
            <wp:extent cx="7000240" cy="156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00240" cy="156845"/>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Reserves for refunds to insurance carriers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-120015</wp:posOffset>
            </wp:positionV>
            <wp:extent cx="7000240" cy="156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00240" cy="156845"/>
                    </a:xfrm>
                    <a:prstGeom prst="rect">
                      <a:avLst/>
                    </a:prstGeom>
                    <a:noFill/>
                  </pic:spPr>
                </pic:pic>
              </a:graphicData>
            </a:graphic>
          </wp:anchor>
        </w:drawing>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Total</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current liabilities consisted of the following (in thousands):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47"/>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7"/>
        </w:trPr>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4"/>
        </w:trPr>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38,861</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29210</wp:posOffset>
            </wp:positionV>
            <wp:extent cx="2040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 w:lineRule="exact"/>
        <w:rPr>
          <w:sz w:val="20"/>
          <w:szCs w:val="20"/>
          <w:color w:val="auto"/>
        </w:rPr>
      </w:pPr>
    </w:p>
    <w:p>
      <w:pPr>
        <w:ind w:left="180"/>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6" w:lineRule="exact"/>
        <w:rPr>
          <w:sz w:val="20"/>
          <w:szCs w:val="20"/>
          <w:color w:val="auto"/>
        </w:rPr>
      </w:pPr>
    </w:p>
    <w:p>
      <w:pPr>
        <w:sectPr>
          <w:pgSz w:w="11900" w:h="16838" w:orient="portrait"/>
          <w:cols w:equalWidth="0" w:num="2">
            <w:col w:w="7780" w:space="720"/>
            <w:col w:w="2840"/>
          </w:cols>
          <w:pgMar w:left="32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bonus</w:t>
            </w: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w:t>
            </w: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13,561</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payroll</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7,013</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benefits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commissions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2,826</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Severance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Indemnification liabilities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portion of the contingent consideration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(1)</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8,930</w:t>
            </w:r>
          </w:p>
        </w:tc>
      </w:tr>
      <w:tr>
        <w:trPr>
          <w:trHeight w:val="214"/>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other liabilities</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49,665</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33,387</w:t>
            </w:r>
          </w:p>
        </w:tc>
      </w:tr>
      <w:tr>
        <w:trPr>
          <w:trHeight w:val="20"/>
        </w:trPr>
        <w:tc>
          <w:tcPr>
            <w:tcW w:w="8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2021 amount includes $3.4 million that was separately disclosed under current portion of capital lease obligations on the consolidated balance sheets in the prior year.</w:t>
      </w:r>
    </w:p>
    <w:p>
      <w:pPr>
        <w:spacing w:after="0" w:line="24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17.</w:t>
        <w:tab/>
        <w:t>Segment Reporting</w:t>
      </w:r>
    </w:p>
    <w:p>
      <w:pPr>
        <w:spacing w:after="0" w:line="171" w:lineRule="exact"/>
        <w:rPr>
          <w:sz w:val="20"/>
          <w:szCs w:val="20"/>
          <w:color w:val="auto"/>
        </w:rPr>
      </w:pPr>
    </w:p>
    <w:p>
      <w:pPr>
        <w:jc w:val="both"/>
        <w:ind w:right="100" w:firstLine="312"/>
        <w:spacing w:after="0" w:line="260" w:lineRule="auto"/>
        <w:rPr>
          <w:sz w:val="20"/>
          <w:szCs w:val="20"/>
          <w:color w:val="auto"/>
        </w:rPr>
      </w:pPr>
      <w:r>
        <w:rPr>
          <w:rFonts w:ascii="Times New Roman" w:cs="Times New Roman" w:eastAsia="Times New Roman" w:hAnsi="Times New Roman"/>
          <w:sz w:val="17"/>
          <w:szCs w:val="17"/>
          <w:color w:val="auto"/>
        </w:rPr>
        <w:t>The Company’s business is aligned with how the chief operating decision maker ("CODM") reviews performance and makes decisions in managing the Company. As of December 31, 2022, the Company has identified two reportable segments: (i) 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Segment information is consistent with how management reviews the business, makes investing and resource allocation decisions and assesses operating performance. The CODM evaluates segment performance based on revenue and adjusted gross margin. Prior to the acquisition of Legacy GeneDx in April 2022, the Company had one segment which is characterized as “Legacy Sema4” in the table below. Prior to the date of the acquisition, consolidated results were the same as the results of this segment and therefore 2021 and 2020 have not been presented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GeneDx</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Legacy Sema4</w:t>
            </w:r>
          </w:p>
        </w:tc>
        <w:tc>
          <w:tcPr>
            <w:tcW w:w="720" w:type="dxa"/>
            <w:vAlign w:val="bottom"/>
          </w:tcPr>
          <w:p>
            <w:pPr>
              <w:spacing w:after="0"/>
              <w:rPr>
                <w:sz w:val="19"/>
                <w:szCs w:val="19"/>
                <w:color w:val="auto"/>
              </w:rPr>
            </w:pPr>
          </w:p>
        </w:tc>
        <w:tc>
          <w:tcPr>
            <w:tcW w:w="1440" w:type="dxa"/>
            <w:vAlign w:val="bottom"/>
            <w:gridSpan w:val="4"/>
          </w:tcPr>
          <w:p>
            <w:pPr>
              <w:jc w:val="right"/>
              <w:ind w:right="10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1"/>
        </w:trPr>
        <w:tc>
          <w:tcPr>
            <w:tcW w:w="3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Ended December 31, 2022:</w:t>
            </w: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21"/>
        </w:trPr>
        <w:tc>
          <w:tcPr>
            <w:tcW w:w="3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1260" w:type="dxa"/>
            <w:vAlign w:val="bottom"/>
          </w:tcPr>
          <w:p>
            <w:pPr>
              <w:jc w:val="right"/>
              <w:ind w:right="107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122,234</w:t>
            </w:r>
          </w:p>
        </w:tc>
        <w:tc>
          <w:tcPr>
            <w:tcW w:w="8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112,460</w:t>
            </w:r>
          </w:p>
        </w:tc>
        <w:tc>
          <w:tcPr>
            <w:tcW w:w="80" w:type="dxa"/>
            <w:vAlign w:val="bottom"/>
          </w:tcPr>
          <w:p>
            <w:pPr>
              <w:spacing w:after="0"/>
              <w:rPr>
                <w:sz w:val="19"/>
                <w:szCs w:val="19"/>
                <w:color w:val="auto"/>
              </w:rPr>
            </w:pPr>
          </w:p>
        </w:tc>
        <w:tc>
          <w:tcPr>
            <w:tcW w:w="7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234,694</w:t>
            </w:r>
          </w:p>
        </w:tc>
        <w:tc>
          <w:tcPr>
            <w:tcW w:w="22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cost of services</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74,213</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148,897</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223,110</w:t>
            </w:r>
          </w:p>
        </w:tc>
        <w:tc>
          <w:tcPr>
            <w:tcW w:w="220" w:type="dxa"/>
            <w:vAlign w:val="bottom"/>
          </w:tcPr>
          <w:p>
            <w:pPr>
              <w:spacing w:after="0"/>
              <w:rPr>
                <w:sz w:val="19"/>
                <w:szCs w:val="19"/>
                <w:color w:val="auto"/>
              </w:rPr>
            </w:pPr>
          </w:p>
        </w:tc>
      </w:tr>
      <w:tr>
        <w:trPr>
          <w:trHeight w:val="214"/>
        </w:trPr>
        <w:tc>
          <w:tcPr>
            <w:tcW w:w="3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Adjusted gross margin (loss)</w:t>
            </w:r>
          </w:p>
        </w:tc>
        <w:tc>
          <w:tcPr>
            <w:tcW w:w="1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48,021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(36,437)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11,584</w:t>
            </w:r>
          </w:p>
        </w:tc>
        <w:tc>
          <w:tcPr>
            <w:tcW w:w="220" w:type="dxa"/>
            <w:vAlign w:val="bottom"/>
          </w:tcPr>
          <w:p>
            <w:pPr>
              <w:spacing w:after="0"/>
              <w:rPr>
                <w:sz w:val="18"/>
                <w:szCs w:val="18"/>
                <w:color w:val="auto"/>
              </w:rPr>
            </w:pPr>
          </w:p>
        </w:tc>
      </w:tr>
      <w:tr>
        <w:trPr>
          <w:trHeight w:val="104"/>
        </w:trPr>
        <w:tc>
          <w:tcPr>
            <w:tcW w:w="320" w:type="dxa"/>
            <w:vAlign w:val="bottom"/>
          </w:tcPr>
          <w:p>
            <w:pPr>
              <w:spacing w:after="0"/>
              <w:rPr>
                <w:sz w:val="9"/>
                <w:szCs w:val="9"/>
                <w:color w:val="auto"/>
              </w:rPr>
            </w:pPr>
          </w:p>
        </w:tc>
        <w:tc>
          <w:tcPr>
            <w:tcW w:w="48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tcPr>
          <w:p>
            <w:pPr>
              <w:spacing w:after="0"/>
              <w:rPr>
                <w:sz w:val="9"/>
                <w:szCs w:val="9"/>
                <w:color w:val="auto"/>
              </w:rPr>
            </w:pPr>
          </w:p>
        </w:tc>
      </w:tr>
      <w:tr>
        <w:trPr>
          <w:trHeight w:val="221"/>
        </w:trPr>
        <w:tc>
          <w:tcPr>
            <w:tcW w:w="3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Reconciliations: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28,888</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31,328</w:t>
            </w:r>
          </w:p>
        </w:tc>
        <w:tc>
          <w:tcPr>
            <w:tcW w:w="22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4,400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22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w:t>
            </w:r>
          </w:p>
        </w:tc>
        <w:tc>
          <w:tcPr>
            <w:tcW w:w="220" w:type="dxa"/>
            <w:vAlign w:val="bottom"/>
          </w:tcPr>
          <w:p>
            <w:pPr>
              <w:spacing w:after="0"/>
              <w:rPr>
                <w:sz w:val="19"/>
                <w:szCs w:val="19"/>
                <w:color w:val="auto"/>
              </w:rPr>
            </w:pPr>
          </w:p>
        </w:tc>
      </w:tr>
      <w:tr>
        <w:trPr>
          <w:trHeight w:val="220"/>
        </w:trPr>
        <w:tc>
          <w:tcPr>
            <w:tcW w:w="3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Gross margin (loss)</w:t>
            </w:r>
          </w:p>
        </w:tc>
        <w:tc>
          <w:tcPr>
            <w:tcW w:w="1260" w:type="dxa"/>
            <w:vAlign w:val="bottom"/>
          </w:tcPr>
          <w:p>
            <w:pPr>
              <w:jc w:val="right"/>
              <w:ind w:right="107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44,772</w:t>
            </w:r>
          </w:p>
        </w:tc>
        <w:tc>
          <w:tcPr>
            <w:tcW w:w="8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(71,522)</w:t>
            </w:r>
          </w:p>
        </w:tc>
        <w:tc>
          <w:tcPr>
            <w:tcW w:w="80" w:type="dxa"/>
            <w:vAlign w:val="bottom"/>
          </w:tcPr>
          <w:p>
            <w:pPr>
              <w:spacing w:after="0"/>
              <w:rPr>
                <w:sz w:val="19"/>
                <w:szCs w:val="19"/>
                <w:color w:val="auto"/>
              </w:rPr>
            </w:pPr>
          </w:p>
        </w:tc>
        <w:tc>
          <w:tcPr>
            <w:tcW w:w="7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(26,750)</w:t>
            </w:r>
          </w:p>
        </w:tc>
        <w:tc>
          <w:tcPr>
            <w:tcW w:w="220" w:type="dxa"/>
            <w:vAlign w:val="bottom"/>
          </w:tcPr>
          <w:p>
            <w:pPr>
              <w:spacing w:after="0"/>
              <w:rPr>
                <w:sz w:val="19"/>
                <w:szCs w:val="19"/>
                <w:color w:val="auto"/>
              </w:rPr>
            </w:pPr>
          </w:p>
        </w:tc>
      </w:tr>
      <w:tr>
        <w:trPr>
          <w:trHeight w:val="463"/>
        </w:trPr>
        <w:tc>
          <w:tcPr>
            <w:tcW w:w="644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color w:val="auto"/>
              </w:rPr>
              <w:t>The following table summarizes the Company’s disaggregated revenue (in thousands):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54"/>
        </w:trPr>
        <w:tc>
          <w:tcPr>
            <w:tcW w:w="3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20" w:type="dxa"/>
            <w:vAlign w:val="bottom"/>
            <w:gridSpan w:val="7"/>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6"/>
              </w:rPr>
              <w:t>Year Ended December 31, 2022</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8"/>
        </w:trPr>
        <w:tc>
          <w:tcPr>
            <w:tcW w:w="320" w:type="dxa"/>
            <w:vAlign w:val="bottom"/>
          </w:tcPr>
          <w:p>
            <w:pPr>
              <w:spacing w:after="0"/>
              <w:rPr>
                <w:sz w:val="19"/>
                <w:szCs w:val="19"/>
                <w:color w:val="auto"/>
              </w:rPr>
            </w:pPr>
          </w:p>
        </w:tc>
        <w:tc>
          <w:tcPr>
            <w:tcW w:w="48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GeneDx</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Legacy Sema4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4"/>
        </w:trPr>
        <w:tc>
          <w:tcPr>
            <w:tcW w:w="320" w:type="dxa"/>
            <w:vAlign w:val="bottom"/>
          </w:tcPr>
          <w:p>
            <w:pPr>
              <w:spacing w:after="0"/>
              <w:rPr>
                <w:sz w:val="17"/>
                <w:szCs w:val="17"/>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Diagnostic test revenue:</w:t>
            </w: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1"/>
        </w:trPr>
        <w:tc>
          <w:tcPr>
            <w:tcW w:w="32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Patients with third-party insurance</w:t>
            </w:r>
          </w:p>
        </w:tc>
        <w:tc>
          <w:tcPr>
            <w:tcW w:w="1260" w:type="dxa"/>
            <w:vAlign w:val="bottom"/>
          </w:tcPr>
          <w:p>
            <w:pPr>
              <w:spacing w:after="0"/>
              <w:rPr>
                <w:sz w:val="19"/>
                <w:szCs w:val="19"/>
                <w:color w:val="auto"/>
              </w:rPr>
            </w:pPr>
          </w:p>
        </w:tc>
        <w:tc>
          <w:tcPr>
            <w:tcW w:w="66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72,890</w:t>
            </w:r>
          </w:p>
        </w:tc>
        <w:tc>
          <w:tcPr>
            <w:tcW w:w="900" w:type="dxa"/>
            <w:vAlign w:val="bottom"/>
            <w:gridSpan w:val="3"/>
          </w:tcPr>
          <w:p>
            <w:pPr>
              <w:jc w:val="right"/>
              <w:ind w:right="57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100,734</w:t>
            </w:r>
          </w:p>
        </w:tc>
        <w:tc>
          <w:tcPr>
            <w:tcW w:w="3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173,6</w:t>
            </w:r>
          </w:p>
        </w:tc>
      </w:tr>
      <w:tr>
        <w:trPr>
          <w:trHeight w:val="221"/>
        </w:trPr>
        <w:tc>
          <w:tcPr>
            <w:tcW w:w="320" w:type="dxa"/>
            <w:vAlign w:val="bottom"/>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Institutional customers</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5,370</w:t>
            </w:r>
          </w:p>
        </w:tc>
        <w:tc>
          <w:tcPr>
            <w:tcW w:w="3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46,1</w:t>
            </w:r>
          </w:p>
        </w:tc>
      </w:tr>
      <w:tr>
        <w:trPr>
          <w:trHeight w:val="221"/>
        </w:trPr>
        <w:tc>
          <w:tcPr>
            <w:tcW w:w="320" w:type="dxa"/>
            <w:vAlign w:val="bottom"/>
          </w:tcPr>
          <w:p>
            <w:pPr>
              <w:spacing w:after="0"/>
              <w:rPr>
                <w:sz w:val="19"/>
                <w:szCs w:val="19"/>
                <w:color w:val="auto"/>
              </w:rPr>
            </w:pPr>
          </w:p>
        </w:tc>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Self-pay patients</w:t>
            </w:r>
          </w:p>
        </w:tc>
        <w:tc>
          <w:tcPr>
            <w:tcW w:w="1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7,5</w:t>
            </w:r>
          </w:p>
        </w:tc>
      </w:tr>
      <w:tr>
        <w:trPr>
          <w:trHeight w:val="214"/>
        </w:trPr>
        <w:tc>
          <w:tcPr>
            <w:tcW w:w="3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diagnostic test revenue</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227,3</w:t>
            </w:r>
          </w:p>
        </w:tc>
      </w:tr>
      <w:tr>
        <w:trPr>
          <w:trHeight w:val="260"/>
        </w:trPr>
        <w:tc>
          <w:tcPr>
            <w:tcW w:w="320" w:type="dxa"/>
            <w:vAlign w:val="bottom"/>
          </w:tcPr>
          <w:p>
            <w:pPr>
              <w:spacing w:after="0"/>
              <w:rPr>
                <w:sz w:val="22"/>
                <w:szCs w:val="22"/>
                <w:color w:val="auto"/>
              </w:rPr>
            </w:pPr>
          </w:p>
        </w:tc>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12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r>
      <w:tr>
        <w:trPr>
          <w:trHeight w:val="239"/>
        </w:trPr>
        <w:tc>
          <w:tcPr>
            <w:tcW w:w="320" w:type="dxa"/>
            <w:vAlign w:val="bottom"/>
          </w:tcPr>
          <w:p>
            <w:pPr>
              <w:spacing w:after="0"/>
              <w:rPr>
                <w:sz w:val="20"/>
                <w:szCs w:val="20"/>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122,234</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234,6</w:t>
            </w:r>
          </w:p>
        </w:tc>
      </w:tr>
      <w:tr>
        <w:trPr>
          <w:trHeight w:val="20"/>
        </w:trPr>
        <w:tc>
          <w:tcPr>
            <w:tcW w:w="3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00" w:firstLine="312"/>
        <w:spacing w:after="0" w:line="293" w:lineRule="auto"/>
        <w:rPr>
          <w:sz w:val="20"/>
          <w:szCs w:val="20"/>
          <w:color w:val="auto"/>
        </w:rPr>
      </w:pPr>
      <w:r>
        <w:rPr>
          <w:rFonts w:ascii="Times New Roman" w:cs="Times New Roman" w:eastAsia="Times New Roman" w:hAnsi="Times New Roman"/>
          <w:sz w:val="17"/>
          <w:szCs w:val="17"/>
          <w:color w:val="auto"/>
        </w:rPr>
        <w:t>Management manages assets on a total company basis, not by reporting segment. The CODM does not regularly review any asset information by reporting segment and, accordingly, the Company does not report asset information by reporting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18.</w:t>
        <w:tab/>
        <w:t>Goodwill and Intangible Assets</w:t>
      </w:r>
    </w:p>
    <w:p>
      <w:pPr>
        <w:spacing w:after="0" w:line="171"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As discussed in Note 3, Business Combinations, upon the acquisition of GeneDx in April 2022, the Company recorded initial goodwill of $181.5 million through its preliminary purchase allocation. The purchase price allocation for acquired businesses may be modified for up to one year from the date of acquisition if additional facts or circumstances lead to changes in our preliminary purchase accounting estimates. The measurement period is still open as of December 31, 2022.</w:t>
      </w:r>
    </w:p>
    <w:p>
      <w:pPr>
        <w:spacing w:after="0" w:line="326"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changes in the carrying amounts of goodwill were as follows (in thousands):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03"/>
        </w:trPr>
        <w:tc>
          <w:tcPr>
            <w:tcW w:w="20" w:type="dxa"/>
            <w:vAlign w:val="bottom"/>
          </w:tcPr>
          <w:p>
            <w:pPr>
              <w:spacing w:after="0"/>
              <w:rPr>
                <w:sz w:val="24"/>
                <w:szCs w:val="24"/>
                <w:color w:val="auto"/>
              </w:rPr>
            </w:pPr>
          </w:p>
        </w:tc>
        <w:tc>
          <w:tcPr>
            <w:tcW w:w="92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20" w:type="dxa"/>
            <w:vAlign w:val="bottom"/>
          </w:tcPr>
          <w:p>
            <w:pPr>
              <w:spacing w:after="0"/>
              <w:rPr>
                <w:sz w:val="19"/>
                <w:szCs w:val="19"/>
                <w:color w:val="auto"/>
              </w:rPr>
            </w:pPr>
          </w:p>
        </w:tc>
        <w:tc>
          <w:tcPr>
            <w:tcW w:w="9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185,871</w:t>
            </w:r>
          </w:p>
        </w:tc>
      </w:tr>
      <w:tr>
        <w:trPr>
          <w:trHeight w:val="221"/>
        </w:trPr>
        <w:tc>
          <w:tcPr>
            <w:tcW w:w="20" w:type="dxa"/>
            <w:vAlign w:val="bottom"/>
          </w:tcPr>
          <w:p>
            <w:pPr>
              <w:spacing w:after="0"/>
              <w:rPr>
                <w:sz w:val="19"/>
                <w:szCs w:val="19"/>
                <w:color w:val="auto"/>
              </w:rPr>
            </w:pPr>
          </w:p>
        </w:tc>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Measurement period adjustments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(11,412)</w:t>
            </w:r>
          </w:p>
        </w:tc>
      </w:tr>
      <w:tr>
        <w:trPr>
          <w:trHeight w:val="221"/>
        </w:trPr>
        <w:tc>
          <w:tcPr>
            <w:tcW w:w="20" w:type="dxa"/>
            <w:vAlign w:val="bottom"/>
          </w:tcPr>
          <w:p>
            <w:pPr>
              <w:spacing w:after="0"/>
              <w:rPr>
                <w:sz w:val="19"/>
                <w:szCs w:val="19"/>
                <w:color w:val="auto"/>
              </w:rPr>
            </w:pPr>
          </w:p>
        </w:tc>
        <w:tc>
          <w:tcPr>
            <w:tcW w:w="9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Impairment charges</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(174,459)</w:t>
            </w:r>
          </w:p>
        </w:tc>
      </w:tr>
      <w:tr>
        <w:trPr>
          <w:trHeight w:val="239"/>
        </w:trPr>
        <w:tc>
          <w:tcPr>
            <w:tcW w:w="20" w:type="dxa"/>
            <w:vAlign w:val="bottom"/>
          </w:tcPr>
          <w:p>
            <w:pPr>
              <w:spacing w:after="0"/>
              <w:rPr>
                <w:sz w:val="20"/>
                <w:szCs w:val="20"/>
                <w:color w:val="auto"/>
              </w:rPr>
            </w:pPr>
          </w:p>
        </w:tc>
        <w:tc>
          <w:tcPr>
            <w:tcW w:w="9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During the fourth quarter of 2022, the Company identified indicators that it was more likely than not that the fair value of the GeneDx reporting unit was less than its carrying value. The factors contributing to the indicators include, but are not limited to, significant decline in the Company’s stock price coupled with lower than anticipated business financial performance of the Legacy Sema4 business.</w:t>
      </w:r>
    </w:p>
    <w:p>
      <w:pPr>
        <w:spacing w:after="0" w:line="176" w:lineRule="exact"/>
        <w:rPr>
          <w:sz w:val="20"/>
          <w:szCs w:val="20"/>
          <w:color w:val="auto"/>
        </w:rPr>
      </w:pPr>
    </w:p>
    <w:p>
      <w:pPr>
        <w:jc w:val="both"/>
        <w:ind w:firstLine="312"/>
        <w:spacing w:after="0" w:line="249" w:lineRule="auto"/>
        <w:rPr>
          <w:sz w:val="20"/>
          <w:szCs w:val="20"/>
          <w:color w:val="auto"/>
        </w:rPr>
      </w:pPr>
      <w:r>
        <w:rPr>
          <w:rFonts w:ascii="Times New Roman" w:cs="Times New Roman" w:eastAsia="Times New Roman" w:hAnsi="Times New Roman"/>
          <w:sz w:val="17"/>
          <w:szCs w:val="17"/>
          <w:color w:val="auto"/>
        </w:rPr>
        <w:t>The Company performed quantitative analysis as of December 31, 2022 to determine the fair value of the GeneDx reporting unit. The fair value was determined through estimating the Company’s discounted future cash flows expected to be generated. Significant assumptions inherent in the valuation are employed and include, but are not limited to, prospective financial information, growth rates, terminal value, discount rates, and comparable multiples from publicly traded companies in our industry. Based on the analysis, the Company concluded that the reporting unit’s carrying value was greater than the fair value. Accordingly, an impairment charge totaling $174.5 million was recognized.</w:t>
      </w:r>
    </w:p>
    <w:p>
      <w:pPr>
        <w:spacing w:after="0" w:line="209"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following table reflects the fair values and remaining useful lives of the acquired intangible assets identified based on the Company’s preliminary purchase accounting assessments for the GeneDx acquisition (in thousands):</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320" w:type="dxa"/>
            <w:vAlign w:val="bottom"/>
          </w:tcPr>
          <w:p>
            <w:pPr>
              <w:spacing w:after="0"/>
              <w:rPr>
                <w:sz w:val="15"/>
                <w:szCs w:val="15"/>
                <w:color w:val="auto"/>
              </w:rPr>
            </w:pP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0" w:type="dxa"/>
            <w:vAlign w:val="bottom"/>
          </w:tcPr>
          <w:p>
            <w:pPr>
              <w:spacing w:after="0"/>
              <w:rPr>
                <w:sz w:val="1"/>
                <w:szCs w:val="1"/>
                <w:color w:val="auto"/>
              </w:rPr>
            </w:pPr>
          </w:p>
        </w:tc>
      </w:tr>
      <w:tr>
        <w:trPr>
          <w:trHeight w:val="177"/>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Net Carrying Value</w:t>
            </w:r>
          </w:p>
        </w:tc>
        <w:tc>
          <w:tcPr>
            <w:tcW w:w="80" w:type="dxa"/>
            <w:vAlign w:val="bottom"/>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Period</w:t>
            </w:r>
          </w:p>
        </w:tc>
        <w:tc>
          <w:tcPr>
            <w:tcW w:w="0" w:type="dxa"/>
            <w:vAlign w:val="bottom"/>
          </w:tcPr>
          <w:p>
            <w:pPr>
              <w:spacing w:after="0"/>
              <w:rPr>
                <w:sz w:val="1"/>
                <w:szCs w:val="1"/>
                <w:color w:val="auto"/>
              </w:rPr>
            </w:pPr>
          </w:p>
        </w:tc>
      </w:tr>
      <w:tr>
        <w:trPr>
          <w:trHeight w:val="221"/>
        </w:trPr>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2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rPr>
                <w:sz w:val="1"/>
                <w:szCs w:val="1"/>
                <w:color w:val="auto"/>
              </w:rPr>
            </w:pPr>
          </w:p>
        </w:tc>
      </w:tr>
      <w:tr>
        <w:trPr>
          <w:trHeight w:val="214"/>
        </w:trPr>
        <w:tc>
          <w:tcPr>
            <w:tcW w:w="3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Tradenames and trademarks</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50,000</w:t>
            </w:r>
          </w:p>
        </w:tc>
        <w:tc>
          <w:tcPr>
            <w:tcW w:w="3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47,917</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21"/>
        </w:trPr>
        <w:tc>
          <w:tcPr>
            <w:tcW w:w="3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Developed Technology</w:t>
            </w:r>
          </w:p>
        </w:tc>
        <w:tc>
          <w:tcPr>
            <w:tcW w:w="200" w:type="dxa"/>
            <w:vAlign w:val="bottom"/>
          </w:tcPr>
          <w:p>
            <w:pPr>
              <w:spacing w:after="0"/>
              <w:rPr>
                <w:sz w:val="19"/>
                <w:szCs w:val="19"/>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48,000</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21"/>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Customer Relationships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98,000</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94,733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196,000</w:t>
            </w:r>
          </w:p>
        </w:tc>
        <w:tc>
          <w:tcPr>
            <w:tcW w:w="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186,650</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Amortization expense for tradenames and trademarks and developed technology of $6.1 million was recorded in general and administrative for the year ended December 31, 2022 within the consolidated statements of operations and comprehensive loss. Amortization expense for customer relationships of $3.3 million was recorded in selling and marketing for the year ended December 31, 2022 within the consolidated statements of operations and comprehensive loss.</w:t>
      </w:r>
    </w:p>
    <w:p>
      <w:pPr>
        <w:spacing w:after="0" w:line="32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Company’s estimated future amortization expense of intangible assets with finite lives as of December 31, 2022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14,025</w:t>
            </w:r>
          </w:p>
        </w:tc>
      </w:tr>
      <w:tr>
        <w:trPr>
          <w:trHeight w:val="221"/>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14,025</w:t>
            </w:r>
          </w:p>
        </w:tc>
      </w:tr>
      <w:tr>
        <w:trPr>
          <w:trHeight w:val="22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14,025</w:t>
            </w:r>
          </w:p>
        </w:tc>
      </w:tr>
      <w:tr>
        <w:trPr>
          <w:trHeight w:val="221"/>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14,025</w:t>
            </w:r>
          </w:p>
        </w:tc>
      </w:tr>
      <w:tr>
        <w:trPr>
          <w:trHeight w:val="22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14,025</w:t>
            </w:r>
          </w:p>
        </w:tc>
      </w:tr>
      <w:tr>
        <w:trPr>
          <w:trHeight w:val="221"/>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116,525</w:t>
            </w:r>
          </w:p>
        </w:tc>
      </w:tr>
      <w:tr>
        <w:trPr>
          <w:trHeight w:val="21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estimated future amortization expense</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186,650</w:t>
            </w:r>
          </w:p>
        </w:tc>
      </w:tr>
    </w:tbl>
    <w:p>
      <w:pPr>
        <w:spacing w:after="0" w:line="2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19.</w:t>
        <w:tab/>
        <w:t>Subsequent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Name Change</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Effective January 2023, the Company changed its name from “Sema4 Holdings Corp.” to “GeneDx Holdings Corp.”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Offerings</w:t>
      </w:r>
    </w:p>
    <w:p>
      <w:pPr>
        <w:spacing w:after="0" w:line="238"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January 2023, the Company raised approximately $150.0 million in gross proceeds from the sale of an aggregate 328,571,429 shares of its Class A common stock in an underwritten public offering and the sale of 100,000,000 shares of its Class A common stock shares directly to institutional investors affiliated with a member of our board of directors, in a concurrent registered direct offering. Both transactions were executed at $0.35 per share. 77,663,376 shares in the direct offering were issued and the remaining 22,336,624 shares are subject to stockholder approval to satisfy Nasdaq requirements with respect to the issuance of such shares of Class A common stock. The net offering proceeds received after deducting underwriters' discounts and commissions payable by the Company were approximately $137.6 million. As part of the underwritten offering, the Company granted the underwriter a 30-day option to purchase up to an additional 49,285,714 shares of Class A common stock at the same price. On January 27, 2023, the underwriter partially exercised the option to purchase an additional 185,000 shares of Class A common stock.</w:t>
      </w:r>
    </w:p>
    <w:p>
      <w:pPr>
        <w:spacing w:after="0" w:line="127"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Additional net proceeds of $7.6 million are expected to be received during the second quarter of 2023 once the issuance of the remaining 22,336,624 shares receives stockholder approval and the Company issues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7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w:t>
      </w:r>
    </w:p>
    <w:p>
      <w:pPr>
        <w:spacing w:after="0" w:line="95"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December 31, 2022. Based on that evaluation, our Chief Executive Officer and Chief Financial Officer concluded that our disclosure controls and procedures were not effective as of December 31, 2022 because of the material weaknesses in internal control over financial reporting discussed below.</w:t>
      </w:r>
    </w:p>
    <w:p>
      <w:pPr>
        <w:spacing w:after="0" w:line="11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Notwithstanding the material weaknesses in internal control over financial reporting described below, our management has concluded that our consolidated financial statements included in this Annual Report on Form 10-K are fairly stated in all material respects in accordance with accounting principles generally accepted in the United States of America (“U.S. GAAP”).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Annual Report on Internal Control over Financial Reporting</w:t>
      </w:r>
    </w:p>
    <w:p>
      <w:pPr>
        <w:spacing w:after="0" w:line="17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18"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2022, based on the criteria set forth in Internal Control-Integrated Framework issued by the Committee of Sponsoring Organizations of the Treadway Commission (2013 COSO framework). Based on this evaluation, due to the material weaknesses described below, management concluded that the Company’s internal control over financial reporting were not effective.</w:t>
      </w:r>
    </w:p>
    <w:p>
      <w:pPr>
        <w:spacing w:after="0" w:line="33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As discussed elsewhere in this Annual Report on Form 10-K, we completed our acquisition of Legacy GeneDx on April 29, 2022. The SEC permits companies to exclude acquisitions from their assessment of internal control over financial reporting during the first year in which the acquisition was completed, and our management has elected to exclude Legacy GeneDx from our assessment as of December 31, 2022.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Weaknesses</w:t>
      </w:r>
    </w:p>
    <w:p>
      <w:pPr>
        <w:spacing w:after="0" w:line="173"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95"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In connection with the preparation of Legacy Sema4's audited financial statements as of December 31, 2020, we previously identified material weaknesses in our internal controls over financial reporting. Certain of these material weaknesses remain unremediated as of December 31, 2022.</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Specifically, as of December 31, 2022, the material weaknesses that remain unremediated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20" w:hanging="304"/>
        <w:spacing w:after="0" w:line="274" w:lineRule="auto"/>
        <w:tabs>
          <w:tab w:leader="none" w:pos="613" w:val="left"/>
        </w:tabs>
        <w:numPr>
          <w:ilvl w:val="0"/>
          <w:numId w:val="55"/>
        </w:numPr>
        <w:rPr>
          <w:rFonts w:ascii="Calibri" w:cs="Calibri" w:eastAsia="Calibri" w:hAnsi="Calibri"/>
          <w:sz w:val="17"/>
          <w:szCs w:val="17"/>
          <w:color w:val="auto"/>
        </w:rPr>
      </w:pPr>
      <w:r>
        <w:rPr>
          <w:rFonts w:ascii="Times New Roman" w:cs="Times New Roman" w:eastAsia="Times New Roman" w:hAnsi="Times New Roman"/>
          <w:sz w:val="17"/>
          <w:szCs w:val="17"/>
          <w:color w:val="auto"/>
        </w:rPr>
        <w:t>We do not have sufficient, qualified finance and accounting staff with the appropriate U.S. GAAP technical accounting expertise to effectively maintain processes and controls that allow for the timely production of accurate financial information in accordance with internal financial reporting timelines, commensurate with our size and the nature and complexity of our operations.</w:t>
      </w:r>
    </w:p>
    <w:p>
      <w:pPr>
        <w:spacing w:after="0" w:line="58" w:lineRule="exact"/>
        <w:rPr>
          <w:rFonts w:ascii="Calibri" w:cs="Calibri" w:eastAsia="Calibri" w:hAnsi="Calibri"/>
          <w:sz w:val="17"/>
          <w:szCs w:val="17"/>
          <w:color w:val="auto"/>
        </w:rPr>
      </w:pPr>
    </w:p>
    <w:p>
      <w:pPr>
        <w:jc w:val="both"/>
        <w:ind w:left="620" w:hanging="304"/>
        <w:spacing w:after="0" w:line="274" w:lineRule="auto"/>
        <w:tabs>
          <w:tab w:leader="none" w:pos="613" w:val="left"/>
        </w:tabs>
        <w:numPr>
          <w:ilvl w:val="0"/>
          <w:numId w:val="55"/>
        </w:numPr>
        <w:rPr>
          <w:rFonts w:ascii="Calibri" w:cs="Calibri" w:eastAsia="Calibri" w:hAnsi="Calibri"/>
          <w:sz w:val="17"/>
          <w:szCs w:val="17"/>
          <w:color w:val="auto"/>
        </w:rPr>
      </w:pPr>
      <w:r>
        <w:rPr>
          <w:rFonts w:ascii="Times New Roman" w:cs="Times New Roman" w:eastAsia="Times New Roman" w:hAnsi="Times New Roman"/>
          <w:sz w:val="17"/>
          <w:szCs w:val="17"/>
          <w:color w:val="auto"/>
        </w:rPr>
        <w:t>We did not maintain formal processes and controls to achieve complete, accurate and timely financial accounting, reporting and disclosures, including controls over the preparation and review of account reconciliations, journal entries, classification of certain costs, non-recurring complex transactions and the accounting in accordance with U.S. GAAP.</w:t>
      </w:r>
    </w:p>
    <w:p>
      <w:pPr>
        <w:spacing w:after="0" w:line="45" w:lineRule="exact"/>
        <w:rPr>
          <w:rFonts w:ascii="Calibri" w:cs="Calibri" w:eastAsia="Calibri" w:hAnsi="Calibri"/>
          <w:sz w:val="17"/>
          <w:szCs w:val="17"/>
          <w:color w:val="auto"/>
        </w:rPr>
      </w:pPr>
    </w:p>
    <w:p>
      <w:pPr>
        <w:ind w:left="620" w:right="20" w:hanging="304"/>
        <w:spacing w:after="0" w:line="241" w:lineRule="auto"/>
        <w:tabs>
          <w:tab w:leader="none" w:pos="6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accounting and operating systems lacked controls over access, and program change management that are needed to ensure access to financial data is adequately restricted to appropriate personnel, including consideration of the appropriate segregation of duties. As a result, it is possible that the Company’s business process controls that depend on the accuracy and completeness of data or financial reports generated by the Company's information technology system could be adversely affected due to the lack of operating effectiveness of the information technology general controls (“ITGCs”).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Remediation Plan</w:t>
      </w:r>
    </w:p>
    <w:p>
      <w:pPr>
        <w:spacing w:after="0" w:line="251" w:lineRule="exact"/>
        <w:rPr>
          <w:sz w:val="20"/>
          <w:szCs w:val="20"/>
          <w:color w:val="auto"/>
        </w:rPr>
      </w:pPr>
    </w:p>
    <w:p>
      <w:pPr>
        <w:jc w:val="both"/>
        <w:ind w:firstLine="312"/>
        <w:spacing w:after="0" w:line="286" w:lineRule="auto"/>
        <w:rPr>
          <w:sz w:val="20"/>
          <w:szCs w:val="20"/>
          <w:color w:val="auto"/>
        </w:rPr>
      </w:pPr>
      <w:r>
        <w:rPr>
          <w:rFonts w:ascii="Times New Roman" w:cs="Times New Roman" w:eastAsia="Times New Roman" w:hAnsi="Times New Roman"/>
          <w:sz w:val="17"/>
          <w:szCs w:val="17"/>
          <w:color w:val="auto"/>
        </w:rPr>
        <w:t>Our management is actively engaged and committed to taking the steps necessary to remediate the control deficiencies that constituted the material weaknesses. The Company has continued to improve its organizational capabilities and continues to implement processes and controls to remediate the material weaknesses.</w:t>
      </w:r>
    </w:p>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2021 and 2022, we made the following enhancements to our control environment:</w:t>
      </w:r>
    </w:p>
    <w:p>
      <w:pPr>
        <w:spacing w:after="0" w:line="169" w:lineRule="exact"/>
        <w:rPr>
          <w:sz w:val="20"/>
          <w:szCs w:val="20"/>
          <w:color w:val="auto"/>
        </w:rPr>
      </w:pPr>
    </w:p>
    <w:p>
      <w:pPr>
        <w:jc w:val="both"/>
        <w:ind w:left="620" w:hanging="304"/>
        <w:spacing w:after="0" w:line="268" w:lineRule="auto"/>
        <w:tabs>
          <w:tab w:leader="none" w:pos="613" w:val="left"/>
        </w:tabs>
        <w:numPr>
          <w:ilvl w:val="0"/>
          <w:numId w:val="56"/>
        </w:numPr>
        <w:rPr>
          <w:rFonts w:ascii="Calibri" w:cs="Calibri" w:eastAsia="Calibri" w:hAnsi="Calibri"/>
          <w:sz w:val="17"/>
          <w:szCs w:val="17"/>
          <w:color w:val="auto"/>
        </w:rPr>
      </w:pPr>
      <w:r>
        <w:rPr>
          <w:rFonts w:ascii="Times New Roman" w:cs="Times New Roman" w:eastAsia="Times New Roman" w:hAnsi="Times New Roman"/>
          <w:sz w:val="17"/>
          <w:szCs w:val="17"/>
          <w:color w:val="auto"/>
        </w:rPr>
        <w:t>We have hired key personnel, obtained qualified accountants through the acquisition of Legacy GeneDx, and supplemented interim staffing needs with third-party consultants that have the appropriate technical accounting skills to enable us to achieve complete, accurate, and timely financial accounting and reporting. In addition, we have reallocated responsibilities across the organization to ensure that the appropriate level of knowledge and experience is applied based on risk and complexity of transactions.</w:t>
      </w:r>
    </w:p>
    <w:p>
      <w:pPr>
        <w:spacing w:after="0" w:line="193" w:lineRule="exact"/>
        <w:rPr>
          <w:rFonts w:ascii="Calibri" w:cs="Calibri" w:eastAsia="Calibri" w:hAnsi="Calibri"/>
          <w:sz w:val="17"/>
          <w:szCs w:val="17"/>
          <w:color w:val="auto"/>
        </w:rPr>
      </w:pPr>
    </w:p>
    <w:p>
      <w:pPr>
        <w:ind w:left="620" w:hanging="304"/>
        <w:spacing w:after="0" w:line="293" w:lineRule="auto"/>
        <w:tabs>
          <w:tab w:leader="none" w:pos="6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added information technology employees with appropriate experience, certification, education and training to the organization to strengthen our IT team, to enable us to improve the ITGCs over our accounting and operating systems.</w:t>
      </w:r>
    </w:p>
    <w:p>
      <w:pPr>
        <w:spacing w:after="0" w:line="173"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13" w:val="left"/>
        </w:tabs>
        <w:numPr>
          <w:ilvl w:val="0"/>
          <w:numId w:val="56"/>
        </w:numPr>
        <w:rPr>
          <w:rFonts w:ascii="Calibri" w:cs="Calibri" w:eastAsia="Calibri" w:hAnsi="Calibri"/>
          <w:sz w:val="17"/>
          <w:szCs w:val="17"/>
          <w:color w:val="auto"/>
        </w:rPr>
      </w:pPr>
      <w:r>
        <w:rPr>
          <w:rFonts w:ascii="Times New Roman" w:cs="Times New Roman" w:eastAsia="Times New Roman" w:hAnsi="Times New Roman"/>
          <w:sz w:val="17"/>
          <w:szCs w:val="17"/>
          <w:color w:val="auto"/>
        </w:rPr>
        <w:t>We engaged outside consultants to assist in the design, implementation, documentation, and remediation of internal controls that address the relevant risks, and to assist us in the evaluation of our relevant accounting and operating systems, to enable us to improve our processes and controls over financial reporting.</w:t>
      </w:r>
    </w:p>
    <w:p>
      <w:pPr>
        <w:spacing w:after="0" w:line="188" w:lineRule="exact"/>
        <w:rPr>
          <w:rFonts w:ascii="Calibri" w:cs="Calibri" w:eastAsia="Calibri" w:hAnsi="Calibri"/>
          <w:sz w:val="17"/>
          <w:szCs w:val="17"/>
          <w:color w:val="auto"/>
        </w:rPr>
      </w:pPr>
    </w:p>
    <w:p>
      <w:pPr>
        <w:ind w:left="620" w:hanging="304"/>
        <w:spacing w:after="0" w:line="294" w:lineRule="auto"/>
        <w:tabs>
          <w:tab w:leader="none" w:pos="613" w:val="left"/>
        </w:tabs>
        <w:numPr>
          <w:ilvl w:val="0"/>
          <w:numId w:val="56"/>
        </w:numPr>
        <w:rPr>
          <w:rFonts w:ascii="Calibri" w:cs="Calibri" w:eastAsia="Calibri" w:hAnsi="Calibri"/>
          <w:sz w:val="17"/>
          <w:szCs w:val="17"/>
          <w:color w:val="auto"/>
        </w:rPr>
      </w:pPr>
      <w:r>
        <w:rPr>
          <w:rFonts w:ascii="Times New Roman" w:cs="Times New Roman" w:eastAsia="Times New Roman" w:hAnsi="Times New Roman"/>
          <w:sz w:val="17"/>
          <w:szCs w:val="17"/>
          <w:color w:val="auto"/>
        </w:rPr>
        <w:t>We provided training to internal control performers in order to enhance their level of understanding over the appropriate design, implementation and effectiveness of controls.</w:t>
      </w:r>
    </w:p>
    <w:p>
      <w:pPr>
        <w:spacing w:after="0" w:line="169" w:lineRule="exact"/>
        <w:rPr>
          <w:rFonts w:ascii="Calibri" w:cs="Calibri" w:eastAsia="Calibri" w:hAnsi="Calibri"/>
          <w:sz w:val="17"/>
          <w:szCs w:val="17"/>
          <w:color w:val="auto"/>
        </w:rPr>
      </w:pPr>
    </w:p>
    <w:p>
      <w:pPr>
        <w:ind w:left="620" w:hanging="304"/>
        <w:spacing w:after="0"/>
        <w:tabs>
          <w:tab w:leader="none" w:pos="620" w:val="left"/>
        </w:tabs>
        <w:numPr>
          <w:ilvl w:val="0"/>
          <w:numId w:val="56"/>
        </w:numPr>
        <w:rPr>
          <w:rFonts w:ascii="Calibri" w:cs="Calibri" w:eastAsia="Calibri" w:hAnsi="Calibri"/>
          <w:sz w:val="17"/>
          <w:szCs w:val="17"/>
          <w:color w:val="auto"/>
        </w:rPr>
      </w:pPr>
      <w:r>
        <w:rPr>
          <w:rFonts w:ascii="Times New Roman" w:cs="Times New Roman" w:eastAsia="Times New Roman" w:hAnsi="Times New Roman"/>
          <w:sz w:val="17"/>
          <w:szCs w:val="17"/>
          <w:color w:val="auto"/>
        </w:rPr>
        <w:t>We have strengthened and documented our internal accounting policies and procedures and communicated the policies to relevant personnel.</w:t>
      </w:r>
    </w:p>
    <w:p>
      <w:pPr>
        <w:spacing w:after="0" w:line="247" w:lineRule="exact"/>
        <w:rPr>
          <w:rFonts w:ascii="Calibri" w:cs="Calibri" w:eastAsia="Calibri" w:hAnsi="Calibri"/>
          <w:sz w:val="17"/>
          <w:szCs w:val="17"/>
          <w:color w:val="auto"/>
        </w:rPr>
      </w:pPr>
    </w:p>
    <w:p>
      <w:pPr>
        <w:ind w:left="620" w:hanging="304"/>
        <w:spacing w:after="0"/>
        <w:tabs>
          <w:tab w:leader="none" w:pos="620" w:val="left"/>
        </w:tabs>
        <w:numPr>
          <w:ilvl w:val="0"/>
          <w:numId w:val="56"/>
        </w:numPr>
        <w:rPr>
          <w:rFonts w:ascii="Calibri" w:cs="Calibri" w:eastAsia="Calibri" w:hAnsi="Calibri"/>
          <w:sz w:val="17"/>
          <w:szCs w:val="17"/>
          <w:color w:val="auto"/>
        </w:rPr>
      </w:pPr>
      <w:r>
        <w:rPr>
          <w:rFonts w:ascii="Times New Roman" w:cs="Times New Roman" w:eastAsia="Times New Roman" w:hAnsi="Times New Roman"/>
          <w:sz w:val="17"/>
          <w:szCs w:val="17"/>
          <w:color w:val="auto"/>
        </w:rPr>
        <w:t>We have completed the design of our internal controls, and have completed detailed remediation plans at the risk and control level.</w:t>
      </w:r>
    </w:p>
    <w:p>
      <w:pPr>
        <w:spacing w:after="0" w:line="248"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Management has been actively engaged in remediation efforts to address the material weaknesses throughout 2022 and these efforts will continue into fiscal year 2023.</w:t>
      </w:r>
    </w:p>
    <w:p>
      <w:pPr>
        <w:spacing w:after="0" w:line="173"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While we believe significant progress was made in 2022 to enhance and strengthen our internal control over financial reporting, material control weaknesses are not considered remediated until new internal controls have been operational for a sufficient period of time, are tested, and management concludes that these controls are operating effectively. As of December 31, 2022, there was not a sufficient period of time available to sufficiently test nor conclude that these controls are operating effectively. We will continue to monitor the effectiveness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7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Our management has evaluated, with the participation of our Chief Executive Officer and Chief Financial Officer, changes in our internal controls over financial reporting (as defined in Rule 13a-15(f) and 15d-15(f) of the Exchange Act) during the fourth quarter of 2022. Except as described above, there were no changes in the Company’s internal control over financial reporting that occurred during the quarter ended December 31, 2022 that has materially affected, or is reasonably likely to materially affect, our internal control over financial reporting, other than as described herein. We are continuing to take steps to remediate the material weakness in our internal control over financial reporting, as discussed above.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 on the Effectiveness of Internal Control</w:t>
      </w:r>
    </w:p>
    <w:p>
      <w:pPr>
        <w:spacing w:after="0" w:line="17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Events</w:t>
      </w:r>
    </w:p>
    <w:p>
      <w:pPr>
        <w:spacing w:after="0" w:line="249"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As previously disclosed, we expect to call a special meeting of stockholders for the approval of the issuance of the additional 22,336,624 shares of Class A common stock in our registered direct offering for purposes of complying with Nasdaq listing rules. At the special meeting, we also intend to seek stockholder approval of a reverse stock split of our outstanding shares of Class A common stock at a ratio to be set by our board of directors within a range approved by our stockholders, an amendment to our certificate of incorporation to limit the liability of certain of our officers as permitted pursuant to recent amendments to the Delaware corporate law, and an amendment to our 2021 Equity Incentive Plan to increase the aggregate number of shares of Class A common stock authorized for issuance under the plan by 26,000,000 shares.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71"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Except as set forth below, the information required by this Item is incorporated by reference from our definitive proxy statement for our 2023 Annual Meeting of Stockholders to be filed with the SEC within 120 days after the end of our fiscal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71"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from our definitive proxy statement for our 2023 Annual Meeting of Stockholders to be filed with the SEC within 120 days after the end of our fiscal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71"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from our definitive proxy statement for our 2023 Annual Meeting of Stockholders to be filed with the SEC within 120 days after the end of our fiscal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71"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from our definitive proxy statement for our 2023 Annual Meeting of Stockholders to be filed with the SEC within 120 days after the end of our fiscal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71"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from our definitive proxy statement for our 2023 Annual Meeting of Stockholders to be filed with the SEC within 120 days after the end of our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158" w:lineRule="exact"/>
        <w:rPr>
          <w:sz w:val="20"/>
          <w:szCs w:val="20"/>
          <w:color w:val="auto"/>
        </w:rPr>
      </w:pPr>
    </w:p>
    <w:p>
      <w:pPr>
        <w:ind w:left="180" w:hanging="176"/>
        <w:spacing w:after="0"/>
        <w:tabs>
          <w:tab w:leader="none" w:pos="1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a part of this Annual Report.</w:t>
      </w:r>
    </w:p>
    <w:p>
      <w:pPr>
        <w:spacing w:after="0" w:line="168" w:lineRule="exact"/>
        <w:rPr>
          <w:rFonts w:ascii="Times New Roman" w:cs="Times New Roman" w:eastAsia="Times New Roman" w:hAnsi="Times New Roman"/>
          <w:sz w:val="17"/>
          <w:szCs w:val="17"/>
          <w:color w:val="auto"/>
        </w:rPr>
      </w:pPr>
    </w:p>
    <w:p>
      <w:pPr>
        <w:ind w:firstLine="316"/>
        <w:spacing w:after="0" w:line="293" w:lineRule="auto"/>
        <w:tabs>
          <w:tab w:leader="none" w:pos="49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financial statements: The consolidated financial statements are set forth under “Item 8. Financial Statements and Supplementary Data” of this Annual Report on Form 10-K.</w:t>
      </w:r>
    </w:p>
    <w:p>
      <w:pPr>
        <w:spacing w:after="0" w:line="95" w:lineRule="exact"/>
        <w:rPr>
          <w:rFonts w:ascii="Times New Roman" w:cs="Times New Roman" w:eastAsia="Times New Roman" w:hAnsi="Times New Roman"/>
          <w:sz w:val="17"/>
          <w:szCs w:val="17"/>
          <w:color w:val="auto"/>
        </w:rPr>
      </w:pPr>
    </w:p>
    <w:p>
      <w:pPr>
        <w:ind w:firstLine="316"/>
        <w:spacing w:after="0" w:line="293" w:lineRule="auto"/>
        <w:tabs>
          <w:tab w:leader="none" w:pos="49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All schedules have been omitted because they are not required, not applicable, or the required information is included in the consolidated financial statements or notes thereto.</w:t>
      </w:r>
    </w:p>
    <w:p>
      <w:pPr>
        <w:spacing w:after="0" w:line="82" w:lineRule="exact"/>
        <w:rPr>
          <w:rFonts w:ascii="Times New Roman" w:cs="Times New Roman" w:eastAsia="Times New Roman" w:hAnsi="Times New Roman"/>
          <w:sz w:val="17"/>
          <w:szCs w:val="17"/>
          <w:color w:val="auto"/>
        </w:rPr>
      </w:pPr>
    </w:p>
    <w:p>
      <w:pPr>
        <w:ind w:left="480" w:hanging="164"/>
        <w:spacing w:after="0"/>
        <w:tabs>
          <w:tab w:leader="none" w:pos="4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The exhibits listed in the accompanying Exhibit Index are filed or incorporated by reference as part of this Annual Report on Form 10-K.</w:t>
      </w:r>
    </w:p>
    <w:p>
      <w:pPr>
        <w:spacing w:after="0" w:line="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Incorporated by Reference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No.</w:t>
            </w:r>
          </w:p>
        </w:tc>
        <w:tc>
          <w:tcPr>
            <w:tcW w:w="180" w:type="dxa"/>
            <w:vAlign w:val="bottom"/>
            <w:tcBorders>
              <w:bottom w:val="single" w:sz="8" w:color="CCEEFF"/>
            </w:tcBorders>
          </w:tcPr>
          <w:p>
            <w:pPr>
              <w:spacing w:after="0"/>
              <w:rPr>
                <w:sz w:val="19"/>
                <w:szCs w:val="19"/>
                <w:color w:val="auto"/>
              </w:rPr>
            </w:pPr>
          </w:p>
        </w:tc>
        <w:tc>
          <w:tcPr>
            <w:tcW w:w="4320" w:type="dxa"/>
            <w:vAlign w:val="bottom"/>
            <w:tcBorders>
              <w:top w:val="single" w:sz="8" w:color="auto"/>
              <w:bottom w:val="single" w:sz="8" w:color="auto"/>
            </w:tcBorders>
            <w:gridSpan w:val="25"/>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16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8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6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 Herewith</w:t>
            </w:r>
          </w:p>
        </w:tc>
      </w:tr>
      <w:tr>
        <w:trPr>
          <w:trHeight w:val="169"/>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6"/>
              </w:rPr>
              <w:t>2.1+</w:t>
            </w:r>
          </w:p>
        </w:tc>
        <w:tc>
          <w:tcPr>
            <w:tcW w:w="180" w:type="dxa"/>
            <w:vAlign w:val="bottom"/>
            <w:tcBorders>
              <w:right w:val="single" w:sz="8" w:color="CCEEFF"/>
            </w:tcBorders>
            <w:shd w:val="clear" w:color="auto" w:fill="CCEEFF"/>
          </w:tcPr>
          <w:p>
            <w:pPr>
              <w:spacing w:after="0"/>
              <w:rPr>
                <w:sz w:val="14"/>
                <w:szCs w:val="14"/>
                <w:color w:val="auto"/>
              </w:rPr>
            </w:pPr>
          </w:p>
        </w:tc>
        <w:tc>
          <w:tcPr>
            <w:tcW w:w="4320" w:type="dxa"/>
            <w:vAlign w:val="bottom"/>
            <w:gridSpan w:val="25"/>
            <w:shd w:val="clear" w:color="auto" w:fill="CCEEFF"/>
          </w:tcPr>
          <w:p>
            <w:pPr>
              <w:spacing w:after="0" w:line="169"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Agreement and Plan of Merger, dated February 9, 2021, by and</w:t>
              </w:r>
            </w:hyperlink>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DEF14M</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6"/>
              </w:rPr>
              <w:t>Annex A</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07/02/2021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49"/>
        </w:trPr>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960" w:type="dxa"/>
            <w:vAlign w:val="bottom"/>
            <w:tcBorders>
              <w:top w:val="single" w:sz="8" w:color="0000FF"/>
              <w:bottom w:val="single" w:sz="8" w:color="0000FF"/>
              <w:right w:val="single" w:sz="8" w:color="CCEEFF"/>
            </w:tcBorders>
            <w:gridSpan w:val="12"/>
            <w:shd w:val="clear" w:color="auto" w:fill="CCEEFF"/>
          </w:tcPr>
          <w:p>
            <w:pPr>
              <w:spacing w:after="0" w:line="149" w:lineRule="exact"/>
              <w:rPr>
                <w:rFonts w:ascii="Times New Roman" w:cs="Times New Roman" w:eastAsia="Times New Roman" w:hAnsi="Times New Roman"/>
                <w:sz w:val="16"/>
                <w:szCs w:val="16"/>
                <w:color w:val="0000FF"/>
                <w:w w:val="97"/>
              </w:rPr>
            </w:pPr>
            <w:hyperlink r:id="rId165">
              <w:r>
                <w:rPr>
                  <w:rFonts w:ascii="Times New Roman" w:cs="Times New Roman" w:eastAsia="Times New Roman" w:hAnsi="Times New Roman"/>
                  <w:sz w:val="16"/>
                  <w:szCs w:val="16"/>
                  <w:color w:val="0000FF"/>
                  <w:w w:val="97"/>
                </w:rPr>
                <w:t>among CMLS, Merger Sub and Legacy Sema4, as amended by</w:t>
              </w:r>
            </w:hyperlink>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3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94"/>
        </w:trPr>
        <w:tc>
          <w:tcPr>
            <w:tcW w:w="9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480" w:type="dxa"/>
            <w:vAlign w:val="bottom"/>
            <w:gridSpan w:val="26"/>
            <w:shd w:val="clear" w:color="auto" w:fill="CCEEFF"/>
          </w:tcPr>
          <w:p>
            <w:pPr>
              <w:spacing w:after="0" w:line="16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Amendment to Agreement and Plan of Merger dated May 3, 2021.</w:t>
              </w:r>
            </w:hyperlink>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69"/>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2.2</w:t>
            </w:r>
          </w:p>
        </w:tc>
        <w:tc>
          <w:tcPr>
            <w:tcW w:w="180" w:type="dxa"/>
            <w:vAlign w:val="bottom"/>
            <w:tcBorders>
              <w:right w:val="single" w:sz="8" w:color="CCEEFF"/>
            </w:tcBorders>
            <w:shd w:val="clear" w:color="auto" w:fill="CCEEFF"/>
          </w:tcPr>
          <w:p>
            <w:pPr>
              <w:spacing w:after="0"/>
              <w:rPr>
                <w:sz w:val="14"/>
                <w:szCs w:val="14"/>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Agreement and Plan of Merger and Reorganization, dated as of</w:t>
              </w:r>
            </w:hyperlink>
          </w:p>
        </w:tc>
        <w:tc>
          <w:tcPr>
            <w:tcW w:w="1480" w:type="dxa"/>
            <w:vAlign w:val="bottom"/>
            <w:gridSpan w:val="2"/>
            <w:shd w:val="clear" w:color="auto" w:fill="CCEEFF"/>
          </w:tcPr>
          <w:p>
            <w:pPr>
              <w:jc w:val="center"/>
              <w:ind w:right="16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2.1</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01/18/2022</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CCEEFF"/>
            </w:tcBorders>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r>
        <w:trPr>
          <w:trHeight w:val="149"/>
        </w:trPr>
        <w:tc>
          <w:tcPr>
            <w:tcW w:w="9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80" w:type="dxa"/>
            <w:vAlign w:val="bottom"/>
            <w:gridSpan w:val="26"/>
            <w:shd w:val="clear" w:color="auto" w:fill="CCEEFF"/>
          </w:tcPr>
          <w:p>
            <w:pPr>
              <w:spacing w:after="0" w:line="149"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January 14, 2022, by and among, Orion Merger Sub I, Inc., Orion</w:t>
              </w:r>
            </w:hyperlink>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62"/>
        </w:trPr>
        <w:tc>
          <w:tcPr>
            <w:tcW w:w="9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4100" w:type="dxa"/>
            <w:vAlign w:val="bottom"/>
            <w:tcBorders>
              <w:top w:val="single" w:sz="8" w:color="0000FF"/>
            </w:tcBorders>
            <w:gridSpan w:val="16"/>
            <w:shd w:val="clear" w:color="auto" w:fill="CCEEFF"/>
          </w:tcPr>
          <w:p>
            <w:pPr>
              <w:spacing w:after="0" w:line="162" w:lineRule="exact"/>
              <w:rPr>
                <w:rFonts w:ascii="Times New Roman" w:cs="Times New Roman" w:eastAsia="Times New Roman" w:hAnsi="Times New Roman"/>
                <w:sz w:val="16"/>
                <w:szCs w:val="16"/>
                <w:color w:val="0000FF"/>
                <w:w w:val="99"/>
              </w:rPr>
            </w:pPr>
            <w:hyperlink r:id="rId166">
              <w:r>
                <w:rPr>
                  <w:rFonts w:ascii="Times New Roman" w:cs="Times New Roman" w:eastAsia="Times New Roman" w:hAnsi="Times New Roman"/>
                  <w:sz w:val="16"/>
                  <w:szCs w:val="16"/>
                  <w:color w:val="0000FF"/>
                  <w:w w:val="99"/>
                </w:rPr>
                <w:t>Merger Sub II, LLC, GeneDx, Inc., GeneDx Holding 2, Inc. and</w:t>
              </w:r>
            </w:hyperlink>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gridSpan w:val="2"/>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r>
      <w:tr>
        <w:trPr>
          <w:trHeight w:val="194"/>
        </w:trPr>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4020" w:type="dxa"/>
            <w:vAlign w:val="bottom"/>
            <w:tcBorders>
              <w:top w:val="single" w:sz="8" w:color="0000FF"/>
            </w:tcBorders>
            <w:gridSpan w:val="14"/>
            <w:shd w:val="clear" w:color="auto" w:fill="CCEEFF"/>
          </w:tcPr>
          <w:p>
            <w:pPr>
              <w:spacing w:after="0" w:line="149"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OPKO Health, Inc.</w:t>
              </w:r>
            </w:hyperlink>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69"/>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6"/>
              </w:rPr>
              <w:t>2.3+</w:t>
            </w:r>
          </w:p>
        </w:tc>
        <w:tc>
          <w:tcPr>
            <w:tcW w:w="180" w:type="dxa"/>
            <w:vAlign w:val="bottom"/>
            <w:tcBorders>
              <w:right w:val="single" w:sz="8" w:color="CCEEFF"/>
            </w:tcBorders>
            <w:shd w:val="clear" w:color="auto" w:fill="CCEEFF"/>
          </w:tcPr>
          <w:p>
            <w:pPr>
              <w:spacing w:after="0"/>
              <w:rPr>
                <w:sz w:val="14"/>
                <w:szCs w:val="14"/>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Amendment to Agreement and Plan of Merger and Reorganization,</w:t>
              </w:r>
            </w:hyperlink>
          </w:p>
        </w:tc>
        <w:tc>
          <w:tcPr>
            <w:tcW w:w="1480" w:type="dxa"/>
            <w:vAlign w:val="bottom"/>
            <w:gridSpan w:val="2"/>
            <w:shd w:val="clear" w:color="auto" w:fill="CCEEFF"/>
          </w:tcPr>
          <w:p>
            <w:pPr>
              <w:jc w:val="center"/>
              <w:ind w:right="16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99.2</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05/02/2022</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49"/>
        </w:trPr>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4140" w:type="dxa"/>
            <w:vAlign w:val="bottom"/>
            <w:tcBorders>
              <w:top w:val="single" w:sz="8" w:color="0000FF"/>
              <w:bottom w:val="single" w:sz="8" w:color="0000FF"/>
            </w:tcBorders>
            <w:gridSpan w:val="17"/>
            <w:shd w:val="clear" w:color="auto" w:fill="CCEEFF"/>
          </w:tcPr>
          <w:p>
            <w:pPr>
              <w:spacing w:after="0" w:line="149" w:lineRule="exact"/>
              <w:rPr>
                <w:rFonts w:ascii="Times New Roman" w:cs="Times New Roman" w:eastAsia="Times New Roman" w:hAnsi="Times New Roman"/>
                <w:sz w:val="16"/>
                <w:szCs w:val="16"/>
                <w:color w:val="0000FF"/>
                <w:w w:val="97"/>
              </w:rPr>
            </w:pPr>
            <w:hyperlink r:id="rId167">
              <w:r>
                <w:rPr>
                  <w:rFonts w:ascii="Times New Roman" w:cs="Times New Roman" w:eastAsia="Times New Roman" w:hAnsi="Times New Roman"/>
                  <w:sz w:val="16"/>
                  <w:szCs w:val="16"/>
                  <w:color w:val="0000FF"/>
                  <w:w w:val="97"/>
                </w:rPr>
                <w:t>dated as of April 29, 2022, by and among, Sema4 Holdings Corp.,</w:t>
              </w:r>
            </w:hyperlink>
          </w:p>
        </w:tc>
        <w:tc>
          <w:tcPr>
            <w:tcW w:w="6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3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2"/>
        </w:trPr>
        <w:tc>
          <w:tcPr>
            <w:tcW w:w="9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480" w:type="dxa"/>
            <w:vAlign w:val="bottom"/>
            <w:gridSpan w:val="26"/>
            <w:shd w:val="clear" w:color="auto" w:fill="CCEEFF"/>
          </w:tcPr>
          <w:p>
            <w:pPr>
              <w:spacing w:after="0" w:line="16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Orion Merger Sub I, Inc., Orion Merger Sub II, LLC, GeneDx, Inc.,</w:t>
              </w:r>
            </w:hyperlink>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4"/>
        </w:trPr>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4240" w:type="dxa"/>
            <w:vAlign w:val="bottom"/>
            <w:tcBorders>
              <w:top w:val="single" w:sz="8" w:color="0000FF"/>
            </w:tcBorders>
            <w:gridSpan w:val="22"/>
            <w:shd w:val="clear" w:color="auto" w:fill="CCEEFF"/>
          </w:tcPr>
          <w:p>
            <w:pPr>
              <w:spacing w:after="0" w:line="149"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GeneDx Holding 2, Inc. and OPKO Health, Inc.</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69"/>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3.1</w:t>
            </w:r>
          </w:p>
        </w:tc>
        <w:tc>
          <w:tcPr>
            <w:tcW w:w="180" w:type="dxa"/>
            <w:vAlign w:val="bottom"/>
            <w:tcBorders>
              <w:right w:val="single" w:sz="8" w:color="CCEEFF"/>
            </w:tcBorders>
            <w:shd w:val="clear" w:color="auto" w:fill="CCEEFF"/>
          </w:tcPr>
          <w:p>
            <w:pPr>
              <w:spacing w:after="0"/>
              <w:rPr>
                <w:sz w:val="14"/>
                <w:szCs w:val="14"/>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Third Amended and Restated Certificate of Incorporation of Sema4</w:t>
              </w:r>
            </w:hyperlink>
          </w:p>
        </w:tc>
        <w:tc>
          <w:tcPr>
            <w:tcW w:w="1480" w:type="dxa"/>
            <w:vAlign w:val="bottom"/>
            <w:gridSpan w:val="2"/>
            <w:shd w:val="clear" w:color="auto" w:fill="CCEEFF"/>
          </w:tcPr>
          <w:p>
            <w:pPr>
              <w:jc w:val="center"/>
              <w:ind w:right="16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3.1</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4"/>
        </w:trPr>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4220" w:type="dxa"/>
            <w:vAlign w:val="bottom"/>
            <w:tcBorders>
              <w:top w:val="single" w:sz="8" w:color="0000FF"/>
            </w:tcBorders>
            <w:gridSpan w:val="21"/>
            <w:shd w:val="clear" w:color="auto" w:fill="CCEEFF"/>
          </w:tcPr>
          <w:p>
            <w:pPr>
              <w:spacing w:after="0" w:line="149"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Holdings Corp.</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69"/>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3.2</w:t>
            </w:r>
          </w:p>
        </w:tc>
        <w:tc>
          <w:tcPr>
            <w:tcW w:w="180" w:type="dxa"/>
            <w:vAlign w:val="bottom"/>
            <w:tcBorders>
              <w:right w:val="single" w:sz="8" w:color="CCEEFF"/>
            </w:tcBorders>
            <w:shd w:val="clear" w:color="auto" w:fill="CCEEFF"/>
          </w:tcPr>
          <w:p>
            <w:pPr>
              <w:spacing w:after="0"/>
              <w:rPr>
                <w:sz w:val="14"/>
                <w:szCs w:val="14"/>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Certificate of Amendment of Restated Certificate of Incorporation</w:t>
              </w:r>
            </w:hyperlink>
          </w:p>
        </w:tc>
        <w:tc>
          <w:tcPr>
            <w:tcW w:w="1480" w:type="dxa"/>
            <w:vAlign w:val="bottom"/>
            <w:gridSpan w:val="2"/>
            <w:shd w:val="clear" w:color="auto" w:fill="CCEEFF"/>
          </w:tcPr>
          <w:p>
            <w:pPr>
              <w:jc w:val="center"/>
              <w:ind w:right="16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3.1</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01/09/2023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4"/>
        </w:trPr>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4140" w:type="dxa"/>
            <w:vAlign w:val="bottom"/>
            <w:tcBorders>
              <w:top w:val="single" w:sz="8" w:color="0000FF"/>
            </w:tcBorders>
            <w:gridSpan w:val="17"/>
            <w:shd w:val="clear" w:color="auto" w:fill="CCEEFF"/>
          </w:tcPr>
          <w:p>
            <w:pPr>
              <w:spacing w:after="0" w:line="149"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of Sema4 Holdings Corp.</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1"/>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3.3</w:t>
            </w:r>
          </w:p>
        </w:tc>
        <w:tc>
          <w:tcPr>
            <w:tcW w:w="180" w:type="dxa"/>
            <w:vAlign w:val="bottom"/>
            <w:tcBorders>
              <w:right w:val="single" w:sz="8" w:color="CCEEFF"/>
            </w:tcBorders>
            <w:shd w:val="clear" w:color="auto" w:fill="CCEEFF"/>
          </w:tcPr>
          <w:p>
            <w:pPr>
              <w:spacing w:after="0"/>
              <w:rPr>
                <w:sz w:val="17"/>
                <w:szCs w:val="17"/>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Amended and Restated Bylaws of GeneDx Holdings Corp.</w:t>
              </w:r>
            </w:hyperlink>
          </w:p>
        </w:tc>
        <w:tc>
          <w:tcPr>
            <w:tcW w:w="1480" w:type="dxa"/>
            <w:vAlign w:val="bottom"/>
            <w:gridSpan w:val="2"/>
            <w:shd w:val="clear" w:color="auto" w:fill="CCEEFF"/>
          </w:tcPr>
          <w:p>
            <w:pPr>
              <w:jc w:val="center"/>
              <w:ind w:right="16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01/09/2023</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1"/>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4.1</w:t>
            </w:r>
          </w:p>
        </w:tc>
        <w:tc>
          <w:tcPr>
            <w:tcW w:w="180" w:type="dxa"/>
            <w:vAlign w:val="bottom"/>
            <w:tcBorders>
              <w:right w:val="single" w:sz="8" w:color="CCEEFF"/>
            </w:tcBorders>
            <w:shd w:val="clear" w:color="auto" w:fill="CCEEFF"/>
          </w:tcPr>
          <w:p>
            <w:pPr>
              <w:spacing w:after="0"/>
              <w:rPr>
                <w:sz w:val="17"/>
                <w:szCs w:val="17"/>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Specimen Class A Common Stock Certificate.</w:t>
              </w:r>
            </w:hyperlink>
          </w:p>
        </w:tc>
        <w:tc>
          <w:tcPr>
            <w:tcW w:w="1480" w:type="dxa"/>
            <w:vAlign w:val="bottom"/>
            <w:gridSpan w:val="2"/>
            <w:shd w:val="clear" w:color="auto" w:fill="CCEEFF"/>
          </w:tcPr>
          <w:p>
            <w:pPr>
              <w:jc w:val="center"/>
              <w:ind w:right="18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08/24/2020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1"/>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4.2</w:t>
            </w:r>
          </w:p>
        </w:tc>
        <w:tc>
          <w:tcPr>
            <w:tcW w:w="180" w:type="dxa"/>
            <w:vAlign w:val="bottom"/>
            <w:tcBorders>
              <w:right w:val="single" w:sz="8" w:color="CCEEFF"/>
            </w:tcBorders>
            <w:shd w:val="clear" w:color="auto" w:fill="CCEEFF"/>
          </w:tcPr>
          <w:p>
            <w:pPr>
              <w:spacing w:after="0"/>
              <w:rPr>
                <w:sz w:val="17"/>
                <w:szCs w:val="17"/>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Specimen Warrant Certificate.</w:t>
              </w:r>
            </w:hyperlink>
          </w:p>
        </w:tc>
        <w:tc>
          <w:tcPr>
            <w:tcW w:w="1480" w:type="dxa"/>
            <w:vAlign w:val="bottom"/>
            <w:gridSpan w:val="2"/>
            <w:shd w:val="clear" w:color="auto" w:fill="CCEEFF"/>
          </w:tcPr>
          <w:p>
            <w:pPr>
              <w:jc w:val="center"/>
              <w:ind w:right="180"/>
              <w:spacing w:after="0" w:line="169" w:lineRule="exact"/>
              <w:rPr>
                <w:sz w:val="20"/>
                <w:szCs w:val="20"/>
                <w:color w:val="auto"/>
              </w:rPr>
            </w:pPr>
            <w:r>
              <w:rPr>
                <w:rFonts w:ascii="Times New Roman" w:cs="Times New Roman" w:eastAsia="Times New Roman" w:hAnsi="Times New Roman"/>
                <w:sz w:val="16"/>
                <w:szCs w:val="16"/>
                <w:color w:val="auto"/>
                <w:w w:val="99"/>
              </w:rPr>
              <w:t>S-1/A</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4.3</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08/24/2020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69"/>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4.3</w:t>
            </w:r>
          </w:p>
        </w:tc>
        <w:tc>
          <w:tcPr>
            <w:tcW w:w="180" w:type="dxa"/>
            <w:vAlign w:val="bottom"/>
            <w:tcBorders>
              <w:right w:val="single" w:sz="8" w:color="CCEEFF"/>
            </w:tcBorders>
            <w:shd w:val="clear" w:color="auto" w:fill="CCEEFF"/>
          </w:tcPr>
          <w:p>
            <w:pPr>
              <w:spacing w:after="0"/>
              <w:rPr>
                <w:sz w:val="14"/>
                <w:szCs w:val="14"/>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Warrant Agreement, dated as of September 1, 2020, by and between</w:t>
              </w:r>
            </w:hyperlink>
          </w:p>
        </w:tc>
        <w:tc>
          <w:tcPr>
            <w:tcW w:w="1480" w:type="dxa"/>
            <w:vAlign w:val="bottom"/>
            <w:gridSpan w:val="2"/>
            <w:shd w:val="clear" w:color="auto" w:fill="CCEEFF"/>
          </w:tcPr>
          <w:p>
            <w:pPr>
              <w:jc w:val="center"/>
              <w:ind w:right="16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10.1</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09/04/2020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49"/>
        </w:trPr>
        <w:tc>
          <w:tcPr>
            <w:tcW w:w="9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4260" w:type="dxa"/>
            <w:vAlign w:val="bottom"/>
            <w:tcBorders>
              <w:top w:val="single" w:sz="8" w:color="0000FF"/>
            </w:tcBorders>
            <w:gridSpan w:val="23"/>
            <w:shd w:val="clear" w:color="auto" w:fill="CCEEFF"/>
          </w:tcPr>
          <w:p>
            <w:pPr>
              <w:spacing w:after="0" w:line="149"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CM Life Sciences, Inc. and Continental Stock Transfer &amp; Trust</w:t>
              </w:r>
            </w:hyperlink>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2"/>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r>
      <w:tr>
        <w:trPr>
          <w:trHeight w:val="194"/>
        </w:trPr>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3960" w:type="dxa"/>
            <w:vAlign w:val="bottom"/>
            <w:tcBorders>
              <w:top w:val="single" w:sz="8" w:color="0000FF"/>
              <w:right w:val="single" w:sz="8" w:color="CCEEFF"/>
            </w:tcBorders>
            <w:gridSpan w:val="12"/>
            <w:shd w:val="clear" w:color="auto" w:fill="CCEEFF"/>
          </w:tcPr>
          <w:p>
            <w:pPr>
              <w:spacing w:after="0" w:line="16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Company, as warrant agent.</w:t>
              </w:r>
            </w:hyperlink>
          </w:p>
        </w:tc>
        <w:tc>
          <w:tcPr>
            <w:tcW w:w="100" w:type="dxa"/>
            <w:vAlign w:val="bottom"/>
            <w:tcBorders>
              <w:top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c>
          <w:tcPr>
            <w:tcW w:w="100" w:type="dxa"/>
            <w:vAlign w:val="bottom"/>
            <w:tcBorders>
              <w:top w:val="single" w:sz="8" w:color="CCEEFF"/>
            </w:tcBorders>
            <w:gridSpan w:val="5"/>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1"/>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4.4</w:t>
            </w:r>
          </w:p>
        </w:tc>
        <w:tc>
          <w:tcPr>
            <w:tcW w:w="180" w:type="dxa"/>
            <w:vAlign w:val="bottom"/>
            <w:tcBorders>
              <w:right w:val="single" w:sz="8" w:color="CCEEFF"/>
            </w:tcBorders>
            <w:shd w:val="clear" w:color="auto" w:fill="CCEEFF"/>
          </w:tcPr>
          <w:p>
            <w:pPr>
              <w:spacing w:after="0"/>
              <w:rPr>
                <w:sz w:val="17"/>
                <w:szCs w:val="17"/>
                <w:color w:val="auto"/>
              </w:rPr>
            </w:pPr>
          </w:p>
        </w:tc>
        <w:tc>
          <w:tcPr>
            <w:tcW w:w="4480" w:type="dxa"/>
            <w:vAlign w:val="bottom"/>
            <w:gridSpan w:val="26"/>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Description of Securities</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86"/>
              </w:rPr>
              <w:t>X</w:t>
            </w: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69"/>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10.1</w:t>
            </w:r>
          </w:p>
        </w:tc>
        <w:tc>
          <w:tcPr>
            <w:tcW w:w="180" w:type="dxa"/>
            <w:vAlign w:val="bottom"/>
            <w:tcBorders>
              <w:right w:val="single" w:sz="8" w:color="CCEEFF"/>
            </w:tcBorders>
            <w:shd w:val="clear" w:color="auto" w:fill="CCEEFF"/>
          </w:tcPr>
          <w:p>
            <w:pPr>
              <w:spacing w:after="0"/>
              <w:rPr>
                <w:sz w:val="14"/>
                <w:szCs w:val="14"/>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Amended and Restated Registration Rights Agreement, dated as of</w:t>
              </w:r>
            </w:hyperlink>
          </w:p>
        </w:tc>
        <w:tc>
          <w:tcPr>
            <w:tcW w:w="1480" w:type="dxa"/>
            <w:vAlign w:val="bottom"/>
            <w:gridSpan w:val="2"/>
            <w:shd w:val="clear" w:color="auto" w:fill="CCEEFF"/>
          </w:tcPr>
          <w:p>
            <w:pPr>
              <w:jc w:val="center"/>
              <w:ind w:right="16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10.2</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r>
        <w:trPr>
          <w:trHeight w:val="149"/>
        </w:trPr>
        <w:tc>
          <w:tcPr>
            <w:tcW w:w="9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80" w:type="dxa"/>
            <w:vAlign w:val="bottom"/>
            <w:gridSpan w:val="26"/>
            <w:shd w:val="clear" w:color="auto" w:fill="CCEEFF"/>
          </w:tcPr>
          <w:p>
            <w:pPr>
              <w:spacing w:after="0" w:line="149"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July 22, 2021, by and among the Company, certain equity holders of</w:t>
              </w:r>
            </w:hyperlink>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62"/>
        </w:trPr>
        <w:tc>
          <w:tcPr>
            <w:tcW w:w="9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4280" w:type="dxa"/>
            <w:vAlign w:val="bottom"/>
            <w:tcBorders>
              <w:top w:val="single" w:sz="8" w:color="0000FF"/>
            </w:tcBorders>
            <w:gridSpan w:val="24"/>
            <w:shd w:val="clear" w:color="auto" w:fill="CCEEFF"/>
          </w:tcPr>
          <w:p>
            <w:pPr>
              <w:spacing w:after="0" w:line="16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the Company named therein and certain equity holders of Sema4</w:t>
              </w:r>
            </w:hyperlink>
          </w:p>
        </w:tc>
        <w:tc>
          <w:tcPr>
            <w:tcW w:w="200" w:type="dxa"/>
            <w:vAlign w:val="bottom"/>
            <w:tcBorders>
              <w:top w:val="single" w:sz="8" w:color="CCEEFF"/>
            </w:tcBorders>
            <w:gridSpan w:val="2"/>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r>
      <w:tr>
        <w:trPr>
          <w:trHeight w:val="194"/>
        </w:trPr>
        <w:tc>
          <w:tcPr>
            <w:tcW w:w="9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4060" w:type="dxa"/>
            <w:vAlign w:val="bottom"/>
            <w:tcBorders>
              <w:top w:val="single" w:sz="8" w:color="0000FF"/>
            </w:tcBorders>
            <w:gridSpan w:val="15"/>
            <w:shd w:val="clear" w:color="auto" w:fill="CCEEFF"/>
          </w:tcPr>
          <w:p>
            <w:pPr>
              <w:spacing w:after="0" w:line="149"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named therein.</w:t>
              </w:r>
            </w:hyperlink>
          </w:p>
        </w:tc>
        <w:tc>
          <w:tcPr>
            <w:tcW w:w="420" w:type="dxa"/>
            <w:vAlign w:val="bottom"/>
            <w:tcBorders>
              <w:top w:val="single" w:sz="8" w:color="CCEEFF"/>
            </w:tcBorders>
            <w:gridSpan w:val="11"/>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1"/>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10.2</w:t>
            </w:r>
          </w:p>
        </w:tc>
        <w:tc>
          <w:tcPr>
            <w:tcW w:w="180" w:type="dxa"/>
            <w:vAlign w:val="bottom"/>
            <w:tcBorders>
              <w:right w:val="single" w:sz="8" w:color="CCEEFF"/>
            </w:tcBorders>
            <w:shd w:val="clear" w:color="auto" w:fill="CCEEFF"/>
          </w:tcPr>
          <w:p>
            <w:pPr>
              <w:spacing w:after="0"/>
              <w:rPr>
                <w:sz w:val="17"/>
                <w:szCs w:val="17"/>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Form Director of and Officer Indemnification Agreement.</w:t>
              </w:r>
            </w:hyperlink>
          </w:p>
        </w:tc>
        <w:tc>
          <w:tcPr>
            <w:tcW w:w="1480" w:type="dxa"/>
            <w:vAlign w:val="bottom"/>
            <w:gridSpan w:val="2"/>
            <w:shd w:val="clear" w:color="auto" w:fill="CCEEFF"/>
          </w:tcPr>
          <w:p>
            <w:pPr>
              <w:jc w:val="center"/>
              <w:ind w:right="16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2"/>
        </w:trPr>
        <w:tc>
          <w:tcPr>
            <w:tcW w:w="9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69"/>
        </w:trPr>
        <w:tc>
          <w:tcPr>
            <w:tcW w:w="9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10.3*</w:t>
            </w:r>
          </w:p>
        </w:tc>
        <w:tc>
          <w:tcPr>
            <w:tcW w:w="180" w:type="dxa"/>
            <w:vAlign w:val="bottom"/>
            <w:tcBorders>
              <w:right w:val="single" w:sz="8" w:color="CCEEFF"/>
            </w:tcBorders>
            <w:shd w:val="clear" w:color="auto" w:fill="CCEEFF"/>
          </w:tcPr>
          <w:p>
            <w:pPr>
              <w:spacing w:after="0"/>
              <w:rPr>
                <w:sz w:val="14"/>
                <w:szCs w:val="14"/>
                <w:color w:val="auto"/>
              </w:rPr>
            </w:pPr>
          </w:p>
        </w:tc>
        <w:tc>
          <w:tcPr>
            <w:tcW w:w="4480" w:type="dxa"/>
            <w:vAlign w:val="bottom"/>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2021 Equity Incentive Plan.</w:t>
              </w:r>
            </w:hyperlink>
          </w:p>
        </w:tc>
        <w:tc>
          <w:tcPr>
            <w:tcW w:w="1480" w:type="dxa"/>
            <w:vAlign w:val="bottom"/>
            <w:gridSpan w:val="2"/>
            <w:shd w:val="clear" w:color="auto" w:fill="CCEEFF"/>
          </w:tcPr>
          <w:p>
            <w:pPr>
              <w:jc w:val="center"/>
              <w:ind w:right="16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10.5</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32"/>
        </w:trPr>
        <w:tc>
          <w:tcPr>
            <w:tcW w:w="9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4"/>
              </w:rPr>
              <w:t>10.4*</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Form of Stock Option Agreement under the 2021 Equity Incentive</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10.6</w:t>
            </w:r>
          </w:p>
        </w:tc>
      </w:tr>
      <w:tr>
        <w:trPr>
          <w:trHeight w:val="149"/>
        </w:trPr>
        <w:tc>
          <w:tcPr>
            <w:tcW w:w="86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9" w:lineRule="exact"/>
              <w:rPr>
                <w:rFonts w:ascii="Times New Roman" w:cs="Times New Roman" w:eastAsia="Times New Roman" w:hAnsi="Times New Roman"/>
                <w:sz w:val="16"/>
                <w:szCs w:val="16"/>
                <w:color w:val="0000FF"/>
                <w:w w:val="92"/>
              </w:rPr>
            </w:pPr>
            <w:hyperlink r:id="rId178">
              <w:r>
                <w:rPr>
                  <w:rFonts w:ascii="Times New Roman" w:cs="Times New Roman" w:eastAsia="Times New Roman" w:hAnsi="Times New Roman"/>
                  <w:sz w:val="16"/>
                  <w:szCs w:val="16"/>
                  <w:color w:val="0000FF"/>
                  <w:w w:val="92"/>
                </w:rPr>
                <w:t>Plan.</w:t>
              </w:r>
            </w:hyperlink>
          </w:p>
        </w:tc>
        <w:tc>
          <w:tcPr>
            <w:tcW w:w="3880" w:type="dxa"/>
            <w:vAlign w:val="bottom"/>
            <w:tcBorders>
              <w:top w:val="single" w:sz="8" w:color="0000FF"/>
            </w:tcBorders>
            <w:gridSpan w:val="2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66"/>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4"/>
              </w:rPr>
              <w:t>10.5*</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Form of RSU Agreement under the 2021 Equity Incentive Plan.</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10.7</w:t>
            </w: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4"/>
              </w:rPr>
              <w:t>10.6*</w:t>
            </w:r>
          </w:p>
        </w:tc>
        <w:tc>
          <w:tcPr>
            <w:tcW w:w="224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w w:val="96"/>
              </w:rPr>
            </w:pPr>
            <w:hyperlink r:id="rId180">
              <w:r>
                <w:rPr>
                  <w:rFonts w:ascii="Times New Roman" w:cs="Times New Roman" w:eastAsia="Times New Roman" w:hAnsi="Times New Roman"/>
                  <w:sz w:val="16"/>
                  <w:szCs w:val="16"/>
                  <w:color w:val="0000FF"/>
                  <w:w w:val="96"/>
                </w:rPr>
                <w:t>Form of Earn-Out RSU Agreement.</w:t>
              </w:r>
            </w:hyperlink>
          </w:p>
        </w:tc>
        <w:tc>
          <w:tcPr>
            <w:tcW w:w="1740" w:type="dxa"/>
            <w:vAlign w:val="bottom"/>
            <w:tcBorders>
              <w:top w:val="single" w:sz="8" w:color="0000FF"/>
            </w:tcBorders>
            <w:gridSpan w:val="13"/>
          </w:tcPr>
          <w:p>
            <w:pPr>
              <w:spacing w:after="0"/>
              <w:rPr>
                <w:sz w:val="22"/>
                <w:szCs w:val="22"/>
                <w:color w:val="auto"/>
              </w:rPr>
            </w:pPr>
          </w:p>
        </w:tc>
        <w:tc>
          <w:tcPr>
            <w:tcW w:w="660" w:type="dxa"/>
            <w:vAlign w:val="bottom"/>
            <w:gridSpan w:val="15"/>
          </w:tcPr>
          <w:p>
            <w:pPr>
              <w:spacing w:after="0"/>
              <w:rPr>
                <w:sz w:val="22"/>
                <w:szCs w:val="22"/>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10.8</w:t>
            </w: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4"/>
              </w:rPr>
              <w:t>10.7*</w:t>
            </w:r>
          </w:p>
        </w:tc>
        <w:tc>
          <w:tcPr>
            <w:tcW w:w="234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6"/>
              </w:rPr>
            </w:pPr>
            <w:hyperlink r:id="rId181">
              <w:r>
                <w:rPr>
                  <w:rFonts w:ascii="Times New Roman" w:cs="Times New Roman" w:eastAsia="Times New Roman" w:hAnsi="Times New Roman"/>
                  <w:sz w:val="16"/>
                  <w:szCs w:val="16"/>
                  <w:color w:val="0000FF"/>
                  <w:w w:val="96"/>
                </w:rPr>
                <w:t>2021 Employee Stock Purchase Plan.</w:t>
              </w:r>
            </w:hyperlink>
          </w:p>
        </w:tc>
        <w:tc>
          <w:tcPr>
            <w:tcW w:w="2300" w:type="dxa"/>
            <w:vAlign w:val="bottom"/>
            <w:gridSpan w:val="27"/>
          </w:tcPr>
          <w:p>
            <w:pPr>
              <w:spacing w:after="0"/>
              <w:rPr>
                <w:sz w:val="22"/>
                <w:szCs w:val="22"/>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10.9</w:t>
            </w: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4"/>
              </w:rPr>
              <w:t>10.8*</w:t>
            </w:r>
          </w:p>
        </w:tc>
        <w:tc>
          <w:tcPr>
            <w:tcW w:w="400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7"/>
              </w:rPr>
            </w:pPr>
            <w:hyperlink r:id="rId182">
              <w:r>
                <w:rPr>
                  <w:rFonts w:ascii="Times New Roman" w:cs="Times New Roman" w:eastAsia="Times New Roman" w:hAnsi="Times New Roman"/>
                  <w:sz w:val="16"/>
                  <w:szCs w:val="16"/>
                  <w:color w:val="0000FF"/>
                  <w:w w:val="97"/>
                </w:rPr>
                <w:t>Amended and Restated Employment Agreement of Eric Schadt.</w:t>
              </w:r>
            </w:hyperlink>
          </w:p>
        </w:tc>
        <w:tc>
          <w:tcPr>
            <w:tcW w:w="640" w:type="dxa"/>
            <w:vAlign w:val="bottom"/>
            <w:gridSpan w:val="14"/>
          </w:tcPr>
          <w:p>
            <w:pPr>
              <w:spacing w:after="0"/>
              <w:rPr>
                <w:sz w:val="22"/>
                <w:szCs w:val="22"/>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10.10</w:t>
            </w:r>
          </w:p>
        </w:tc>
      </w:tr>
      <w:tr>
        <w:trPr>
          <w:trHeight w:val="253"/>
        </w:trPr>
        <w:tc>
          <w:tcPr>
            <w:tcW w:w="86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9"/>
              </w:rPr>
              <w:t>10.9</w:t>
            </w:r>
          </w:p>
        </w:tc>
        <w:tc>
          <w:tcPr>
            <w:tcW w:w="388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7"/>
              </w:rPr>
            </w:pPr>
            <w:hyperlink r:id="rId183">
              <w:r>
                <w:rPr>
                  <w:rFonts w:ascii="Times New Roman" w:cs="Times New Roman" w:eastAsia="Times New Roman" w:hAnsi="Times New Roman"/>
                  <w:sz w:val="16"/>
                  <w:szCs w:val="16"/>
                  <w:color w:val="0000FF"/>
                  <w:w w:val="97"/>
                </w:rPr>
                <w:t>Sub-Sublease, dated as of June 6, 2017, by and between Icahn</w:t>
              </w:r>
            </w:hyperlink>
          </w:p>
        </w:tc>
        <w:tc>
          <w:tcPr>
            <w:tcW w:w="760" w:type="dxa"/>
            <w:vAlign w:val="bottom"/>
            <w:gridSpan w:val="19"/>
          </w:tcPr>
          <w:p>
            <w:pPr>
              <w:spacing w:after="0"/>
              <w:rPr>
                <w:sz w:val="22"/>
                <w:szCs w:val="22"/>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10.17</w:t>
            </w:r>
          </w:p>
        </w:tc>
      </w:tr>
      <w:tr>
        <w:trPr>
          <w:trHeight w:val="149"/>
        </w:trPr>
        <w:tc>
          <w:tcPr>
            <w:tcW w:w="860" w:type="dxa"/>
            <w:vAlign w:val="bottom"/>
          </w:tcPr>
          <w:p>
            <w:pPr>
              <w:spacing w:after="0"/>
              <w:rPr>
                <w:sz w:val="12"/>
                <w:szCs w:val="12"/>
                <w:color w:val="auto"/>
              </w:rPr>
            </w:pPr>
          </w:p>
        </w:tc>
        <w:tc>
          <w:tcPr>
            <w:tcW w:w="4640" w:type="dxa"/>
            <w:vAlign w:val="bottom"/>
            <w:gridSpan w:val="36"/>
          </w:tcPr>
          <w:p>
            <w:pPr>
              <w:spacing w:after="0" w:line="149"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School of Medicine at Mount Sinai and the Company, as amended</w:t>
              </w:r>
            </w:hyperlink>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860" w:type="dxa"/>
            <w:vAlign w:val="bottom"/>
          </w:tcPr>
          <w:p>
            <w:pPr>
              <w:spacing w:after="0"/>
              <w:rPr>
                <w:sz w:val="14"/>
                <w:szCs w:val="14"/>
                <w:color w:val="auto"/>
              </w:rPr>
            </w:pPr>
          </w:p>
        </w:tc>
        <w:tc>
          <w:tcPr>
            <w:tcW w:w="880" w:type="dxa"/>
            <w:vAlign w:val="bottom"/>
            <w:tcBorders>
              <w:top w:val="single" w:sz="8" w:color="0000FF"/>
              <w:bottom w:val="single" w:sz="8" w:color="0000FF"/>
            </w:tcBorders>
            <w:gridSpan w:val="5"/>
          </w:tcPr>
          <w:p>
            <w:pPr>
              <w:spacing w:after="0" w:line="162" w:lineRule="exact"/>
              <w:rPr>
                <w:rFonts w:ascii="Times New Roman" w:cs="Times New Roman" w:eastAsia="Times New Roman" w:hAnsi="Times New Roman"/>
                <w:sz w:val="16"/>
                <w:szCs w:val="16"/>
                <w:color w:val="0000FF"/>
                <w:w w:val="94"/>
              </w:rPr>
            </w:pPr>
            <w:hyperlink r:id="rId183">
              <w:r>
                <w:rPr>
                  <w:rFonts w:ascii="Times New Roman" w:cs="Times New Roman" w:eastAsia="Times New Roman" w:hAnsi="Times New Roman"/>
                  <w:sz w:val="16"/>
                  <w:szCs w:val="16"/>
                  <w:color w:val="0000FF"/>
                  <w:w w:val="94"/>
                </w:rPr>
                <w:t>July 31, 2019.</w:t>
              </w:r>
            </w:hyperlink>
          </w:p>
        </w:tc>
        <w:tc>
          <w:tcPr>
            <w:tcW w:w="32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4"/>
              </w:rPr>
              <w:t>10.10</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Sublease Agreement, dated as of November 8, 2019, by and</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10.18</w:t>
            </w:r>
          </w:p>
        </w:tc>
      </w:tr>
      <w:tr>
        <w:trPr>
          <w:trHeight w:val="149"/>
        </w:trPr>
        <w:tc>
          <w:tcPr>
            <w:tcW w:w="860" w:type="dxa"/>
            <w:vAlign w:val="bottom"/>
          </w:tcPr>
          <w:p>
            <w:pPr>
              <w:spacing w:after="0"/>
              <w:rPr>
                <w:sz w:val="12"/>
                <w:szCs w:val="12"/>
                <w:color w:val="auto"/>
              </w:rPr>
            </w:pPr>
          </w:p>
        </w:tc>
        <w:tc>
          <w:tcPr>
            <w:tcW w:w="3420" w:type="dxa"/>
            <w:vAlign w:val="bottom"/>
            <w:tcBorders>
              <w:top w:val="single" w:sz="8" w:color="0000FF"/>
              <w:bottom w:val="single" w:sz="8" w:color="0000FF"/>
            </w:tcBorders>
            <w:gridSpan w:val="14"/>
          </w:tcPr>
          <w:p>
            <w:pPr>
              <w:spacing w:after="0" w:line="149" w:lineRule="exact"/>
              <w:rPr>
                <w:rFonts w:ascii="Times New Roman" w:cs="Times New Roman" w:eastAsia="Times New Roman" w:hAnsi="Times New Roman"/>
                <w:sz w:val="16"/>
                <w:szCs w:val="16"/>
                <w:color w:val="0000FF"/>
                <w:w w:val="97"/>
              </w:rPr>
            </w:pPr>
            <w:hyperlink r:id="rId184">
              <w:r>
                <w:rPr>
                  <w:rFonts w:ascii="Times New Roman" w:cs="Times New Roman" w:eastAsia="Times New Roman" w:hAnsi="Times New Roman"/>
                  <w:sz w:val="16"/>
                  <w:szCs w:val="16"/>
                  <w:color w:val="0000FF"/>
                  <w:w w:val="97"/>
                </w:rPr>
                <w:t>between Marriott International, Inc. and the Company.</w:t>
              </w:r>
            </w:hyperlink>
          </w:p>
        </w:tc>
        <w:tc>
          <w:tcPr>
            <w:tcW w:w="32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66"/>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4"/>
              </w:rPr>
              <w:t>10.11</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Sublease, dated as of June 1, 2017, by and between Icahn School of</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10.19</w:t>
            </w:r>
          </w:p>
        </w:tc>
      </w:tr>
      <w:tr>
        <w:trPr>
          <w:trHeight w:val="149"/>
        </w:trPr>
        <w:tc>
          <w:tcPr>
            <w:tcW w:w="860" w:type="dxa"/>
            <w:vAlign w:val="bottom"/>
          </w:tcPr>
          <w:p>
            <w:pPr>
              <w:spacing w:after="0"/>
              <w:rPr>
                <w:sz w:val="12"/>
                <w:szCs w:val="12"/>
                <w:color w:val="auto"/>
              </w:rPr>
            </w:pPr>
          </w:p>
        </w:tc>
        <w:tc>
          <w:tcPr>
            <w:tcW w:w="4240" w:type="dxa"/>
            <w:vAlign w:val="bottom"/>
            <w:tcBorders>
              <w:top w:val="single" w:sz="8" w:color="0000FF"/>
            </w:tcBorders>
            <w:gridSpan w:val="30"/>
          </w:tcPr>
          <w:p>
            <w:pPr>
              <w:spacing w:after="0" w:line="149" w:lineRule="exact"/>
              <w:rPr>
                <w:rFonts w:ascii="Times New Roman" w:cs="Times New Roman" w:eastAsia="Times New Roman" w:hAnsi="Times New Roman"/>
                <w:sz w:val="16"/>
                <w:szCs w:val="16"/>
                <w:color w:val="0000FF"/>
                <w:w w:val="98"/>
              </w:rPr>
            </w:pPr>
            <w:hyperlink r:id="rId185">
              <w:r>
                <w:rPr>
                  <w:rFonts w:ascii="Times New Roman" w:cs="Times New Roman" w:eastAsia="Times New Roman" w:hAnsi="Times New Roman"/>
                  <w:sz w:val="16"/>
                  <w:szCs w:val="16"/>
                  <w:color w:val="0000FF"/>
                  <w:w w:val="98"/>
                </w:rPr>
                <w:t>Medicine at Mount Sinai and the Company, as amended December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86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spacing w:after="0" w:line="162" w:lineRule="exact"/>
              <w:rPr>
                <w:rFonts w:ascii="Times New Roman" w:cs="Times New Roman" w:eastAsia="Times New Roman" w:hAnsi="Times New Roman"/>
                <w:sz w:val="16"/>
                <w:szCs w:val="16"/>
                <w:color w:val="0000FF"/>
                <w:w w:val="93"/>
              </w:rPr>
            </w:pPr>
            <w:hyperlink r:id="rId185">
              <w:r>
                <w:rPr>
                  <w:rFonts w:ascii="Times New Roman" w:cs="Times New Roman" w:eastAsia="Times New Roman" w:hAnsi="Times New Roman"/>
                  <w:sz w:val="16"/>
                  <w:szCs w:val="16"/>
                  <w:color w:val="0000FF"/>
                  <w:w w:val="93"/>
                </w:rPr>
                <w:t>22, 2017.</w:t>
              </w:r>
            </w:hyperlink>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4"/>
              </w:rPr>
              <w:t>10.12</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Sublease, dated as of April 23, 2019, by and between Icahn School</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10.20</w:t>
            </w:r>
          </w:p>
        </w:tc>
      </w:tr>
      <w:tr>
        <w:trPr>
          <w:trHeight w:val="149"/>
        </w:trPr>
        <w:tc>
          <w:tcPr>
            <w:tcW w:w="860" w:type="dxa"/>
            <w:vAlign w:val="bottom"/>
          </w:tcPr>
          <w:p>
            <w:pPr>
              <w:spacing w:after="0"/>
              <w:rPr>
                <w:sz w:val="12"/>
                <w:szCs w:val="12"/>
                <w:color w:val="auto"/>
              </w:rPr>
            </w:pPr>
          </w:p>
        </w:tc>
        <w:tc>
          <w:tcPr>
            <w:tcW w:w="4220" w:type="dxa"/>
            <w:vAlign w:val="bottom"/>
            <w:tcBorders>
              <w:top w:val="single" w:sz="8" w:color="0000FF"/>
            </w:tcBorders>
            <w:gridSpan w:val="29"/>
          </w:tcPr>
          <w:p>
            <w:pPr>
              <w:spacing w:after="0" w:line="149"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of Medicine at Mount Sinai and the Company.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6"/>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4"/>
              </w:rPr>
              <w:t>10.13</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Lease Agreement, dated as of January 31, 2020, by and between 1</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10.21</w:t>
            </w:r>
          </w:p>
        </w:tc>
      </w:tr>
      <w:tr>
        <w:trPr>
          <w:trHeight w:val="149"/>
        </w:trPr>
        <w:tc>
          <w:tcPr>
            <w:tcW w:w="860" w:type="dxa"/>
            <w:vAlign w:val="bottom"/>
          </w:tcPr>
          <w:p>
            <w:pPr>
              <w:spacing w:after="0"/>
              <w:rPr>
                <w:sz w:val="12"/>
                <w:szCs w:val="12"/>
                <w:color w:val="auto"/>
              </w:rPr>
            </w:pPr>
          </w:p>
        </w:tc>
        <w:tc>
          <w:tcPr>
            <w:tcW w:w="3420" w:type="dxa"/>
            <w:vAlign w:val="bottom"/>
            <w:tcBorders>
              <w:top w:val="single" w:sz="8" w:color="0000FF"/>
              <w:bottom w:val="single" w:sz="8" w:color="0000FF"/>
            </w:tcBorders>
            <w:gridSpan w:val="14"/>
          </w:tcPr>
          <w:p>
            <w:pPr>
              <w:spacing w:after="0" w:line="149" w:lineRule="exact"/>
              <w:rPr>
                <w:rFonts w:ascii="Times New Roman" w:cs="Times New Roman" w:eastAsia="Times New Roman" w:hAnsi="Times New Roman"/>
                <w:sz w:val="16"/>
                <w:szCs w:val="16"/>
                <w:color w:val="0000FF"/>
                <w:w w:val="96"/>
              </w:rPr>
            </w:pPr>
            <w:hyperlink r:id="rId187">
              <w:r>
                <w:rPr>
                  <w:rFonts w:ascii="Times New Roman" w:cs="Times New Roman" w:eastAsia="Times New Roman" w:hAnsi="Times New Roman"/>
                  <w:sz w:val="16"/>
                  <w:szCs w:val="16"/>
                  <w:color w:val="0000FF"/>
                  <w:w w:val="96"/>
                </w:rPr>
                <w:t>Commercial Street Associates, LLC and the Company.</w:t>
              </w:r>
            </w:hyperlink>
          </w:p>
        </w:tc>
        <w:tc>
          <w:tcPr>
            <w:tcW w:w="7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05"/>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5"/>
              </w:rPr>
              <w:t>10.14#</w:t>
            </w:r>
          </w:p>
        </w:tc>
        <w:tc>
          <w:tcPr>
            <w:tcW w:w="386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6"/>
              </w:rPr>
            </w:pPr>
            <w:hyperlink r:id="rId188">
              <w:r>
                <w:rPr>
                  <w:rFonts w:ascii="Times New Roman" w:cs="Times New Roman" w:eastAsia="Times New Roman" w:hAnsi="Times New Roman"/>
                  <w:sz w:val="16"/>
                  <w:szCs w:val="16"/>
                  <w:color w:val="0000FF"/>
                  <w:w w:val="96"/>
                </w:rPr>
                <w:t>Master Services Agreement, dated as of April 2, 2018, by and</w:t>
              </w:r>
            </w:hyperlink>
          </w:p>
        </w:tc>
        <w:tc>
          <w:tcPr>
            <w:tcW w:w="780" w:type="dxa"/>
            <w:vAlign w:val="bottom"/>
            <w:gridSpan w:val="20"/>
          </w:tcPr>
          <w:p>
            <w:pPr>
              <w:spacing w:after="0"/>
              <w:rPr>
                <w:sz w:val="24"/>
                <w:szCs w:val="24"/>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10.22</w:t>
            </w:r>
          </w:p>
        </w:tc>
      </w:tr>
      <w:tr>
        <w:trPr>
          <w:trHeight w:val="149"/>
        </w:trPr>
        <w:tc>
          <w:tcPr>
            <w:tcW w:w="860" w:type="dxa"/>
            <w:vAlign w:val="bottom"/>
          </w:tcPr>
          <w:p>
            <w:pPr>
              <w:spacing w:after="0"/>
              <w:rPr>
                <w:sz w:val="12"/>
                <w:szCs w:val="12"/>
                <w:color w:val="auto"/>
              </w:rPr>
            </w:pPr>
          </w:p>
        </w:tc>
        <w:tc>
          <w:tcPr>
            <w:tcW w:w="4640" w:type="dxa"/>
            <w:vAlign w:val="bottom"/>
            <w:gridSpan w:val="36"/>
          </w:tcPr>
          <w:p>
            <w:pPr>
              <w:spacing w:after="0" w:line="149"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among the Company, Icahn School of Medicine at Mount Sinai, The</w:t>
              </w:r>
            </w:hyperlink>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860" w:type="dxa"/>
            <w:vAlign w:val="bottom"/>
          </w:tcPr>
          <w:p>
            <w:pPr>
              <w:spacing w:after="0"/>
              <w:rPr>
                <w:sz w:val="14"/>
                <w:szCs w:val="14"/>
                <w:color w:val="auto"/>
              </w:rPr>
            </w:pPr>
          </w:p>
        </w:tc>
        <w:tc>
          <w:tcPr>
            <w:tcW w:w="4320" w:type="dxa"/>
            <w:vAlign w:val="bottom"/>
            <w:tcBorders>
              <w:top w:val="single" w:sz="8" w:color="0000FF"/>
            </w:tcBorders>
            <w:gridSpan w:val="34"/>
          </w:tcPr>
          <w:p>
            <w:pPr>
              <w:spacing w:after="0" w:line="16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Mount Sinai Hospital, and the parties thereto, as amended July 31,</w:t>
              </w:r>
            </w:hyperlink>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860" w:type="dxa"/>
            <w:vAlign w:val="bottom"/>
          </w:tcPr>
          <w:p>
            <w:pPr>
              <w:spacing w:after="0"/>
              <w:rPr>
                <w:sz w:val="12"/>
                <w:szCs w:val="12"/>
                <w:color w:val="auto"/>
              </w:rPr>
            </w:pPr>
          </w:p>
        </w:tc>
        <w:tc>
          <w:tcPr>
            <w:tcW w:w="340" w:type="dxa"/>
            <w:vAlign w:val="bottom"/>
            <w:tcBorders>
              <w:top w:val="single" w:sz="8" w:color="0000FF"/>
              <w:bottom w:val="single" w:sz="8" w:color="0000FF"/>
            </w:tcBorders>
            <w:gridSpan w:val="2"/>
          </w:tcPr>
          <w:p>
            <w:pPr>
              <w:spacing w:after="0" w:line="149" w:lineRule="exact"/>
              <w:rPr>
                <w:rFonts w:ascii="Times New Roman" w:cs="Times New Roman" w:eastAsia="Times New Roman" w:hAnsi="Times New Roman"/>
                <w:sz w:val="16"/>
                <w:szCs w:val="16"/>
                <w:color w:val="0000FF"/>
                <w:w w:val="88"/>
              </w:rPr>
            </w:pPr>
            <w:hyperlink r:id="rId188">
              <w:r>
                <w:rPr>
                  <w:rFonts w:ascii="Times New Roman" w:cs="Times New Roman" w:eastAsia="Times New Roman" w:hAnsi="Times New Roman"/>
                  <w:sz w:val="16"/>
                  <w:szCs w:val="16"/>
                  <w:color w:val="0000FF"/>
                  <w:w w:val="88"/>
                </w:rPr>
                <w:t>2019.</w:t>
              </w:r>
            </w:hyperlink>
          </w:p>
        </w:tc>
        <w:tc>
          <w:tcPr>
            <w:tcW w:w="2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05"/>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5"/>
              </w:rPr>
              <w:t>10.15#</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Master Services Agreement, dated as of May 10, 2018, by and</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10.23</w:t>
            </w:r>
          </w:p>
        </w:tc>
      </w:tr>
      <w:tr>
        <w:trPr>
          <w:trHeight w:val="149"/>
        </w:trPr>
        <w:tc>
          <w:tcPr>
            <w:tcW w:w="86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18"/>
          </w:tcPr>
          <w:p>
            <w:pPr>
              <w:spacing w:after="0" w:line="149" w:lineRule="exact"/>
              <w:rPr>
                <w:rFonts w:ascii="Times New Roman" w:cs="Times New Roman" w:eastAsia="Times New Roman" w:hAnsi="Times New Roman"/>
                <w:sz w:val="16"/>
                <w:szCs w:val="16"/>
                <w:color w:val="0000FF"/>
                <w:w w:val="96"/>
              </w:rPr>
            </w:pPr>
            <w:hyperlink r:id="rId189">
              <w:r>
                <w:rPr>
                  <w:rFonts w:ascii="Times New Roman" w:cs="Times New Roman" w:eastAsia="Times New Roman" w:hAnsi="Times New Roman"/>
                  <w:sz w:val="16"/>
                  <w:szCs w:val="16"/>
                  <w:color w:val="0000FF"/>
                  <w:w w:val="96"/>
                </w:rPr>
                <w:t>between the Company and Icahn School of Medicine at Mount</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860" w:type="dxa"/>
            <w:vAlign w:val="bottom"/>
          </w:tcPr>
          <w:p>
            <w:pPr>
              <w:spacing w:after="0"/>
              <w:rPr>
                <w:sz w:val="14"/>
                <w:szCs w:val="14"/>
                <w:color w:val="auto"/>
              </w:rPr>
            </w:pPr>
          </w:p>
        </w:tc>
        <w:tc>
          <w:tcPr>
            <w:tcW w:w="3920" w:type="dxa"/>
            <w:vAlign w:val="bottom"/>
            <w:gridSpan w:val="19"/>
          </w:tcPr>
          <w:p>
            <w:pPr>
              <w:spacing w:after="0" w:line="16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Sinai, as amended July 31, 2019.</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5"/>
              </w:rPr>
              <w:t>10.16#</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Data Structuring and Curation Agreement, dated as of August 1,</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10.24</w:t>
            </w:r>
          </w:p>
        </w:tc>
      </w:tr>
      <w:tr>
        <w:trPr>
          <w:trHeight w:val="149"/>
        </w:trPr>
        <w:tc>
          <w:tcPr>
            <w:tcW w:w="860" w:type="dxa"/>
            <w:vAlign w:val="bottom"/>
          </w:tcPr>
          <w:p>
            <w:pPr>
              <w:spacing w:after="0"/>
              <w:rPr>
                <w:sz w:val="12"/>
                <w:szCs w:val="12"/>
                <w:color w:val="auto"/>
              </w:rPr>
            </w:pPr>
          </w:p>
        </w:tc>
        <w:tc>
          <w:tcPr>
            <w:tcW w:w="4020" w:type="dxa"/>
            <w:vAlign w:val="bottom"/>
            <w:tcBorders>
              <w:top w:val="single" w:sz="8" w:color="0000FF"/>
            </w:tcBorders>
            <w:gridSpan w:val="23"/>
          </w:tcPr>
          <w:p>
            <w:pPr>
              <w:spacing w:after="0" w:line="149" w:lineRule="exact"/>
              <w:rPr>
                <w:rFonts w:ascii="Times New Roman" w:cs="Times New Roman" w:eastAsia="Times New Roman" w:hAnsi="Times New Roman"/>
                <w:sz w:val="16"/>
                <w:szCs w:val="16"/>
                <w:color w:val="0000FF"/>
                <w:w w:val="97"/>
              </w:rPr>
            </w:pPr>
            <w:hyperlink r:id="rId190">
              <w:r>
                <w:rPr>
                  <w:rFonts w:ascii="Times New Roman" w:cs="Times New Roman" w:eastAsia="Times New Roman" w:hAnsi="Times New Roman"/>
                  <w:sz w:val="16"/>
                  <w:szCs w:val="16"/>
                  <w:color w:val="0000FF"/>
                  <w:w w:val="97"/>
                </w:rPr>
                <w:t>2019, by and between Icahn School of Medicine at Mount Sinai</w:t>
              </w:r>
            </w:hyperlink>
          </w:p>
        </w:tc>
        <w:tc>
          <w:tcPr>
            <w:tcW w:w="620" w:type="dxa"/>
            <w:vAlign w:val="bottom"/>
            <w:gridSpan w:val="13"/>
          </w:tcPr>
          <w:p>
            <w:pPr>
              <w:spacing w:after="0" w:line="149"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and</w:t>
              </w:r>
            </w:hyperlink>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86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10"/>
          </w:tcPr>
          <w:p>
            <w:pPr>
              <w:spacing w:after="0" w:line="162" w:lineRule="exact"/>
              <w:rPr>
                <w:rFonts w:ascii="Times New Roman" w:cs="Times New Roman" w:eastAsia="Times New Roman" w:hAnsi="Times New Roman"/>
                <w:sz w:val="16"/>
                <w:szCs w:val="16"/>
                <w:color w:val="0000FF"/>
                <w:w w:val="96"/>
              </w:rPr>
            </w:pPr>
            <w:hyperlink r:id="rId190">
              <w:r>
                <w:rPr>
                  <w:rFonts w:ascii="Times New Roman" w:cs="Times New Roman" w:eastAsia="Times New Roman" w:hAnsi="Times New Roman"/>
                  <w:sz w:val="16"/>
                  <w:szCs w:val="16"/>
                  <w:color w:val="0000FF"/>
                  <w:w w:val="96"/>
                </w:rPr>
                <w:t>the Company, as amended March 11, 2020.</w:t>
              </w:r>
            </w:hyperlink>
          </w:p>
        </w:tc>
        <w:tc>
          <w:tcPr>
            <w:tcW w:w="1600" w:type="dxa"/>
            <w:vAlign w:val="bottom"/>
            <w:tcBorders>
              <w:top w:val="single" w:sz="8" w:color="0000FF"/>
            </w:tcBorders>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5"/>
              </w:rPr>
              <w:t>10.17#</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BioMe Biospecimen and Data Access Agreement, dated as of July</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10.25</w:t>
            </w:r>
          </w:p>
        </w:tc>
      </w:tr>
      <w:tr>
        <w:trPr>
          <w:trHeight w:val="149"/>
        </w:trPr>
        <w:tc>
          <w:tcPr>
            <w:tcW w:w="86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27"/>
          </w:tcPr>
          <w:p>
            <w:pPr>
              <w:spacing w:after="0" w:line="149" w:lineRule="exact"/>
              <w:rPr>
                <w:rFonts w:ascii="Times New Roman" w:cs="Times New Roman" w:eastAsia="Times New Roman" w:hAnsi="Times New Roman"/>
                <w:sz w:val="16"/>
                <w:szCs w:val="16"/>
                <w:color w:val="0000FF"/>
                <w:w w:val="95"/>
              </w:rPr>
            </w:pPr>
            <w:hyperlink r:id="rId191">
              <w:r>
                <w:rPr>
                  <w:rFonts w:ascii="Times New Roman" w:cs="Times New Roman" w:eastAsia="Times New Roman" w:hAnsi="Times New Roman"/>
                  <w:sz w:val="16"/>
                  <w:szCs w:val="16"/>
                  <w:color w:val="0000FF"/>
                  <w:w w:val="95"/>
                </w:rPr>
                <w:t>19, 2019, by and between Icahn School of Medicine at Mount Sinai</w:t>
              </w:r>
            </w:hyperlink>
          </w:p>
        </w:tc>
        <w:tc>
          <w:tcPr>
            <w:tcW w:w="80" w:type="dxa"/>
            <w:vAlign w:val="bottom"/>
            <w:tcBorders>
              <w:bottom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860" w:type="dxa"/>
            <w:vAlign w:val="bottom"/>
          </w:tcPr>
          <w:p>
            <w:pPr>
              <w:spacing w:after="0"/>
              <w:rPr>
                <w:sz w:val="14"/>
                <w:szCs w:val="14"/>
                <w:color w:val="auto"/>
              </w:rPr>
            </w:pPr>
          </w:p>
        </w:tc>
        <w:tc>
          <w:tcPr>
            <w:tcW w:w="4260" w:type="dxa"/>
            <w:vAlign w:val="bottom"/>
            <w:gridSpan w:val="31"/>
          </w:tcPr>
          <w:p>
            <w:pPr>
              <w:spacing w:after="0" w:line="16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and the Company.</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5"/>
              </w:rPr>
              <w:t>10.18#</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Non-Exclusive Patent License Agreement, dated as of June 1, 2017,</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10.26</w:t>
            </w:r>
          </w:p>
        </w:tc>
      </w:tr>
      <w:tr>
        <w:trPr>
          <w:trHeight w:val="149"/>
        </w:trPr>
        <w:tc>
          <w:tcPr>
            <w:tcW w:w="860" w:type="dxa"/>
            <w:vAlign w:val="bottom"/>
          </w:tcPr>
          <w:p>
            <w:pPr>
              <w:spacing w:after="0"/>
              <w:rPr>
                <w:sz w:val="12"/>
                <w:szCs w:val="12"/>
                <w:color w:val="auto"/>
              </w:rPr>
            </w:pPr>
          </w:p>
        </w:tc>
        <w:tc>
          <w:tcPr>
            <w:tcW w:w="4280" w:type="dxa"/>
            <w:vAlign w:val="bottom"/>
            <w:tcBorders>
              <w:top w:val="single" w:sz="8" w:color="0000FF"/>
            </w:tcBorders>
            <w:gridSpan w:val="32"/>
          </w:tcPr>
          <w:p>
            <w:pPr>
              <w:spacing w:after="0" w:line="149"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by and between the Company and Icahn School of Medicine at</w:t>
              </w:r>
            </w:hyperlink>
          </w:p>
        </w:tc>
        <w:tc>
          <w:tcPr>
            <w:tcW w:w="60" w:type="dxa"/>
            <w:vAlign w:val="bottom"/>
            <w:gridSpan w:val="3"/>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860" w:type="dxa"/>
            <w:vAlign w:val="bottom"/>
          </w:tcPr>
          <w:p>
            <w:pPr>
              <w:spacing w:after="0"/>
              <w:rPr>
                <w:sz w:val="14"/>
                <w:szCs w:val="14"/>
                <w:color w:val="auto"/>
              </w:rPr>
            </w:pPr>
          </w:p>
        </w:tc>
        <w:tc>
          <w:tcPr>
            <w:tcW w:w="3940" w:type="dxa"/>
            <w:vAlign w:val="bottom"/>
            <w:tcBorders>
              <w:top w:val="single" w:sz="8" w:color="0000FF"/>
            </w:tcBorders>
            <w:gridSpan w:val="20"/>
          </w:tcPr>
          <w:p>
            <w:pPr>
              <w:spacing w:after="0" w:line="16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Mount Sinai.</w:t>
              </w:r>
            </w:hyperlink>
          </w:p>
        </w:tc>
        <w:tc>
          <w:tcPr>
            <w:tcW w:w="180" w:type="dxa"/>
            <w:vAlign w:val="bottom"/>
            <w:gridSpan w:val="4"/>
          </w:tcPr>
          <w:p>
            <w:pPr>
              <w:spacing w:after="0"/>
              <w:rPr>
                <w:sz w:val="14"/>
                <w:szCs w:val="14"/>
                <w:color w:val="auto"/>
              </w:rPr>
            </w:pPr>
          </w:p>
        </w:tc>
        <w:tc>
          <w:tcPr>
            <w:tcW w:w="220" w:type="dxa"/>
            <w:vAlign w:val="bottom"/>
            <w:gridSpan w:val="11"/>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5"/>
              </w:rPr>
              <w:t>10.19#</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Supply Agreement, dated as of June 20, 2014, by and between the</w:t>
              </w:r>
            </w:hyperlink>
          </w:p>
        </w:tc>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10.27</w:t>
            </w:r>
          </w:p>
        </w:tc>
      </w:tr>
      <w:tr>
        <w:trPr>
          <w:trHeight w:val="149"/>
        </w:trPr>
        <w:tc>
          <w:tcPr>
            <w:tcW w:w="86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13"/>
          </w:tcPr>
          <w:p>
            <w:pPr>
              <w:spacing w:after="0" w:line="149" w:lineRule="exact"/>
              <w:rPr>
                <w:rFonts w:ascii="Times New Roman" w:cs="Times New Roman" w:eastAsia="Times New Roman" w:hAnsi="Times New Roman"/>
                <w:sz w:val="16"/>
                <w:szCs w:val="16"/>
                <w:color w:val="0000FF"/>
                <w:w w:val="96"/>
              </w:rPr>
            </w:pPr>
            <w:hyperlink r:id="rId193">
              <w:r>
                <w:rPr>
                  <w:rFonts w:ascii="Times New Roman" w:cs="Times New Roman" w:eastAsia="Times New Roman" w:hAnsi="Times New Roman"/>
                  <w:sz w:val="16"/>
                  <w:szCs w:val="16"/>
                  <w:color w:val="0000FF"/>
                  <w:w w:val="96"/>
                </w:rPr>
                <w:t>Company and Illumina, Inc., and amendments thereto.</w:t>
              </w:r>
            </w:hyperlink>
          </w:p>
        </w:tc>
        <w:tc>
          <w:tcPr>
            <w:tcW w:w="720" w:type="dxa"/>
            <w:vAlign w:val="bottom"/>
            <w:tcBorders>
              <w:top w:val="single" w:sz="8" w:color="0000FF"/>
            </w:tcBorders>
            <w:gridSpan w:val="11"/>
          </w:tcPr>
          <w:p>
            <w:pPr>
              <w:spacing w:after="0"/>
              <w:rPr>
                <w:sz w:val="12"/>
                <w:szCs w:val="12"/>
                <w:color w:val="auto"/>
              </w:rPr>
            </w:pPr>
          </w:p>
        </w:tc>
        <w:tc>
          <w:tcPr>
            <w:tcW w:w="220" w:type="dxa"/>
            <w:vAlign w:val="bottom"/>
            <w:gridSpan w:val="11"/>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66"/>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5"/>
              </w:rPr>
              <w:t>10.20*</w:t>
            </w:r>
          </w:p>
        </w:tc>
        <w:tc>
          <w:tcPr>
            <w:tcW w:w="4640" w:type="dxa"/>
            <w:vAlign w:val="bottom"/>
            <w:gridSpan w:val="36"/>
          </w:tcPr>
          <w:p>
            <w:pPr>
              <w:spacing w:after="0"/>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Mount  Sinai  Genomics,  Inc.  2017  Equity  Incentive  Plan,  as</w:t>
              </w:r>
            </w:hyperlink>
          </w:p>
        </w:tc>
        <w:tc>
          <w:tcPr>
            <w:tcW w:w="1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S-8</w:t>
            </w:r>
          </w:p>
        </w:tc>
        <w:tc>
          <w:tcPr>
            <w:tcW w:w="9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99.6</w:t>
            </w:r>
          </w:p>
        </w:tc>
      </w:tr>
      <w:tr>
        <w:trPr>
          <w:trHeight w:val="149"/>
        </w:trPr>
        <w:tc>
          <w:tcPr>
            <w:tcW w:w="860" w:type="dxa"/>
            <w:vAlign w:val="bottom"/>
          </w:tcPr>
          <w:p>
            <w:pPr>
              <w:spacing w:after="0"/>
              <w:rPr>
                <w:sz w:val="12"/>
                <w:szCs w:val="12"/>
                <w:color w:val="auto"/>
              </w:rPr>
            </w:pPr>
          </w:p>
        </w:tc>
        <w:tc>
          <w:tcPr>
            <w:tcW w:w="4340" w:type="dxa"/>
            <w:vAlign w:val="bottom"/>
            <w:tcBorders>
              <w:top w:val="single" w:sz="8" w:color="0000FF"/>
            </w:tcBorders>
            <w:gridSpan w:val="35"/>
          </w:tcPr>
          <w:p>
            <w:pPr>
              <w:spacing w:after="0" w:line="149"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amended, and forms of equity agreements thereunder.</w:t>
              </w:r>
            </w:hyperlink>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-5302885</wp:posOffset>
            </wp:positionV>
            <wp:extent cx="7137400" cy="53365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37400" cy="533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07/28/2021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09/27/2021</w:t>
      </w:r>
    </w:p>
    <w:p>
      <w:pPr>
        <w:sectPr>
          <w:pgSz w:w="11900" w:h="16838" w:orient="portrait"/>
          <w:cols w:equalWidth="0" w:num="2">
            <w:col w:w="8120" w:space="720"/>
            <w:col w:w="1299"/>
          </w:cols>
          <w:pgMar w:left="320" w:top="121"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4"/>
              </w:rPr>
              <w:t>10.21</w:t>
            </w:r>
          </w:p>
        </w:tc>
        <w:tc>
          <w:tcPr>
            <w:tcW w:w="4320" w:type="dxa"/>
            <w:vAlign w:val="bottom"/>
            <w:gridSpan w:val="32"/>
          </w:tcPr>
          <w:p>
            <w:pPr>
              <w:spacing w:after="0"/>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Loan and Security Agreement, dated as of November 15, 2021,</w:t>
              </w:r>
            </w:hyperlink>
          </w:p>
        </w:tc>
      </w:tr>
      <w:tr>
        <w:trPr>
          <w:trHeight w:val="149"/>
        </w:trPr>
        <w:tc>
          <w:tcPr>
            <w:tcW w:w="88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27"/>
          </w:tcPr>
          <w:p>
            <w:pPr>
              <w:spacing w:after="0" w:line="149" w:lineRule="exact"/>
              <w:rPr>
                <w:rFonts w:ascii="Times New Roman" w:cs="Times New Roman" w:eastAsia="Times New Roman" w:hAnsi="Times New Roman"/>
                <w:sz w:val="16"/>
                <w:szCs w:val="16"/>
                <w:color w:val="0000FF"/>
                <w:w w:val="97"/>
              </w:rPr>
            </w:pPr>
            <w:hyperlink r:id="rId197">
              <w:r>
                <w:rPr>
                  <w:rFonts w:ascii="Times New Roman" w:cs="Times New Roman" w:eastAsia="Times New Roman" w:hAnsi="Times New Roman"/>
                  <w:sz w:val="16"/>
                  <w:szCs w:val="16"/>
                  <w:color w:val="0000FF"/>
                  <w:w w:val="97"/>
                </w:rPr>
                <w:t>between Silicon Valley Bank, the Company and Sema4 OpCo, Inc.</w:t>
              </w:r>
            </w:hyperlink>
          </w:p>
        </w:tc>
        <w:tc>
          <w:tcPr>
            <w:tcW w:w="8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66"/>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4"/>
              </w:rPr>
              <w:t>10.22</w:t>
            </w:r>
          </w:p>
        </w:tc>
        <w:tc>
          <w:tcPr>
            <w:tcW w:w="4320" w:type="dxa"/>
            <w:vAlign w:val="bottom"/>
            <w:gridSpan w:val="32"/>
          </w:tcPr>
          <w:p>
            <w:pPr>
              <w:spacing w:after="0"/>
              <w:rPr>
                <w:rFonts w:ascii="Times New Roman" w:cs="Times New Roman" w:eastAsia="Times New Roman" w:hAnsi="Times New Roman"/>
                <w:sz w:val="16"/>
                <w:szCs w:val="16"/>
                <w:color w:val="0000FF"/>
                <w:w w:val="98"/>
              </w:rPr>
            </w:pPr>
            <w:hyperlink r:id="rId198">
              <w:r>
                <w:rPr>
                  <w:rFonts w:ascii="Times New Roman" w:cs="Times New Roman" w:eastAsia="Times New Roman" w:hAnsi="Times New Roman"/>
                  <w:sz w:val="16"/>
                  <w:szCs w:val="16"/>
                  <w:color w:val="0000FF"/>
                  <w:w w:val="98"/>
                </w:rPr>
                <w:t>Lockup Agreement, dated as of February 9, 2021, by and among the</w:t>
              </w:r>
            </w:hyperlink>
          </w:p>
        </w:tc>
      </w:tr>
      <w:tr>
        <w:trPr>
          <w:trHeight w:val="149"/>
        </w:trPr>
        <w:tc>
          <w:tcPr>
            <w:tcW w:w="880" w:type="dxa"/>
            <w:vAlign w:val="bottom"/>
          </w:tcPr>
          <w:p>
            <w:pPr>
              <w:spacing w:after="0"/>
              <w:rPr>
                <w:sz w:val="12"/>
                <w:szCs w:val="12"/>
                <w:color w:val="auto"/>
              </w:rPr>
            </w:pPr>
          </w:p>
        </w:tc>
        <w:tc>
          <w:tcPr>
            <w:tcW w:w="4260" w:type="dxa"/>
            <w:vAlign w:val="bottom"/>
            <w:tcBorders>
              <w:top w:val="single" w:sz="8" w:color="0000FF"/>
            </w:tcBorders>
            <w:gridSpan w:val="29"/>
          </w:tcPr>
          <w:p>
            <w:pPr>
              <w:spacing w:after="0" w:line="149"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Company and the stockholder parties identified therein.</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6"/>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4"/>
              </w:rPr>
              <w:t>10.23</w:t>
            </w:r>
          </w:p>
        </w:tc>
        <w:tc>
          <w:tcPr>
            <w:tcW w:w="4320" w:type="dxa"/>
            <w:vAlign w:val="bottom"/>
            <w:gridSpan w:val="32"/>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Subscription Agreement, dated as of February 9, 2021, by and</w:t>
              </w:r>
            </w:hyperlink>
          </w:p>
        </w:tc>
      </w:tr>
      <w:tr>
        <w:trPr>
          <w:trHeight w:val="149"/>
        </w:trPr>
        <w:tc>
          <w:tcPr>
            <w:tcW w:w="880" w:type="dxa"/>
            <w:vAlign w:val="bottom"/>
          </w:tcPr>
          <w:p>
            <w:pPr>
              <w:spacing w:after="0"/>
              <w:rPr>
                <w:sz w:val="12"/>
                <w:szCs w:val="12"/>
                <w:color w:val="auto"/>
              </w:rPr>
            </w:pPr>
          </w:p>
        </w:tc>
        <w:tc>
          <w:tcPr>
            <w:tcW w:w="3460" w:type="dxa"/>
            <w:vAlign w:val="bottom"/>
            <w:tcBorders>
              <w:top w:val="single" w:sz="8" w:color="0000FF"/>
              <w:bottom w:val="single" w:sz="8" w:color="0000FF"/>
            </w:tcBorders>
            <w:gridSpan w:val="11"/>
          </w:tcPr>
          <w:p>
            <w:pPr>
              <w:spacing w:after="0" w:line="149" w:lineRule="exact"/>
              <w:rPr>
                <w:rFonts w:ascii="Times New Roman" w:cs="Times New Roman" w:eastAsia="Times New Roman" w:hAnsi="Times New Roman"/>
                <w:sz w:val="16"/>
                <w:szCs w:val="16"/>
                <w:color w:val="0000FF"/>
                <w:w w:val="96"/>
              </w:rPr>
            </w:pPr>
            <w:hyperlink r:id="rId199">
              <w:r>
                <w:rPr>
                  <w:rFonts w:ascii="Times New Roman" w:cs="Times New Roman" w:eastAsia="Times New Roman" w:hAnsi="Times New Roman"/>
                  <w:sz w:val="16"/>
                  <w:szCs w:val="16"/>
                  <w:color w:val="0000FF"/>
                  <w:w w:val="96"/>
                </w:rPr>
                <w:t>among the Company and the subscriber parties thereto.</w:t>
              </w:r>
            </w:hyperlink>
          </w:p>
        </w:tc>
        <w:tc>
          <w:tcPr>
            <w:tcW w:w="420" w:type="dxa"/>
            <w:vAlign w:val="bottom"/>
            <w:tcBorders>
              <w:top w:val="single" w:sz="8" w:color="0000FF"/>
            </w:tcBorders>
            <w:gridSpan w:val="5"/>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4"/>
              </w:rPr>
              <w:t>10.24</w:t>
            </w:r>
          </w:p>
        </w:tc>
        <w:tc>
          <w:tcPr>
            <w:tcW w:w="4320" w:type="dxa"/>
            <w:vAlign w:val="bottom"/>
            <w:gridSpan w:val="32"/>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Form of Subscription Agreement, dated as of January 14, 2022 by</w:t>
              </w:r>
            </w:hyperlink>
          </w:p>
        </w:tc>
      </w:tr>
      <w:tr>
        <w:trPr>
          <w:trHeight w:val="149"/>
        </w:trPr>
        <w:tc>
          <w:tcPr>
            <w:tcW w:w="8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14"/>
          </w:tcPr>
          <w:p>
            <w:pPr>
              <w:spacing w:after="0" w:line="149" w:lineRule="exact"/>
              <w:rPr>
                <w:rFonts w:ascii="Times New Roman" w:cs="Times New Roman" w:eastAsia="Times New Roman" w:hAnsi="Times New Roman"/>
                <w:sz w:val="16"/>
                <w:szCs w:val="16"/>
                <w:color w:val="0000FF"/>
                <w:w w:val="97"/>
              </w:rPr>
            </w:pPr>
            <w:hyperlink r:id="rId199">
              <w:r>
                <w:rPr>
                  <w:rFonts w:ascii="Times New Roman" w:cs="Times New Roman" w:eastAsia="Times New Roman" w:hAnsi="Times New Roman"/>
                  <w:sz w:val="16"/>
                  <w:szCs w:val="16"/>
                  <w:color w:val="0000FF"/>
                  <w:w w:val="97"/>
                </w:rPr>
                <w:t>and among the Company and the subscriber parties thereto.</w:t>
              </w:r>
            </w:hyperlink>
          </w:p>
        </w:tc>
        <w:tc>
          <w:tcPr>
            <w:tcW w:w="4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4"/>
              </w:rPr>
              <w:t>10.25</w:t>
            </w:r>
          </w:p>
        </w:tc>
        <w:tc>
          <w:tcPr>
            <w:tcW w:w="4320" w:type="dxa"/>
            <w:vAlign w:val="bottom"/>
            <w:gridSpan w:val="32"/>
          </w:tcPr>
          <w:p>
            <w:pPr>
              <w:spacing w:after="0"/>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Form of Shareholder Agreement, dated as of January 14, 2022 by</w:t>
              </w:r>
            </w:hyperlink>
          </w:p>
        </w:tc>
      </w:tr>
      <w:tr>
        <w:trPr>
          <w:trHeight w:val="149"/>
        </w:trPr>
        <w:tc>
          <w:tcPr>
            <w:tcW w:w="880" w:type="dxa"/>
            <w:vAlign w:val="bottom"/>
          </w:tcPr>
          <w:p>
            <w:pPr>
              <w:spacing w:after="0"/>
              <w:rPr>
                <w:sz w:val="12"/>
                <w:szCs w:val="12"/>
                <w:color w:val="auto"/>
              </w:rPr>
            </w:pPr>
          </w:p>
        </w:tc>
        <w:tc>
          <w:tcPr>
            <w:tcW w:w="4080" w:type="dxa"/>
            <w:vAlign w:val="bottom"/>
            <w:tcBorders>
              <w:top w:val="single" w:sz="8" w:color="0000FF"/>
            </w:tcBorders>
            <w:gridSpan w:val="20"/>
          </w:tcPr>
          <w:p>
            <w:pPr>
              <w:spacing w:after="0" w:line="149"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and among the Company and the stockholder parties identified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62"/>
        </w:trPr>
        <w:tc>
          <w:tcPr>
            <w:tcW w:w="880" w:type="dxa"/>
            <w:vAlign w:val="bottom"/>
          </w:tcPr>
          <w:p>
            <w:pPr>
              <w:spacing w:after="0"/>
              <w:rPr>
                <w:sz w:val="14"/>
                <w:szCs w:val="14"/>
                <w:color w:val="auto"/>
              </w:rPr>
            </w:pPr>
          </w:p>
        </w:tc>
        <w:tc>
          <w:tcPr>
            <w:tcW w:w="1240" w:type="dxa"/>
            <w:vAlign w:val="bottom"/>
            <w:tcBorders>
              <w:top w:val="single" w:sz="8" w:color="0000FF"/>
            </w:tcBorders>
            <w:gridSpan w:val="2"/>
          </w:tcPr>
          <w:p>
            <w:pPr>
              <w:spacing w:after="0" w:line="162"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therein.</w:t>
              </w:r>
            </w:hyperlink>
          </w:p>
        </w:tc>
        <w:tc>
          <w:tcPr>
            <w:tcW w:w="1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gridSpan w:val="2"/>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3"/>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4"/>
              </w:rPr>
              <w:t>10.26</w:t>
            </w:r>
          </w:p>
        </w:tc>
        <w:tc>
          <w:tcPr>
            <w:tcW w:w="4320" w:type="dxa"/>
            <w:vAlign w:val="bottom"/>
            <w:gridSpan w:val="32"/>
          </w:tcPr>
          <w:p>
            <w:pPr>
              <w:spacing w:after="0"/>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Form of Support Agreement dated as of January 14, 2022 by and</w:t>
              </w:r>
            </w:hyperlink>
          </w:p>
        </w:tc>
      </w:tr>
      <w:tr>
        <w:trPr>
          <w:trHeight w:val="149"/>
        </w:trPr>
        <w:tc>
          <w:tcPr>
            <w:tcW w:w="88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19"/>
          </w:tcPr>
          <w:p>
            <w:pPr>
              <w:spacing w:after="0" w:line="149" w:lineRule="exact"/>
              <w:rPr>
                <w:rFonts w:ascii="Times New Roman" w:cs="Times New Roman" w:eastAsia="Times New Roman" w:hAnsi="Times New Roman"/>
                <w:sz w:val="16"/>
                <w:szCs w:val="16"/>
                <w:color w:val="0000FF"/>
                <w:w w:val="94"/>
              </w:rPr>
            </w:pPr>
            <w:hyperlink r:id="rId201">
              <w:r>
                <w:rPr>
                  <w:rFonts w:ascii="Times New Roman" w:cs="Times New Roman" w:eastAsia="Times New Roman" w:hAnsi="Times New Roman"/>
                  <w:sz w:val="16"/>
                  <w:szCs w:val="16"/>
                  <w:color w:val="0000FF"/>
                  <w:w w:val="94"/>
                </w:rPr>
                <w:t>among the Company and the stockholder parties identified therein.</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4"/>
              </w:rPr>
              <w:t>10.27</w:t>
            </w:r>
          </w:p>
        </w:tc>
        <w:tc>
          <w:tcPr>
            <w:tcW w:w="4320" w:type="dxa"/>
            <w:vAlign w:val="bottom"/>
            <w:gridSpan w:val="32"/>
          </w:tcPr>
          <w:p>
            <w:pPr>
              <w:spacing w:after="0"/>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Form of Lock-Up Agreement, by and among the Company and the</w:t>
              </w:r>
            </w:hyperlink>
          </w:p>
        </w:tc>
      </w:tr>
      <w:tr>
        <w:trPr>
          <w:trHeight w:val="149"/>
        </w:trPr>
        <w:tc>
          <w:tcPr>
            <w:tcW w:w="880" w:type="dxa"/>
            <w:vAlign w:val="bottom"/>
          </w:tcPr>
          <w:p>
            <w:pPr>
              <w:spacing w:after="0"/>
              <w:rPr>
                <w:sz w:val="12"/>
                <w:szCs w:val="12"/>
                <w:color w:val="auto"/>
              </w:rPr>
            </w:pPr>
          </w:p>
        </w:tc>
        <w:tc>
          <w:tcPr>
            <w:tcW w:w="4180" w:type="dxa"/>
            <w:vAlign w:val="bottom"/>
            <w:tcBorders>
              <w:top w:val="single" w:sz="8" w:color="0000FF"/>
            </w:tcBorders>
            <w:gridSpan w:val="25"/>
          </w:tcPr>
          <w:p>
            <w:pPr>
              <w:spacing w:after="0" w:line="149"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stockholder parties identified therein.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6"/>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5"/>
              </w:rPr>
              <w:t>10.28*</w:t>
            </w:r>
          </w:p>
        </w:tc>
        <w:tc>
          <w:tcPr>
            <w:tcW w:w="4320" w:type="dxa"/>
            <w:vAlign w:val="bottom"/>
            <w:gridSpan w:val="32"/>
          </w:tcPr>
          <w:p>
            <w:pPr>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Executive Chairman Agreement, dated as of January 17, 2022, by</w:t>
              </w:r>
            </w:hyperlink>
          </w:p>
        </w:tc>
      </w:tr>
      <w:tr>
        <w:trPr>
          <w:trHeight w:val="149"/>
        </w:trPr>
        <w:tc>
          <w:tcPr>
            <w:tcW w:w="880" w:type="dxa"/>
            <w:vAlign w:val="bottom"/>
          </w:tcPr>
          <w:p>
            <w:pPr>
              <w:spacing w:after="0"/>
              <w:rPr>
                <w:sz w:val="12"/>
                <w:szCs w:val="12"/>
                <w:color w:val="auto"/>
              </w:rPr>
            </w:pPr>
          </w:p>
        </w:tc>
        <w:tc>
          <w:tcPr>
            <w:tcW w:w="4120" w:type="dxa"/>
            <w:vAlign w:val="bottom"/>
            <w:tcBorders>
              <w:top w:val="single" w:sz="8" w:color="0000FF"/>
            </w:tcBorders>
            <w:gridSpan w:val="22"/>
          </w:tcPr>
          <w:p>
            <w:pPr>
              <w:spacing w:after="0" w:line="149"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and between the Company and Jason Ryan.</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6"/>
        </w:trPr>
        <w:tc>
          <w:tcPr>
            <w:tcW w:w="88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7"/>
              </w:rPr>
              <w:t>10.29+</w:t>
            </w:r>
          </w:p>
        </w:tc>
        <w:tc>
          <w:tcPr>
            <w:tcW w:w="4320" w:type="dxa"/>
            <w:vAlign w:val="bottom"/>
            <w:gridSpan w:val="32"/>
          </w:tcPr>
          <w:p>
            <w:pPr>
              <w:spacing w:after="0"/>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Transition Services Agreement, dated as of April 29, 2022, by and</w:t>
              </w:r>
            </w:hyperlink>
          </w:p>
        </w:tc>
      </w:tr>
      <w:tr>
        <w:trPr>
          <w:trHeight w:val="149"/>
        </w:trPr>
        <w:tc>
          <w:tcPr>
            <w:tcW w:w="880" w:type="dxa"/>
            <w:vAlign w:val="bottom"/>
          </w:tcPr>
          <w:p>
            <w:pPr>
              <w:spacing w:after="0"/>
              <w:rPr>
                <w:sz w:val="12"/>
                <w:szCs w:val="12"/>
                <w:color w:val="auto"/>
              </w:rPr>
            </w:pPr>
          </w:p>
        </w:tc>
        <w:tc>
          <w:tcPr>
            <w:tcW w:w="2900" w:type="dxa"/>
            <w:vAlign w:val="bottom"/>
            <w:tcBorders>
              <w:top w:val="single" w:sz="8" w:color="0000FF"/>
              <w:bottom w:val="single" w:sz="8" w:color="0000FF"/>
            </w:tcBorders>
            <w:gridSpan w:val="9"/>
          </w:tcPr>
          <w:p>
            <w:pPr>
              <w:spacing w:after="0" w:line="149" w:lineRule="exact"/>
              <w:rPr>
                <w:rFonts w:ascii="Times New Roman" w:cs="Times New Roman" w:eastAsia="Times New Roman" w:hAnsi="Times New Roman"/>
                <w:sz w:val="16"/>
                <w:szCs w:val="16"/>
                <w:color w:val="0000FF"/>
                <w:w w:val="97"/>
              </w:rPr>
            </w:pPr>
            <w:hyperlink r:id="rId204">
              <w:r>
                <w:rPr>
                  <w:rFonts w:ascii="Times New Roman" w:cs="Times New Roman" w:eastAsia="Times New Roman" w:hAnsi="Times New Roman"/>
                  <w:sz w:val="16"/>
                  <w:szCs w:val="16"/>
                  <w:color w:val="0000FF"/>
                  <w:w w:val="97"/>
                </w:rPr>
                <w:t>between GeneDx, Inc. and OPKO Health, Inc.</w:t>
              </w:r>
            </w:hyperlink>
          </w:p>
        </w:tc>
        <w:tc>
          <w:tcPr>
            <w:tcW w:w="126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66"/>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5"/>
              </w:rPr>
              <w:t>10.30*</w:t>
            </w:r>
          </w:p>
        </w:tc>
        <w:tc>
          <w:tcPr>
            <w:tcW w:w="4320" w:type="dxa"/>
            <w:vAlign w:val="bottom"/>
            <w:gridSpan w:val="32"/>
          </w:tcPr>
          <w:p>
            <w:pPr>
              <w:spacing w:after="0"/>
              <w:rPr>
                <w:rFonts w:ascii="Times New Roman" w:cs="Times New Roman" w:eastAsia="Times New Roman" w:hAnsi="Times New Roman"/>
                <w:sz w:val="16"/>
                <w:szCs w:val="16"/>
                <w:color w:val="0000FF"/>
                <w:w w:val="99"/>
              </w:rPr>
            </w:pPr>
            <w:hyperlink r:id="rId205">
              <w:r>
                <w:rPr>
                  <w:rFonts w:ascii="Times New Roman" w:cs="Times New Roman" w:eastAsia="Times New Roman" w:hAnsi="Times New Roman"/>
                  <w:sz w:val="16"/>
                  <w:szCs w:val="16"/>
                  <w:color w:val="0000FF"/>
                  <w:w w:val="99"/>
                </w:rPr>
                <w:t>Employment Agreement, dated as of January 14, 2022, as amended</w:t>
              </w:r>
            </w:hyperlink>
          </w:p>
        </w:tc>
      </w:tr>
      <w:tr>
        <w:trPr>
          <w:trHeight w:val="149"/>
        </w:trPr>
        <w:tc>
          <w:tcPr>
            <w:tcW w:w="880" w:type="dxa"/>
            <w:vAlign w:val="bottom"/>
          </w:tcPr>
          <w:p>
            <w:pPr>
              <w:spacing w:after="0"/>
              <w:rPr>
                <w:sz w:val="12"/>
                <w:szCs w:val="12"/>
                <w:color w:val="auto"/>
              </w:rPr>
            </w:pPr>
          </w:p>
        </w:tc>
        <w:tc>
          <w:tcPr>
            <w:tcW w:w="4240" w:type="dxa"/>
            <w:vAlign w:val="bottom"/>
            <w:tcBorders>
              <w:top w:val="single" w:sz="8" w:color="0000FF"/>
            </w:tcBorders>
            <w:gridSpan w:val="28"/>
          </w:tcPr>
          <w:p>
            <w:pPr>
              <w:spacing w:after="0" w:line="149"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April 29, 2022, by and between Sema4 Holdings Corp. and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62"/>
        </w:trPr>
        <w:tc>
          <w:tcPr>
            <w:tcW w:w="88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2"/>
          </w:tcPr>
          <w:p>
            <w:pPr>
              <w:spacing w:after="0" w:line="162" w:lineRule="exact"/>
              <w:rPr>
                <w:rFonts w:ascii="Times New Roman" w:cs="Times New Roman" w:eastAsia="Times New Roman" w:hAnsi="Times New Roman"/>
                <w:sz w:val="16"/>
                <w:szCs w:val="16"/>
                <w:color w:val="0000FF"/>
                <w:w w:val="95"/>
              </w:rPr>
            </w:pPr>
            <w:hyperlink r:id="rId205">
              <w:r>
                <w:rPr>
                  <w:rFonts w:ascii="Times New Roman" w:cs="Times New Roman" w:eastAsia="Times New Roman" w:hAnsi="Times New Roman"/>
                  <w:sz w:val="16"/>
                  <w:szCs w:val="16"/>
                  <w:color w:val="0000FF"/>
                  <w:w w:val="95"/>
                </w:rPr>
                <w:t>Katherine Stueland.</w:t>
              </w:r>
            </w:hyperlink>
          </w:p>
        </w:tc>
        <w:tc>
          <w:tcPr>
            <w:tcW w:w="246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3"/>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5"/>
              </w:rPr>
              <w:t>10.31*</w:t>
            </w:r>
          </w:p>
        </w:tc>
        <w:tc>
          <w:tcPr>
            <w:tcW w:w="4320" w:type="dxa"/>
            <w:vAlign w:val="bottom"/>
            <w:gridSpan w:val="32"/>
          </w:tcPr>
          <w:p>
            <w:pPr>
              <w:spacing w:after="0"/>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Amendment No.1 to the Amended and Restated Employment</w:t>
              </w:r>
            </w:hyperlink>
          </w:p>
        </w:tc>
      </w:tr>
      <w:tr>
        <w:trPr>
          <w:trHeight w:val="149"/>
        </w:trPr>
        <w:tc>
          <w:tcPr>
            <w:tcW w:w="880" w:type="dxa"/>
            <w:vAlign w:val="bottom"/>
          </w:tcPr>
          <w:p>
            <w:pPr>
              <w:spacing w:after="0"/>
              <w:rPr>
                <w:sz w:val="12"/>
                <w:szCs w:val="12"/>
                <w:color w:val="auto"/>
              </w:rPr>
            </w:pPr>
          </w:p>
        </w:tc>
        <w:tc>
          <w:tcPr>
            <w:tcW w:w="3840" w:type="dxa"/>
            <w:vAlign w:val="bottom"/>
            <w:tcBorders>
              <w:top w:val="single" w:sz="8" w:color="0000FF"/>
            </w:tcBorders>
            <w:gridSpan w:val="15"/>
          </w:tcPr>
          <w:p>
            <w:pPr>
              <w:spacing w:after="0" w:line="149"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Agreement of Eric Schadt, dated June 14, 2022</w:t>
              </w:r>
            </w:hyperlink>
          </w:p>
        </w:tc>
        <w:tc>
          <w:tcPr>
            <w:tcW w:w="16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6"/>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5"/>
              </w:rPr>
              <w:t>10.32*</w:t>
            </w:r>
          </w:p>
        </w:tc>
        <w:tc>
          <w:tcPr>
            <w:tcW w:w="4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w w:val="96"/>
              </w:rPr>
              <w:t>Employment Agreement of Kevin Feeley, dated January 14, 2022</w:t>
            </w:r>
          </w:p>
        </w:tc>
        <w:tc>
          <w:tcPr>
            <w:tcW w:w="220" w:type="dxa"/>
            <w:vAlign w:val="bottom"/>
            <w:gridSpan w:val="11"/>
          </w:tcPr>
          <w:p>
            <w:pPr>
              <w:spacing w:after="0"/>
              <w:rPr>
                <w:sz w:val="23"/>
                <w:szCs w:val="23"/>
                <w:color w:val="auto"/>
              </w:rPr>
            </w:pPr>
          </w:p>
        </w:tc>
      </w:tr>
      <w:tr>
        <w:trPr>
          <w:trHeight w:val="253"/>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5"/>
              </w:rPr>
              <w:t>10.33*</w:t>
            </w:r>
          </w:p>
        </w:tc>
        <w:tc>
          <w:tcPr>
            <w:tcW w:w="4320" w:type="dxa"/>
            <w:vAlign w:val="bottom"/>
            <w:gridSpan w:val="32"/>
          </w:tcPr>
          <w:p>
            <w:pPr>
              <w:spacing w:after="0"/>
              <w:rPr>
                <w:rFonts w:ascii="Times New Roman" w:cs="Times New Roman" w:eastAsia="Times New Roman" w:hAnsi="Times New Roman"/>
                <w:sz w:val="16"/>
                <w:szCs w:val="16"/>
                <w:color w:val="0000FF"/>
                <w:w w:val="99"/>
              </w:rPr>
            </w:pPr>
            <w:hyperlink r:id="rId207">
              <w:r>
                <w:rPr>
                  <w:rFonts w:ascii="Times New Roman" w:cs="Times New Roman" w:eastAsia="Times New Roman" w:hAnsi="Times New Roman"/>
                  <w:sz w:val="16"/>
                  <w:szCs w:val="16"/>
                  <w:color w:val="0000FF"/>
                  <w:w w:val="99"/>
                </w:rPr>
                <w:t>Amendment No. 1 to the Employment Agreement of Kevin Feeley,</w:t>
              </w:r>
            </w:hyperlink>
          </w:p>
        </w:tc>
      </w:tr>
      <w:tr>
        <w:trPr>
          <w:trHeight w:val="149"/>
        </w:trPr>
        <w:tc>
          <w:tcPr>
            <w:tcW w:w="880" w:type="dxa"/>
            <w:vAlign w:val="bottom"/>
          </w:tcPr>
          <w:p>
            <w:pPr>
              <w:spacing w:after="0"/>
              <w:rPr>
                <w:sz w:val="12"/>
                <w:szCs w:val="12"/>
                <w:color w:val="auto"/>
              </w:rPr>
            </w:pPr>
          </w:p>
        </w:tc>
        <w:tc>
          <w:tcPr>
            <w:tcW w:w="4220" w:type="dxa"/>
            <w:vAlign w:val="bottom"/>
            <w:tcBorders>
              <w:top w:val="single" w:sz="8" w:color="0000FF"/>
            </w:tcBorders>
            <w:gridSpan w:val="27"/>
          </w:tcPr>
          <w:p>
            <w:pPr>
              <w:spacing w:after="0" w:line="149" w:lineRule="exact"/>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dated August 25, 2022</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6"/>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5"/>
              </w:rPr>
              <w:t>10.34#</w:t>
            </w:r>
          </w:p>
        </w:tc>
        <w:tc>
          <w:tcPr>
            <w:tcW w:w="432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Amendment No. 1 to BioMe Biospecimen and Data Access</w:t>
            </w:r>
          </w:p>
        </w:tc>
      </w:tr>
      <w:tr>
        <w:trPr>
          <w:trHeight w:val="149"/>
        </w:trPr>
        <w:tc>
          <w:tcPr>
            <w:tcW w:w="880" w:type="dxa"/>
            <w:vAlign w:val="bottom"/>
          </w:tcPr>
          <w:p>
            <w:pPr>
              <w:spacing w:after="0"/>
              <w:rPr>
                <w:sz w:val="12"/>
                <w:szCs w:val="12"/>
                <w:color w:val="auto"/>
              </w:rPr>
            </w:pPr>
          </w:p>
        </w:tc>
        <w:tc>
          <w:tcPr>
            <w:tcW w:w="3720" w:type="dxa"/>
            <w:vAlign w:val="bottom"/>
            <w:tcBorders>
              <w:top w:val="single" w:sz="8" w:color="0000FF"/>
            </w:tcBorders>
            <w:gridSpan w:val="14"/>
          </w:tcPr>
          <w:p>
            <w:pPr>
              <w:spacing w:after="0" w:line="149" w:lineRule="exact"/>
              <w:rPr>
                <w:sz w:val="20"/>
                <w:szCs w:val="20"/>
                <w:color w:val="auto"/>
              </w:rPr>
            </w:pPr>
            <w:r>
              <w:rPr>
                <w:rFonts w:ascii="Times New Roman" w:cs="Times New Roman" w:eastAsia="Times New Roman" w:hAnsi="Times New Roman"/>
                <w:sz w:val="16"/>
                <w:szCs w:val="16"/>
                <w:color w:val="0000FF"/>
                <w:w w:val="99"/>
              </w:rPr>
              <w:t>Agreement, dated as of January 19, 2023, by and between</w:t>
            </w:r>
          </w:p>
        </w:tc>
        <w:tc>
          <w:tcPr>
            <w:tcW w:w="600" w:type="dxa"/>
            <w:vAlign w:val="bottom"/>
            <w:gridSpan w:val="18"/>
          </w:tcPr>
          <w:p>
            <w:pPr>
              <w:spacing w:after="0" w:line="149" w:lineRule="exact"/>
              <w:rPr>
                <w:sz w:val="20"/>
                <w:szCs w:val="20"/>
                <w:color w:val="auto"/>
              </w:rPr>
            </w:pPr>
            <w:r>
              <w:rPr>
                <w:rFonts w:ascii="Times New Roman" w:cs="Times New Roman" w:eastAsia="Times New Roman" w:hAnsi="Times New Roman"/>
                <w:sz w:val="16"/>
                <w:szCs w:val="16"/>
                <w:color w:val="0000FF"/>
              </w:rPr>
              <w:t>Icahn</w:t>
            </w:r>
          </w:p>
        </w:tc>
      </w:tr>
      <w:tr>
        <w:trPr>
          <w:trHeight w:val="162"/>
        </w:trPr>
        <w:tc>
          <w:tcPr>
            <w:tcW w:w="880" w:type="dxa"/>
            <w:vAlign w:val="bottom"/>
          </w:tcPr>
          <w:p>
            <w:pPr>
              <w:spacing w:after="0"/>
              <w:rPr>
                <w:sz w:val="14"/>
                <w:szCs w:val="14"/>
                <w:color w:val="auto"/>
              </w:rPr>
            </w:pPr>
          </w:p>
        </w:tc>
        <w:tc>
          <w:tcPr>
            <w:tcW w:w="4000" w:type="dxa"/>
            <w:vAlign w:val="bottom"/>
            <w:tcBorders>
              <w:top w:val="single" w:sz="8" w:color="0000FF"/>
            </w:tcBorders>
            <w:gridSpan w:val="18"/>
          </w:tcPr>
          <w:p>
            <w:pPr>
              <w:spacing w:after="0" w:line="162" w:lineRule="exact"/>
              <w:rPr>
                <w:sz w:val="20"/>
                <w:szCs w:val="20"/>
                <w:color w:val="auto"/>
              </w:rPr>
            </w:pPr>
            <w:r>
              <w:rPr>
                <w:rFonts w:ascii="Times New Roman" w:cs="Times New Roman" w:eastAsia="Times New Roman" w:hAnsi="Times New Roman"/>
                <w:sz w:val="16"/>
                <w:szCs w:val="16"/>
                <w:color w:val="0000FF"/>
              </w:rPr>
              <w:t>School of Medicine at Mount Sinai and Sema4 OpCo, Inc.</w:t>
            </w:r>
          </w:p>
        </w:tc>
        <w:tc>
          <w:tcPr>
            <w:tcW w:w="20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3"/>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4"/>
              </w:rPr>
              <w:t>10.35</w:t>
            </w:r>
          </w:p>
        </w:tc>
        <w:tc>
          <w:tcPr>
            <w:tcW w:w="2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2022 Replacement Promissory Note</w:t>
            </w:r>
          </w:p>
        </w:tc>
        <w:tc>
          <w:tcPr>
            <w:tcW w:w="1320" w:type="dxa"/>
            <w:vAlign w:val="bottom"/>
            <w:tcBorders>
              <w:top w:val="single" w:sz="8" w:color="0000FF"/>
            </w:tcBorders>
            <w:gridSpan w:val="6"/>
          </w:tcPr>
          <w:p>
            <w:pPr>
              <w:spacing w:after="0"/>
              <w:rPr>
                <w:sz w:val="22"/>
                <w:szCs w:val="22"/>
                <w:color w:val="auto"/>
              </w:rPr>
            </w:pPr>
          </w:p>
        </w:tc>
        <w:tc>
          <w:tcPr>
            <w:tcW w:w="680" w:type="dxa"/>
            <w:vAlign w:val="bottom"/>
            <w:gridSpan w:val="20"/>
          </w:tcPr>
          <w:p>
            <w:pPr>
              <w:spacing w:after="0"/>
              <w:rPr>
                <w:sz w:val="22"/>
                <w:szCs w:val="22"/>
                <w:color w:val="auto"/>
              </w:rPr>
            </w:pPr>
          </w:p>
        </w:tc>
      </w:tr>
      <w:tr>
        <w:trPr>
          <w:trHeight w:val="253"/>
        </w:trPr>
        <w:tc>
          <w:tcPr>
            <w:tcW w:w="88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5"/>
              </w:rPr>
              <w:t>10.36*</w:t>
            </w:r>
          </w:p>
        </w:tc>
        <w:tc>
          <w:tcPr>
            <w:tcW w:w="4320" w:type="dxa"/>
            <w:vAlign w:val="bottom"/>
            <w:gridSpan w:val="32"/>
          </w:tcPr>
          <w:p>
            <w:pPr>
              <w:spacing w:after="0"/>
              <w:rPr>
                <w:rFonts w:ascii="Times New Roman" w:cs="Times New Roman" w:eastAsia="Times New Roman" w:hAnsi="Times New Roman"/>
                <w:sz w:val="16"/>
                <w:szCs w:val="16"/>
                <w:color w:val="0000FF"/>
                <w:w w:val="97"/>
              </w:rPr>
            </w:pPr>
            <w:hyperlink r:id="rId208">
              <w:r>
                <w:rPr>
                  <w:rFonts w:ascii="Times New Roman" w:cs="Times New Roman" w:eastAsia="Times New Roman" w:hAnsi="Times New Roman"/>
                  <w:sz w:val="16"/>
                  <w:szCs w:val="16"/>
                  <w:color w:val="0000FF"/>
                  <w:w w:val="97"/>
                </w:rPr>
                <w:t>Separation Agreement, dated as of August 12, 2022, by and between</w:t>
              </w:r>
            </w:hyperlink>
          </w:p>
        </w:tc>
      </w:tr>
      <w:tr>
        <w:trPr>
          <w:trHeight w:val="149"/>
        </w:trPr>
        <w:tc>
          <w:tcPr>
            <w:tcW w:w="880" w:type="dxa"/>
            <w:vAlign w:val="bottom"/>
          </w:tcPr>
          <w:p>
            <w:pPr>
              <w:spacing w:after="0"/>
              <w:rPr>
                <w:sz w:val="12"/>
                <w:szCs w:val="12"/>
                <w:color w:val="auto"/>
              </w:rPr>
            </w:pPr>
          </w:p>
        </w:tc>
        <w:tc>
          <w:tcPr>
            <w:tcW w:w="4280" w:type="dxa"/>
            <w:vAlign w:val="bottom"/>
            <w:tcBorders>
              <w:top w:val="single" w:sz="8" w:color="0000FF"/>
            </w:tcBorders>
            <w:gridSpan w:val="30"/>
          </w:tcPr>
          <w:p>
            <w:pPr>
              <w:spacing w:after="0" w:line="149" w:lineRule="exact"/>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Sema4 Holdings Corp. and Eric Schadt</w:t>
              </w:r>
            </w:hyperlink>
          </w:p>
        </w:tc>
        <w:tc>
          <w:tcPr>
            <w:tcW w:w="40" w:type="dxa"/>
            <w:vAlign w:val="bottom"/>
            <w:gridSpan w:val="2"/>
          </w:tcPr>
          <w:p>
            <w:pPr>
              <w:spacing w:after="0"/>
              <w:rPr>
                <w:sz w:val="12"/>
                <w:szCs w:val="12"/>
                <w:color w:val="auto"/>
              </w:rPr>
            </w:pPr>
          </w:p>
        </w:tc>
      </w:tr>
      <w:tr>
        <w:trPr>
          <w:trHeight w:val="266"/>
        </w:trPr>
        <w:tc>
          <w:tcPr>
            <w:tcW w:w="88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9"/>
              </w:rPr>
              <w:t>21.1</w:t>
            </w:r>
          </w:p>
        </w:tc>
        <w:tc>
          <w:tcPr>
            <w:tcW w:w="18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6"/>
              </w:rPr>
              <w:t>Subsidiaries of the Company.</w:t>
            </w:r>
          </w:p>
        </w:tc>
        <w:tc>
          <w:tcPr>
            <w:tcW w:w="600" w:type="dxa"/>
            <w:vAlign w:val="bottom"/>
            <w:tcBorders>
              <w:top w:val="single" w:sz="8" w:color="0000FF"/>
            </w:tcBorders>
            <w:gridSpan w:val="3"/>
          </w:tcPr>
          <w:p>
            <w:pPr>
              <w:spacing w:after="0"/>
              <w:rPr>
                <w:sz w:val="23"/>
                <w:szCs w:val="23"/>
                <w:color w:val="auto"/>
              </w:rPr>
            </w:pPr>
          </w:p>
        </w:tc>
        <w:tc>
          <w:tcPr>
            <w:tcW w:w="1880" w:type="dxa"/>
            <w:vAlign w:val="bottom"/>
            <w:gridSpan w:val="25"/>
          </w:tcPr>
          <w:p>
            <w:pPr>
              <w:spacing w:after="0"/>
              <w:rPr>
                <w:sz w:val="23"/>
                <w:szCs w:val="23"/>
                <w:color w:val="auto"/>
              </w:rPr>
            </w:pPr>
          </w:p>
        </w:tc>
      </w:tr>
      <w:tr>
        <w:trPr>
          <w:trHeight w:val="253"/>
        </w:trPr>
        <w:tc>
          <w:tcPr>
            <w:tcW w:w="88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9"/>
              </w:rPr>
              <w:t>23.1</w:t>
            </w:r>
          </w:p>
        </w:tc>
        <w:tc>
          <w:tcPr>
            <w:tcW w:w="432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w w:val="99"/>
              </w:rPr>
              <w:t>Consent of Ernst &amp; Young LLP, independent registered accounting</w:t>
            </w:r>
          </w:p>
        </w:tc>
      </w:tr>
      <w:tr>
        <w:trPr>
          <w:trHeight w:val="149"/>
        </w:trPr>
        <w:tc>
          <w:tcPr>
            <w:tcW w:w="880" w:type="dxa"/>
            <w:vAlign w:val="bottom"/>
          </w:tcPr>
          <w:p>
            <w:pPr>
              <w:spacing w:after="0"/>
              <w:rPr>
                <w:sz w:val="12"/>
                <w:szCs w:val="12"/>
                <w:color w:val="auto"/>
              </w:rPr>
            </w:pPr>
          </w:p>
        </w:tc>
        <w:tc>
          <w:tcPr>
            <w:tcW w:w="4200" w:type="dxa"/>
            <w:vAlign w:val="bottom"/>
            <w:tcBorders>
              <w:top w:val="single" w:sz="8" w:color="0000FF"/>
            </w:tcBorders>
            <w:gridSpan w:val="26"/>
          </w:tcPr>
          <w:p>
            <w:pPr>
              <w:spacing w:after="0" w:line="149" w:lineRule="exact"/>
              <w:rPr>
                <w:sz w:val="20"/>
                <w:szCs w:val="20"/>
                <w:color w:val="auto"/>
              </w:rPr>
            </w:pPr>
            <w:r>
              <w:rPr>
                <w:rFonts w:ascii="Times New Roman" w:cs="Times New Roman" w:eastAsia="Times New Roman" w:hAnsi="Times New Roman"/>
                <w:sz w:val="16"/>
                <w:szCs w:val="16"/>
                <w:color w:val="0000FF"/>
              </w:rPr>
              <w:t>firm for GeneDx Holdings Corp.</w:t>
            </w:r>
          </w:p>
        </w:tc>
        <w:tc>
          <w:tcPr>
            <w:tcW w:w="120" w:type="dxa"/>
            <w:vAlign w:val="bottom"/>
            <w:gridSpan w:val="6"/>
          </w:tcPr>
          <w:p>
            <w:pPr>
              <w:spacing w:after="0"/>
              <w:rPr>
                <w:sz w:val="12"/>
                <w:szCs w:val="12"/>
                <w:color w:val="auto"/>
              </w:rPr>
            </w:pPr>
          </w:p>
        </w:tc>
      </w:tr>
      <w:tr>
        <w:trPr>
          <w:trHeight w:val="20"/>
        </w:trPr>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-5113020</wp:posOffset>
            </wp:positionV>
            <wp:extent cx="7137400" cy="51466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137400" cy="5146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7"/>
              </w:rPr>
              <w:t>10-Q</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10.26</w:t>
            </w:r>
          </w:p>
        </w:tc>
      </w:tr>
      <w:tr>
        <w:trPr>
          <w:trHeight w:val="455"/>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10.2</w:t>
            </w:r>
          </w:p>
        </w:tc>
      </w:tr>
      <w:tr>
        <w:trPr>
          <w:trHeight w:val="455"/>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10.1</w:t>
            </w:r>
          </w:p>
        </w:tc>
      </w:tr>
      <w:tr>
        <w:trPr>
          <w:trHeight w:val="455"/>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10.1</w:t>
            </w:r>
          </w:p>
        </w:tc>
      </w:tr>
      <w:tr>
        <w:trPr>
          <w:trHeight w:val="455"/>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10.2</w:t>
            </w:r>
          </w:p>
        </w:tc>
      </w:tr>
      <w:tr>
        <w:trPr>
          <w:trHeight w:val="624"/>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10.3</w:t>
            </w:r>
          </w:p>
        </w:tc>
      </w:tr>
      <w:tr>
        <w:trPr>
          <w:trHeight w:val="455"/>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10.4</w:t>
            </w:r>
          </w:p>
        </w:tc>
      </w:tr>
      <w:tr>
        <w:trPr>
          <w:trHeight w:val="546"/>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7"/>
              </w:rPr>
              <w:t>10-K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10.31</w:t>
            </w:r>
          </w:p>
        </w:tc>
      </w:tr>
      <w:tr>
        <w:trPr>
          <w:trHeight w:val="455"/>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10.1</w:t>
            </w:r>
          </w:p>
        </w:tc>
      </w:tr>
      <w:tr>
        <w:trPr>
          <w:trHeight w:val="533"/>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10.2</w:t>
            </w:r>
          </w:p>
        </w:tc>
      </w:tr>
      <w:tr>
        <w:trPr>
          <w:trHeight w:val="546"/>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10.1</w:t>
            </w:r>
          </w:p>
        </w:tc>
      </w:tr>
      <w:tr>
        <w:trPr>
          <w:trHeight w:val="729"/>
        </w:trPr>
        <w:tc>
          <w:tcPr>
            <w:tcW w:w="90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6"/>
              </w:rPr>
              <w:t>8-K</w:t>
            </w:r>
          </w:p>
        </w:tc>
        <w:tc>
          <w:tcPr>
            <w:tcW w:w="92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9"/>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11/15/2021</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02/11/2021</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02/11/2021</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01/18/2022</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01/18/2022</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01/18/2022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01/18/2022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03/14/2022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05/02/2022</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05/02/2022</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06/14/2022</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08/26/2022</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08/15/2022</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77" w:lineRule="exact"/>
        <w:rPr>
          <w:sz w:val="20"/>
          <w:szCs w:val="20"/>
          <w:color w:val="auto"/>
        </w:rPr>
      </w:pPr>
    </w:p>
    <w:p>
      <w:pPr>
        <w:sectPr>
          <w:pgSz w:w="11900" w:h="16838" w:orient="portrait"/>
          <w:cols w:equalWidth="0" w:num="3">
            <w:col w:w="5400" w:space="680"/>
            <w:col w:w="2040" w:space="720"/>
            <w:col w:w="1800"/>
          </w:cols>
          <w:pgMar w:left="320" w:top="121"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86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9"/>
              </w:rPr>
              <w:t>24.1</w:t>
            </w: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Power of Attorney (included on signature page to this Annual</w:t>
            </w:r>
          </w:p>
        </w:tc>
      </w:tr>
      <w:tr>
        <w:trPr>
          <w:trHeight w:val="203"/>
        </w:trPr>
        <w:tc>
          <w:tcPr>
            <w:tcW w:w="860" w:type="dxa"/>
            <w:vAlign w:val="bottom"/>
          </w:tcPr>
          <w:p>
            <w:pPr>
              <w:spacing w:after="0"/>
              <w:rPr>
                <w:sz w:val="17"/>
                <w:szCs w:val="17"/>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Report on Form 10-K).</w:t>
            </w:r>
          </w:p>
        </w:tc>
      </w:tr>
      <w:tr>
        <w:trPr>
          <w:trHeight w:val="253"/>
        </w:trPr>
        <w:tc>
          <w:tcPr>
            <w:tcW w:w="86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9"/>
              </w:rPr>
              <w:t>31.1</w:t>
            </w: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Securities</w:t>
            </w:r>
          </w:p>
        </w:tc>
      </w:tr>
      <w:tr>
        <w:trPr>
          <w:trHeight w:val="20"/>
        </w:trPr>
        <w:tc>
          <w:tcPr>
            <w:tcW w:w="8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860" w:type="dxa"/>
            <w:vAlign w:val="bottom"/>
          </w:tcPr>
          <w:p>
            <w:pPr>
              <w:spacing w:after="0"/>
              <w:rPr>
                <w:sz w:val="12"/>
                <w:szCs w:val="12"/>
                <w:color w:val="auto"/>
              </w:rPr>
            </w:pPr>
          </w:p>
        </w:tc>
        <w:tc>
          <w:tcPr>
            <w:tcW w:w="4280" w:type="dxa"/>
            <w:vAlign w:val="bottom"/>
            <w:gridSpan w:val="6"/>
          </w:tcPr>
          <w:p>
            <w:pPr>
              <w:spacing w:after="0" w:line="149" w:lineRule="exact"/>
              <w:rPr>
                <w:sz w:val="20"/>
                <w:szCs w:val="20"/>
                <w:color w:val="auto"/>
              </w:rPr>
            </w:pPr>
            <w:r>
              <w:rPr>
                <w:rFonts w:ascii="Times New Roman" w:cs="Times New Roman" w:eastAsia="Times New Roman" w:hAnsi="Times New Roman"/>
                <w:sz w:val="16"/>
                <w:szCs w:val="16"/>
                <w:color w:val="0000FF"/>
                <w:w w:val="97"/>
              </w:rPr>
              <w:t>Exchange Act Rules 13a-14(a) and 15(d)-14(a), as adopted Pursuant</w:t>
            </w:r>
          </w:p>
        </w:tc>
      </w:tr>
      <w:tr>
        <w:trPr>
          <w:trHeight w:val="162"/>
        </w:trPr>
        <w:tc>
          <w:tcPr>
            <w:tcW w:w="86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2"/>
          </w:tcPr>
          <w:p>
            <w:pPr>
              <w:spacing w:after="0" w:line="162" w:lineRule="exact"/>
              <w:rPr>
                <w:sz w:val="20"/>
                <w:szCs w:val="20"/>
                <w:color w:val="auto"/>
              </w:rPr>
            </w:pPr>
            <w:r>
              <w:rPr>
                <w:rFonts w:ascii="Times New Roman" w:cs="Times New Roman" w:eastAsia="Times New Roman" w:hAnsi="Times New Roman"/>
                <w:sz w:val="16"/>
                <w:szCs w:val="16"/>
                <w:color w:val="0000FF"/>
                <w:w w:val="96"/>
              </w:rPr>
              <w:t>to Section 302 of the Sarbanes-Oxley Act of 2002.</w:t>
            </w:r>
          </w:p>
        </w:tc>
        <w:tc>
          <w:tcPr>
            <w:tcW w:w="11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53"/>
        </w:trPr>
        <w:tc>
          <w:tcPr>
            <w:tcW w:w="86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9"/>
              </w:rPr>
              <w:t>31.2</w:t>
            </w: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Securities</w:t>
            </w:r>
          </w:p>
        </w:tc>
      </w:tr>
      <w:tr>
        <w:trPr>
          <w:trHeight w:val="20"/>
        </w:trPr>
        <w:tc>
          <w:tcPr>
            <w:tcW w:w="8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49"/>
        </w:trPr>
        <w:tc>
          <w:tcPr>
            <w:tcW w:w="860" w:type="dxa"/>
            <w:vAlign w:val="bottom"/>
          </w:tcPr>
          <w:p>
            <w:pPr>
              <w:spacing w:after="0"/>
              <w:rPr>
                <w:sz w:val="12"/>
                <w:szCs w:val="12"/>
                <w:color w:val="auto"/>
              </w:rPr>
            </w:pPr>
          </w:p>
        </w:tc>
        <w:tc>
          <w:tcPr>
            <w:tcW w:w="4280" w:type="dxa"/>
            <w:vAlign w:val="bottom"/>
            <w:gridSpan w:val="6"/>
          </w:tcPr>
          <w:p>
            <w:pPr>
              <w:spacing w:after="0" w:line="149" w:lineRule="exact"/>
              <w:rPr>
                <w:sz w:val="20"/>
                <w:szCs w:val="20"/>
                <w:color w:val="auto"/>
              </w:rPr>
            </w:pPr>
            <w:r>
              <w:rPr>
                <w:rFonts w:ascii="Times New Roman" w:cs="Times New Roman" w:eastAsia="Times New Roman" w:hAnsi="Times New Roman"/>
                <w:sz w:val="16"/>
                <w:szCs w:val="16"/>
                <w:color w:val="0000FF"/>
                <w:w w:val="97"/>
              </w:rPr>
              <w:t>Exchange Act Rules 13a-14(a) and 15(d)-14(a), as adopted Pursuant</w:t>
            </w:r>
          </w:p>
        </w:tc>
      </w:tr>
      <w:tr>
        <w:trPr>
          <w:trHeight w:val="162"/>
        </w:trPr>
        <w:tc>
          <w:tcPr>
            <w:tcW w:w="86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2"/>
          </w:tcPr>
          <w:p>
            <w:pPr>
              <w:spacing w:after="0" w:line="162" w:lineRule="exact"/>
              <w:rPr>
                <w:sz w:val="20"/>
                <w:szCs w:val="20"/>
                <w:color w:val="auto"/>
              </w:rPr>
            </w:pPr>
            <w:r>
              <w:rPr>
                <w:rFonts w:ascii="Times New Roman" w:cs="Times New Roman" w:eastAsia="Times New Roman" w:hAnsi="Times New Roman"/>
                <w:sz w:val="16"/>
                <w:szCs w:val="16"/>
                <w:color w:val="0000FF"/>
                <w:w w:val="96"/>
              </w:rPr>
              <w:t>to Section 302 of the Sarbanes-Oxley Act of 2002.</w:t>
            </w:r>
          </w:p>
        </w:tc>
        <w:tc>
          <w:tcPr>
            <w:tcW w:w="11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53"/>
        </w:trPr>
        <w:tc>
          <w:tcPr>
            <w:tcW w:w="8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5"/>
              </w:rPr>
              <w:t>32.1**</w:t>
            </w:r>
          </w:p>
        </w:tc>
        <w:tc>
          <w:tcPr>
            <w:tcW w:w="42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w:t>
            </w:r>
          </w:p>
        </w:tc>
      </w:tr>
      <w:tr>
        <w:trPr>
          <w:trHeight w:val="20"/>
        </w:trPr>
        <w:tc>
          <w:tcPr>
            <w:tcW w:w="8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49"/>
        </w:trPr>
        <w:tc>
          <w:tcPr>
            <w:tcW w:w="860" w:type="dxa"/>
            <w:vAlign w:val="bottom"/>
          </w:tcPr>
          <w:p>
            <w:pPr>
              <w:spacing w:after="0"/>
              <w:rPr>
                <w:sz w:val="12"/>
                <w:szCs w:val="12"/>
                <w:color w:val="auto"/>
              </w:rPr>
            </w:pPr>
          </w:p>
        </w:tc>
        <w:tc>
          <w:tcPr>
            <w:tcW w:w="4280" w:type="dxa"/>
            <w:vAlign w:val="bottom"/>
            <w:gridSpan w:val="6"/>
          </w:tcPr>
          <w:p>
            <w:pPr>
              <w:spacing w:after="0" w:line="149"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r>
      <w:tr>
        <w:trPr>
          <w:trHeight w:val="162"/>
        </w:trPr>
        <w:tc>
          <w:tcPr>
            <w:tcW w:w="860" w:type="dxa"/>
            <w:vAlign w:val="bottom"/>
          </w:tcPr>
          <w:p>
            <w:pPr>
              <w:spacing w:after="0"/>
              <w:rPr>
                <w:sz w:val="14"/>
                <w:szCs w:val="14"/>
                <w:color w:val="auto"/>
              </w:rPr>
            </w:pPr>
          </w:p>
        </w:tc>
        <w:tc>
          <w:tcPr>
            <w:tcW w:w="120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6"/>
                <w:szCs w:val="16"/>
                <w:color w:val="0000FF"/>
                <w:w w:val="95"/>
              </w:rPr>
              <w:t>Oxley Act of 2002.</w:t>
            </w:r>
          </w:p>
        </w:tc>
        <w:tc>
          <w:tcPr>
            <w:tcW w:w="2940" w:type="dxa"/>
            <w:vAlign w:val="bottom"/>
            <w:tcBorders>
              <w:top w:val="single" w:sz="8" w:color="0000FF"/>
            </w:tcBorders>
            <w:gridSpan w:val="3"/>
          </w:tcPr>
          <w:p>
            <w:pPr>
              <w:spacing w:after="0"/>
              <w:rPr>
                <w:sz w:val="14"/>
                <w:szCs w:val="14"/>
                <w:color w:val="auto"/>
              </w:rPr>
            </w:pPr>
          </w:p>
        </w:tc>
        <w:tc>
          <w:tcPr>
            <w:tcW w:w="140" w:type="dxa"/>
            <w:vAlign w:val="bottom"/>
            <w:gridSpan w:val="2"/>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-1420495</wp:posOffset>
            </wp:positionV>
            <wp:extent cx="7137400" cy="14458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137400" cy="144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91" w:lineRule="exact"/>
        <w:rPr>
          <w:sz w:val="20"/>
          <w:szCs w:val="20"/>
          <w:color w:val="auto"/>
        </w:rPr>
      </w:pPr>
    </w:p>
    <w:p>
      <w:pPr>
        <w:sectPr>
          <w:pgSz w:w="11900" w:h="16838" w:orient="portrait"/>
          <w:cols w:equalWidth="0" w:num="2">
            <w:col w:w="9820" w:space="720"/>
            <w:col w:w="7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112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32.2**</w:t>
            </w:r>
          </w:p>
        </w:tc>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w:t>
            </w:r>
          </w:p>
        </w:tc>
        <w:tc>
          <w:tcPr>
            <w:tcW w:w="3340" w:type="dxa"/>
            <w:vAlign w:val="bottom"/>
            <w:shd w:val="clear" w:color="auto" w:fill="CCEEFF"/>
          </w:tcPr>
          <w:p>
            <w:pPr>
              <w:spacing w:after="0"/>
              <w:rPr>
                <w:sz w:val="16"/>
                <w:szCs w:val="16"/>
                <w:color w:val="auto"/>
              </w:rPr>
            </w:pPr>
          </w:p>
        </w:tc>
      </w:tr>
      <w:tr>
        <w:trPr>
          <w:trHeight w:val="149"/>
        </w:trPr>
        <w:tc>
          <w:tcPr>
            <w:tcW w:w="1120" w:type="dxa"/>
            <w:vAlign w:val="bottom"/>
            <w:tcBorders>
              <w:top w:val="single" w:sz="8" w:color="CCEEFF"/>
            </w:tcBorders>
            <w:shd w:val="clear" w:color="auto" w:fill="CCEEFF"/>
          </w:tcPr>
          <w:p>
            <w:pPr>
              <w:spacing w:after="0"/>
              <w:rPr>
                <w:sz w:val="12"/>
                <w:szCs w:val="12"/>
                <w:color w:val="auto"/>
              </w:rPr>
            </w:pPr>
          </w:p>
        </w:tc>
        <w:tc>
          <w:tcPr>
            <w:tcW w:w="4060" w:type="dxa"/>
            <w:vAlign w:val="bottom"/>
            <w:tcBorders>
              <w:top w:val="single" w:sz="8" w:color="0000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6"/>
                <w:szCs w:val="16"/>
                <w:color w:val="0000FF"/>
                <w:w w:val="96"/>
              </w:rPr>
              <w:t>Section 1350, as adopted Pursuant to Section 906 of the Sarbanes</w:t>
            </w:r>
          </w:p>
        </w:tc>
        <w:tc>
          <w:tcPr>
            <w:tcW w:w="2720" w:type="dxa"/>
            <w:vAlign w:val="bottom"/>
            <w:tcBorders>
              <w:top w:val="single" w:sz="8" w:color="CCEEFF"/>
            </w:tcBorders>
            <w:gridSpan w:val="2"/>
            <w:shd w:val="clear" w:color="auto" w:fill="CCEEFF"/>
          </w:tcPr>
          <w:p>
            <w:pPr>
              <w:jc w:val="right"/>
              <w:ind w:right="2640"/>
              <w:spacing w:after="0" w:line="149" w:lineRule="exact"/>
              <w:rPr>
                <w:sz w:val="20"/>
                <w:szCs w:val="20"/>
                <w:color w:val="auto"/>
              </w:rPr>
            </w:pPr>
            <w:r>
              <w:rPr>
                <w:rFonts w:ascii="Times New Roman" w:cs="Times New Roman" w:eastAsia="Times New Roman" w:hAnsi="Times New Roman"/>
                <w:sz w:val="16"/>
                <w:szCs w:val="16"/>
                <w:color w:val="0000FF"/>
              </w:rPr>
              <w:t>-</w:t>
            </w:r>
          </w:p>
        </w:tc>
        <w:tc>
          <w:tcPr>
            <w:tcW w:w="3340" w:type="dxa"/>
            <w:vAlign w:val="bottom"/>
            <w:tcBorders>
              <w:top w:val="single" w:sz="8" w:color="CCEEFF"/>
            </w:tcBorders>
            <w:shd w:val="clear" w:color="auto" w:fill="CCEEFF"/>
          </w:tcPr>
          <w:p>
            <w:pPr>
              <w:ind w:left="2640"/>
              <w:spacing w:after="0" w:line="149" w:lineRule="exact"/>
              <w:rPr>
                <w:sz w:val="20"/>
                <w:szCs w:val="20"/>
                <w:color w:val="auto"/>
              </w:rPr>
            </w:pPr>
            <w:r>
              <w:rPr>
                <w:rFonts w:ascii="Times New Roman" w:cs="Times New Roman" w:eastAsia="Times New Roman" w:hAnsi="Times New Roman"/>
                <w:sz w:val="16"/>
                <w:szCs w:val="16"/>
                <w:color w:val="auto"/>
              </w:rPr>
              <w:t>X</w:t>
            </w:r>
          </w:p>
        </w:tc>
      </w:tr>
      <w:tr>
        <w:trPr>
          <w:trHeight w:val="194"/>
        </w:trPr>
        <w:tc>
          <w:tcPr>
            <w:tcW w:w="1120" w:type="dxa"/>
            <w:vAlign w:val="bottom"/>
            <w:tcBorders>
              <w:top w:val="single" w:sz="8" w:color="CCEEFF"/>
            </w:tcBorders>
            <w:shd w:val="clear" w:color="auto" w:fill="CCEEFF"/>
          </w:tcPr>
          <w:p>
            <w:pPr>
              <w:spacing w:after="0"/>
              <w:rPr>
                <w:sz w:val="16"/>
                <w:szCs w:val="16"/>
                <w:color w:val="auto"/>
              </w:rPr>
            </w:pPr>
          </w:p>
        </w:tc>
        <w:tc>
          <w:tcPr>
            <w:tcW w:w="4140" w:type="dxa"/>
            <w:vAlign w:val="bottom"/>
            <w:tcBorders>
              <w:top w:val="single" w:sz="8" w:color="0000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FF"/>
              </w:rPr>
              <w:t>Oxley Act of 2002.</w:t>
            </w:r>
          </w:p>
        </w:tc>
        <w:tc>
          <w:tcPr>
            <w:tcW w:w="2640" w:type="dxa"/>
            <w:vAlign w:val="bottom"/>
            <w:tcBorders>
              <w:top w:val="single" w:sz="8" w:color="CCEEFF"/>
            </w:tcBorders>
            <w:shd w:val="clear" w:color="auto" w:fill="CCEEFF"/>
          </w:tcPr>
          <w:p>
            <w:pPr>
              <w:spacing w:after="0"/>
              <w:rPr>
                <w:sz w:val="16"/>
                <w:szCs w:val="16"/>
                <w:color w:val="auto"/>
              </w:rPr>
            </w:pPr>
          </w:p>
        </w:tc>
        <w:tc>
          <w:tcPr>
            <w:tcW w:w="3340" w:type="dxa"/>
            <w:vAlign w:val="bottom"/>
            <w:tcBorders>
              <w:top w:val="single" w:sz="8" w:color="CCEEFF"/>
            </w:tcBorders>
            <w:shd w:val="clear" w:color="auto" w:fill="CCEEFF"/>
          </w:tcPr>
          <w:p>
            <w:pPr>
              <w:spacing w:after="0"/>
              <w:rPr>
                <w:sz w:val="16"/>
                <w:szCs w:val="16"/>
                <w:color w:val="auto"/>
              </w:rPr>
            </w:pPr>
          </w:p>
        </w:tc>
      </w:tr>
      <w:tr>
        <w:trPr>
          <w:trHeight w:val="212"/>
        </w:trPr>
        <w:tc>
          <w:tcPr>
            <w:tcW w:w="1120" w:type="dxa"/>
            <w:vAlign w:val="bottom"/>
            <w:tcBorders>
              <w:top w:val="single" w:sz="8" w:color="CCEE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ind w:left="2640"/>
              <w:spacing w:after="0"/>
              <w:rPr>
                <w:sz w:val="20"/>
                <w:szCs w:val="20"/>
                <w:color w:val="auto"/>
              </w:rPr>
            </w:pPr>
            <w:r>
              <w:rPr>
                <w:rFonts w:ascii="Times New Roman" w:cs="Times New Roman" w:eastAsia="Times New Roman" w:hAnsi="Times New Roman"/>
                <w:sz w:val="16"/>
                <w:szCs w:val="16"/>
                <w:color w:val="auto"/>
              </w:rPr>
              <w:t>X</w:t>
            </w:r>
          </w:p>
        </w:tc>
      </w:tr>
      <w:tr>
        <w:trPr>
          <w:trHeight w:val="230"/>
        </w:trPr>
        <w:tc>
          <w:tcPr>
            <w:tcW w:w="1120" w:type="dxa"/>
            <w:vAlign w:val="bottom"/>
            <w:shd w:val="clear" w:color="auto" w:fill="CCEEFF"/>
          </w:tcPr>
          <w:p>
            <w:pPr>
              <w:jc w:val="center"/>
              <w:ind w:right="122"/>
              <w:spacing w:after="0"/>
              <w:rPr>
                <w:sz w:val="20"/>
                <w:szCs w:val="20"/>
                <w:color w:val="auto"/>
              </w:rPr>
            </w:pPr>
            <w:r>
              <w:rPr>
                <w:rFonts w:ascii="Times New Roman" w:cs="Times New Roman" w:eastAsia="Times New Roman" w:hAnsi="Times New Roman"/>
                <w:sz w:val="16"/>
                <w:szCs w:val="16"/>
                <w:color w:val="auto"/>
                <w:w w:val="96"/>
              </w:rPr>
              <w:t>101.INS</w:t>
            </w:r>
          </w:p>
        </w:tc>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3340" w:type="dxa"/>
            <w:vAlign w:val="bottom"/>
            <w:shd w:val="clear" w:color="auto" w:fill="CCEEFF"/>
          </w:tcPr>
          <w:p>
            <w:pPr>
              <w:spacing w:after="0"/>
              <w:rPr>
                <w:sz w:val="20"/>
                <w:szCs w:val="20"/>
                <w:color w:val="auto"/>
              </w:rPr>
            </w:pPr>
          </w:p>
        </w:tc>
      </w:tr>
      <w:tr>
        <w:trPr>
          <w:trHeight w:val="52"/>
        </w:trPr>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340" w:type="dxa"/>
            <w:vAlign w:val="bottom"/>
          </w:tcPr>
          <w:p>
            <w:pPr>
              <w:spacing w:after="0"/>
              <w:rPr>
                <w:sz w:val="4"/>
                <w:szCs w:val="4"/>
                <w:color w:val="auto"/>
              </w:rPr>
            </w:pPr>
          </w:p>
        </w:tc>
      </w:tr>
      <w:tr>
        <w:trPr>
          <w:trHeight w:val="221"/>
        </w:trPr>
        <w:tc>
          <w:tcPr>
            <w:tcW w:w="1120" w:type="dxa"/>
            <w:vAlign w:val="bottom"/>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color w:val="auto"/>
                <w:w w:val="96"/>
              </w:rPr>
              <w:t>101.CAL</w:t>
            </w:r>
          </w:p>
        </w:tc>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334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6"/>
                <w:szCs w:val="16"/>
                <w:color w:val="auto"/>
              </w:rPr>
              <w:t>X</w:t>
            </w:r>
          </w:p>
        </w:tc>
      </w:tr>
      <w:tr>
        <w:trPr>
          <w:trHeight w:val="52"/>
        </w:trPr>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340" w:type="dxa"/>
            <w:vAlign w:val="bottom"/>
          </w:tcPr>
          <w:p>
            <w:pPr>
              <w:spacing w:after="0"/>
              <w:rPr>
                <w:sz w:val="4"/>
                <w:szCs w:val="4"/>
                <w:color w:val="auto"/>
              </w:rPr>
            </w:pPr>
          </w:p>
        </w:tc>
      </w:tr>
      <w:tr>
        <w:trPr>
          <w:trHeight w:val="221"/>
        </w:trPr>
        <w:tc>
          <w:tcPr>
            <w:tcW w:w="1120" w:type="dxa"/>
            <w:vAlign w:val="bottom"/>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color w:val="auto"/>
                <w:w w:val="98"/>
              </w:rPr>
              <w:t>101.SCH</w:t>
            </w:r>
          </w:p>
        </w:tc>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334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6"/>
                <w:szCs w:val="16"/>
                <w:color w:val="auto"/>
              </w:rPr>
              <w:t>X</w:t>
            </w:r>
          </w:p>
        </w:tc>
      </w:tr>
      <w:tr>
        <w:trPr>
          <w:trHeight w:val="52"/>
        </w:trPr>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340" w:type="dxa"/>
            <w:vAlign w:val="bottom"/>
          </w:tcPr>
          <w:p>
            <w:pPr>
              <w:spacing w:after="0"/>
              <w:rPr>
                <w:sz w:val="4"/>
                <w:szCs w:val="4"/>
                <w:color w:val="auto"/>
              </w:rPr>
            </w:pPr>
          </w:p>
        </w:tc>
      </w:tr>
      <w:tr>
        <w:trPr>
          <w:trHeight w:val="221"/>
        </w:trPr>
        <w:tc>
          <w:tcPr>
            <w:tcW w:w="1120" w:type="dxa"/>
            <w:vAlign w:val="bottom"/>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color w:val="auto"/>
                <w:w w:val="99"/>
              </w:rPr>
              <w:t>101.DEF</w:t>
            </w:r>
          </w:p>
        </w:tc>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334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6"/>
                <w:szCs w:val="16"/>
                <w:color w:val="auto"/>
              </w:rPr>
              <w:t>X</w:t>
            </w:r>
          </w:p>
        </w:tc>
      </w:tr>
      <w:tr>
        <w:trPr>
          <w:trHeight w:val="52"/>
        </w:trPr>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340" w:type="dxa"/>
            <w:vAlign w:val="bottom"/>
          </w:tcPr>
          <w:p>
            <w:pPr>
              <w:spacing w:after="0"/>
              <w:rPr>
                <w:sz w:val="4"/>
                <w:szCs w:val="4"/>
                <w:color w:val="auto"/>
              </w:rPr>
            </w:pPr>
          </w:p>
        </w:tc>
      </w:tr>
      <w:tr>
        <w:trPr>
          <w:trHeight w:val="221"/>
        </w:trPr>
        <w:tc>
          <w:tcPr>
            <w:tcW w:w="1120" w:type="dxa"/>
            <w:vAlign w:val="bottom"/>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color w:val="auto"/>
                <w:w w:val="96"/>
              </w:rPr>
              <w:t>101.LAB</w:t>
            </w:r>
          </w:p>
        </w:tc>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c>
          <w:tcPr>
            <w:tcW w:w="334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6"/>
                <w:szCs w:val="16"/>
                <w:color w:val="auto"/>
              </w:rPr>
              <w:t>X</w:t>
            </w:r>
          </w:p>
        </w:tc>
      </w:tr>
      <w:tr>
        <w:trPr>
          <w:trHeight w:val="52"/>
        </w:trPr>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340" w:type="dxa"/>
            <w:vAlign w:val="bottom"/>
          </w:tcPr>
          <w:p>
            <w:pPr>
              <w:spacing w:after="0"/>
              <w:rPr>
                <w:sz w:val="4"/>
                <w:szCs w:val="4"/>
                <w:color w:val="auto"/>
              </w:rPr>
            </w:pPr>
          </w:p>
        </w:tc>
      </w:tr>
      <w:tr>
        <w:trPr>
          <w:trHeight w:val="221"/>
        </w:trPr>
        <w:tc>
          <w:tcPr>
            <w:tcW w:w="1120" w:type="dxa"/>
            <w:vAlign w:val="bottom"/>
            <w:shd w:val="clear" w:color="auto" w:fill="CCEEFF"/>
          </w:tcPr>
          <w:p>
            <w:pPr>
              <w:jc w:val="center"/>
              <w:ind w:right="122"/>
              <w:spacing w:after="0"/>
              <w:rPr>
                <w:sz w:val="20"/>
                <w:szCs w:val="20"/>
                <w:color w:val="auto"/>
              </w:rPr>
            </w:pPr>
            <w:r>
              <w:rPr>
                <w:rFonts w:ascii="Times New Roman" w:cs="Times New Roman" w:eastAsia="Times New Roman" w:hAnsi="Times New Roman"/>
                <w:sz w:val="16"/>
                <w:szCs w:val="16"/>
                <w:color w:val="auto"/>
                <w:w w:val="97"/>
              </w:rPr>
              <w:t>101.PRE</w:t>
            </w:r>
          </w:p>
        </w:tc>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334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6"/>
                <w:szCs w:val="16"/>
                <w:color w:val="auto"/>
              </w:rPr>
              <w:t>X</w:t>
            </w:r>
          </w:p>
        </w:tc>
      </w:tr>
      <w:tr>
        <w:trPr>
          <w:trHeight w:val="52"/>
        </w:trPr>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340" w:type="dxa"/>
            <w:vAlign w:val="bottom"/>
          </w:tcPr>
          <w:p>
            <w:pPr>
              <w:spacing w:after="0"/>
              <w:rPr>
                <w:sz w:val="4"/>
                <w:szCs w:val="4"/>
                <w:color w:val="auto"/>
              </w:rPr>
            </w:pPr>
          </w:p>
        </w:tc>
      </w:tr>
      <w:tr>
        <w:trPr>
          <w:trHeight w:val="168"/>
        </w:trPr>
        <w:tc>
          <w:tcPr>
            <w:tcW w:w="1120" w:type="dxa"/>
            <w:vAlign w:val="bottom"/>
            <w:shd w:val="clear" w:color="auto" w:fill="CCEEFF"/>
          </w:tcPr>
          <w:p>
            <w:pPr>
              <w:jc w:val="right"/>
              <w:ind w:right="462"/>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6780" w:type="dxa"/>
            <w:vAlign w:val="bottom"/>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with</w:t>
            </w:r>
          </w:p>
        </w:tc>
        <w:tc>
          <w:tcPr>
            <w:tcW w:w="3340" w:type="dxa"/>
            <w:vAlign w:val="bottom"/>
            <w:shd w:val="clear" w:color="auto" w:fill="CCEEFF"/>
          </w:tcPr>
          <w:p>
            <w:pPr>
              <w:spacing w:after="0"/>
              <w:rPr>
                <w:sz w:val="14"/>
                <w:szCs w:val="14"/>
                <w:color w:val="auto"/>
              </w:rPr>
            </w:pPr>
          </w:p>
        </w:tc>
      </w:tr>
      <w:tr>
        <w:trPr>
          <w:trHeight w:val="182"/>
        </w:trPr>
        <w:tc>
          <w:tcPr>
            <w:tcW w:w="1120" w:type="dxa"/>
            <w:vAlign w:val="bottom"/>
            <w:shd w:val="clear" w:color="auto" w:fill="CCEEFF"/>
          </w:tcPr>
          <w:p>
            <w:pPr>
              <w:spacing w:after="0"/>
              <w:rPr>
                <w:sz w:val="15"/>
                <w:szCs w:val="15"/>
                <w:color w:val="auto"/>
              </w:rPr>
            </w:pPr>
          </w:p>
        </w:tc>
        <w:tc>
          <w:tcPr>
            <w:tcW w:w="678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applicable taxonomy extension information contained in Exhibits</w:t>
            </w:r>
          </w:p>
        </w:tc>
        <w:tc>
          <w:tcPr>
            <w:tcW w:w="3340" w:type="dxa"/>
            <w:vAlign w:val="bottom"/>
            <w:shd w:val="clear" w:color="auto" w:fill="CCEEFF"/>
          </w:tcPr>
          <w:p>
            <w:pPr>
              <w:ind w:left="2640"/>
              <w:spacing w:after="0" w:line="182" w:lineRule="exact"/>
              <w:rPr>
                <w:sz w:val="20"/>
                <w:szCs w:val="20"/>
                <w:color w:val="auto"/>
              </w:rPr>
            </w:pPr>
            <w:r>
              <w:rPr>
                <w:rFonts w:ascii="Times New Roman" w:cs="Times New Roman" w:eastAsia="Times New Roman" w:hAnsi="Times New Roman"/>
                <w:sz w:val="16"/>
                <w:szCs w:val="16"/>
                <w:color w:val="auto"/>
              </w:rPr>
              <w:t>X</w:t>
            </w:r>
          </w:p>
        </w:tc>
      </w:tr>
      <w:tr>
        <w:trPr>
          <w:trHeight w:val="222"/>
        </w:trPr>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w:t>
            </w:r>
          </w:p>
        </w:tc>
        <w:tc>
          <w:tcPr>
            <w:tcW w:w="2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bl>
    <w:p>
      <w:pPr>
        <w:spacing w:after="0" w:line="164" w:lineRule="exact"/>
        <w:rPr>
          <w:sz w:val="20"/>
          <w:szCs w:val="20"/>
          <w:color w:val="auto"/>
        </w:rPr>
      </w:pPr>
    </w:p>
    <w:p>
      <w:pPr>
        <w:ind w:left="20" w:right="7660" w:firstLine="1"/>
        <w:spacing w:after="0" w:line="303" w:lineRule="auto"/>
        <w:tabs>
          <w:tab w:leader="none" w:pos="4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 Furnished.</w:t>
      </w:r>
    </w:p>
    <w:p>
      <w:pPr>
        <w:spacing w:after="0" w:line="1" w:lineRule="exact"/>
        <w:rPr>
          <w:sz w:val="20"/>
          <w:szCs w:val="20"/>
          <w:color w:val="auto"/>
        </w:rPr>
      </w:pPr>
    </w:p>
    <w:p>
      <w:pPr>
        <w:ind w:left="440" w:right="4320" w:hanging="419"/>
        <w:spacing w:after="0" w:line="258" w:lineRule="auto"/>
        <w:tabs>
          <w:tab w:leader="none" w:pos="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7" w:lineRule="exact"/>
        <w:rPr>
          <w:sz w:val="20"/>
          <w:szCs w:val="20"/>
          <w:color w:val="auto"/>
        </w:rPr>
      </w:pPr>
    </w:p>
    <w:p>
      <w:pPr>
        <w:ind w:left="440" w:hanging="419"/>
        <w:spacing w:after="0"/>
        <w:tabs>
          <w:tab w:leader="none" w:pos="4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omitted portions of the exhibit as permitted under Regulation S-K Item 601(b)(10).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420" w:type="dxa"/>
            <w:vAlign w:val="bottom"/>
          </w:tcPr>
          <w:p>
            <w:pPr>
              <w:spacing w:after="0"/>
              <w:rPr>
                <w:sz w:val="19"/>
                <w:szCs w:val="19"/>
                <w:color w:val="auto"/>
              </w:rPr>
            </w:pPr>
          </w:p>
        </w:tc>
        <w:tc>
          <w:tcPr>
            <w:tcW w:w="7800" w:type="dxa"/>
            <w:vAlign w:val="bottom"/>
            <w:gridSpan w:val="2"/>
          </w:tcPr>
          <w:p>
            <w:pPr>
              <w:ind w:left="1880"/>
              <w:spacing w:after="0"/>
              <w:rPr>
                <w:sz w:val="20"/>
                <w:szCs w:val="20"/>
                <w:color w:val="auto"/>
              </w:rPr>
            </w:pPr>
            <w:r>
              <w:rPr>
                <w:rFonts w:ascii="Times New Roman" w:cs="Times New Roman" w:eastAsia="Times New Roman" w:hAnsi="Times New Roman"/>
                <w:sz w:val="17"/>
                <w:szCs w:val="17"/>
                <w:color w:val="auto"/>
              </w:rPr>
              <w:t>GENEDX HOLDINGS CORP.</w:t>
            </w:r>
          </w:p>
        </w:tc>
      </w:tr>
      <w:tr>
        <w:trPr>
          <w:trHeight w:val="494"/>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Date: March 16, 2023</w:t>
            </w:r>
          </w:p>
        </w:tc>
        <w:tc>
          <w:tcPr>
            <w:tcW w:w="7800" w:type="dxa"/>
            <w:vAlign w:val="bottom"/>
            <w:gridSpan w:val="2"/>
          </w:tcPr>
          <w:p>
            <w:pPr>
              <w:ind w:left="1880"/>
              <w:spacing w:after="0"/>
              <w:rPr>
                <w:sz w:val="20"/>
                <w:szCs w:val="20"/>
                <w:color w:val="auto"/>
              </w:rPr>
            </w:pPr>
            <w:r>
              <w:rPr>
                <w:rFonts w:ascii="Times New Roman" w:cs="Times New Roman" w:eastAsia="Times New Roman" w:hAnsi="Times New Roman"/>
                <w:sz w:val="17"/>
                <w:szCs w:val="17"/>
                <w:color w:val="auto"/>
              </w:rPr>
              <w:t>By: /s/ Katherine Stueland</w:t>
            </w:r>
          </w:p>
        </w:tc>
      </w:tr>
      <w:tr>
        <w:trPr>
          <w:trHeight w:val="209"/>
        </w:trPr>
        <w:tc>
          <w:tcPr>
            <w:tcW w:w="3420" w:type="dxa"/>
            <w:vAlign w:val="bottom"/>
          </w:tcPr>
          <w:p>
            <w:pPr>
              <w:spacing w:after="0"/>
              <w:rPr>
                <w:sz w:val="18"/>
                <w:szCs w:val="18"/>
                <w:color w:val="auto"/>
              </w:rPr>
            </w:pPr>
          </w:p>
        </w:tc>
        <w:tc>
          <w:tcPr>
            <w:tcW w:w="272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Name:</w:t>
            </w:r>
          </w:p>
        </w:tc>
        <w:tc>
          <w:tcPr>
            <w:tcW w:w="5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Katherine Stueland</w:t>
            </w:r>
          </w:p>
        </w:tc>
      </w:tr>
      <w:tr>
        <w:trPr>
          <w:trHeight w:val="175"/>
        </w:trPr>
        <w:tc>
          <w:tcPr>
            <w:tcW w:w="3420" w:type="dxa"/>
            <w:vAlign w:val="bottom"/>
          </w:tcPr>
          <w:p>
            <w:pPr>
              <w:spacing w:after="0"/>
              <w:rPr>
                <w:sz w:val="15"/>
                <w:szCs w:val="15"/>
                <w:color w:val="auto"/>
              </w:rPr>
            </w:pPr>
          </w:p>
        </w:tc>
        <w:tc>
          <w:tcPr>
            <w:tcW w:w="2720" w:type="dxa"/>
            <w:vAlign w:val="bottom"/>
          </w:tcPr>
          <w:p>
            <w:pPr>
              <w:ind w:left="1880"/>
              <w:spacing w:after="0" w:line="175" w:lineRule="exact"/>
              <w:rPr>
                <w:sz w:val="20"/>
                <w:szCs w:val="20"/>
                <w:color w:val="auto"/>
              </w:rPr>
            </w:pPr>
            <w:r>
              <w:rPr>
                <w:rFonts w:ascii="Times New Roman" w:cs="Times New Roman" w:eastAsia="Times New Roman" w:hAnsi="Times New Roman"/>
                <w:sz w:val="17"/>
                <w:szCs w:val="17"/>
                <w:color w:val="auto"/>
              </w:rPr>
              <w:t>Title:</w:t>
            </w:r>
          </w:p>
        </w:tc>
        <w:tc>
          <w:tcPr>
            <w:tcW w:w="508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27"/>
        </w:trPr>
        <w:tc>
          <w:tcPr>
            <w:tcW w:w="34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236"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Katherine Stueland, Jason Ryan and Kevin Feeley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25"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0" w:type="dxa"/>
            <w:vAlign w:val="bottom"/>
          </w:tcPr>
          <w:p>
            <w:pPr>
              <w:spacing w:after="0"/>
              <w:rPr>
                <w:sz w:val="15"/>
                <w:szCs w:val="15"/>
                <w:color w:val="auto"/>
              </w:rPr>
            </w:pPr>
          </w:p>
        </w:tc>
        <w:tc>
          <w:tcPr>
            <w:tcW w:w="4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Katherine Stueland</w:t>
            </w:r>
          </w:p>
        </w:tc>
        <w:tc>
          <w:tcPr>
            <w:tcW w:w="80" w:type="dxa"/>
            <w:vAlign w:val="bottom"/>
          </w:tcPr>
          <w:p>
            <w:pPr>
              <w:spacing w:after="0"/>
              <w:rPr>
                <w:sz w:val="24"/>
                <w:szCs w:val="24"/>
                <w:color w:val="auto"/>
              </w:rPr>
            </w:pPr>
          </w:p>
        </w:tc>
        <w:tc>
          <w:tcPr>
            <w:tcW w:w="4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Katherine Stueland</w:t>
            </w:r>
          </w:p>
        </w:tc>
        <w:tc>
          <w:tcPr>
            <w:tcW w:w="80" w:type="dxa"/>
            <w:vAlign w:val="bottom"/>
          </w:tcPr>
          <w:p>
            <w:pPr>
              <w:spacing w:after="0"/>
              <w:rPr>
                <w:sz w:val="7"/>
                <w:szCs w:val="7"/>
                <w:color w:val="auto"/>
              </w:rPr>
            </w:pPr>
          </w:p>
        </w:tc>
        <w:tc>
          <w:tcPr>
            <w:tcW w:w="4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Kevin Feeley</w:t>
            </w:r>
          </w:p>
        </w:tc>
        <w:tc>
          <w:tcPr>
            <w:tcW w:w="80" w:type="dxa"/>
            <w:vAlign w:val="bottom"/>
          </w:tcPr>
          <w:p>
            <w:pPr>
              <w:spacing w:after="0"/>
              <w:rPr>
                <w:sz w:val="24"/>
                <w:szCs w:val="24"/>
                <w:color w:val="auto"/>
              </w:rPr>
            </w:pPr>
          </w:p>
        </w:tc>
        <w:tc>
          <w:tcPr>
            <w:tcW w:w="4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Financial Officer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Kevin Feeley</w:t>
            </w:r>
          </w:p>
        </w:tc>
        <w:tc>
          <w:tcPr>
            <w:tcW w:w="80" w:type="dxa"/>
            <w:vAlign w:val="bottom"/>
          </w:tcPr>
          <w:p>
            <w:pPr>
              <w:spacing w:after="0"/>
              <w:rPr>
                <w:sz w:val="7"/>
                <w:szCs w:val="7"/>
                <w:color w:val="auto"/>
              </w:rPr>
            </w:pPr>
          </w:p>
        </w:tc>
        <w:tc>
          <w:tcPr>
            <w:tcW w:w="4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Jason Ryan</w:t>
            </w:r>
          </w:p>
        </w:tc>
        <w:tc>
          <w:tcPr>
            <w:tcW w:w="8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Executive Chairman and Director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Jason Ryan</w:t>
            </w:r>
          </w:p>
        </w:tc>
        <w:tc>
          <w:tcPr>
            <w:tcW w:w="8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Eli D. Casdin</w:t>
            </w:r>
          </w:p>
        </w:tc>
        <w:tc>
          <w:tcPr>
            <w:tcW w:w="8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Eli D. Casdin</w:t>
            </w:r>
          </w:p>
        </w:tc>
        <w:tc>
          <w:tcPr>
            <w:tcW w:w="8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Dennis Charney</w:t>
            </w:r>
          </w:p>
        </w:tc>
        <w:tc>
          <w:tcPr>
            <w:tcW w:w="8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Dennis Charney</w:t>
            </w:r>
          </w:p>
        </w:tc>
        <w:tc>
          <w:tcPr>
            <w:tcW w:w="8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Emily Leproust</w:t>
            </w:r>
          </w:p>
        </w:tc>
        <w:tc>
          <w:tcPr>
            <w:tcW w:w="8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Emily Leproust</w:t>
            </w:r>
          </w:p>
        </w:tc>
        <w:tc>
          <w:tcPr>
            <w:tcW w:w="8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Keith Meister</w:t>
            </w:r>
          </w:p>
        </w:tc>
        <w:tc>
          <w:tcPr>
            <w:tcW w:w="8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Keith Meister</w:t>
            </w:r>
          </w:p>
        </w:tc>
        <w:tc>
          <w:tcPr>
            <w:tcW w:w="8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Joshua Ruch</w:t>
            </w:r>
          </w:p>
        </w:tc>
        <w:tc>
          <w:tcPr>
            <w:tcW w:w="8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Joshua Ruch</w:t>
            </w:r>
          </w:p>
        </w:tc>
        <w:tc>
          <w:tcPr>
            <w:tcW w:w="8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Richard Pfenninger, Jr.</w:t>
            </w:r>
          </w:p>
        </w:tc>
        <w:tc>
          <w:tcPr>
            <w:tcW w:w="8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Richard Pfenninger, Jr.</w:t>
            </w:r>
          </w:p>
        </w:tc>
        <w:tc>
          <w:tcPr>
            <w:tcW w:w="8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172085</wp:posOffset>
            </wp:positionV>
            <wp:extent cx="716280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Rachel Sherman</w:t>
            </w:r>
          </w:p>
        </w:tc>
        <w:tc>
          <w:tcPr>
            <w:tcW w:w="3640" w:type="dxa"/>
            <w:vAlign w:val="bottom"/>
            <w:vMerge w:val="restart"/>
          </w:tcPr>
          <w:p>
            <w:pPr>
              <w:ind w:left="1760"/>
              <w:spacing w:after="0"/>
              <w:rPr>
                <w:sz w:val="20"/>
                <w:szCs w:val="20"/>
                <w:color w:val="auto"/>
              </w:rPr>
            </w:pPr>
            <w:r>
              <w:rPr>
                <w:rFonts w:ascii="Times New Roman" w:cs="Times New Roman" w:eastAsia="Times New Roman" w:hAnsi="Times New Roman"/>
                <w:sz w:val="17"/>
                <w:szCs w:val="17"/>
                <w:color w:val="auto"/>
              </w:rPr>
              <w:t>Director</w:t>
            </w:r>
          </w:p>
        </w:tc>
        <w:tc>
          <w:tcPr>
            <w:tcW w:w="2420" w:type="dxa"/>
            <w:vAlign w:val="bottom"/>
            <w:vMerge w:val="restart"/>
          </w:tcPr>
          <w:p>
            <w:pPr>
              <w:ind w:left="1320"/>
              <w:spacing w:after="0"/>
              <w:rPr>
                <w:sz w:val="20"/>
                <w:szCs w:val="20"/>
                <w:color w:val="auto"/>
              </w:rPr>
            </w:pPr>
            <w:r>
              <w:rPr>
                <w:rFonts w:ascii="Times New Roman" w:cs="Times New Roman" w:eastAsia="Times New Roman" w:hAnsi="Times New Roman"/>
                <w:sz w:val="17"/>
                <w:szCs w:val="17"/>
                <w:color w:val="auto"/>
                <w:w w:val="99"/>
              </w:rPr>
              <w:t>March 16, 2023</w:t>
            </w:r>
          </w:p>
        </w:tc>
        <w:tc>
          <w:tcPr>
            <w:tcW w:w="0" w:type="dxa"/>
            <w:vAlign w:val="bottom"/>
          </w:tcPr>
          <w:p>
            <w:pPr>
              <w:spacing w:after="0"/>
              <w:rPr>
                <w:sz w:val="1"/>
                <w:szCs w:val="1"/>
                <w:color w:val="auto"/>
              </w:rPr>
            </w:pPr>
          </w:p>
        </w:tc>
      </w:tr>
      <w:tr>
        <w:trPr>
          <w:trHeight w:val="84"/>
        </w:trPr>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Rachel Sherman</w:t>
            </w:r>
          </w:p>
        </w:tc>
        <w:tc>
          <w:tcPr>
            <w:tcW w:w="364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163</w:t>
      </w:r>
    </w:p>
    <w:p>
      <w:pPr>
        <w:sectPr>
          <w:pgSz w:w="11900" w:h="16838" w:orient="portrait"/>
          <w:cols w:equalWidth="0" w:num="1">
            <w:col w:w="10400"/>
          </w:cols>
          <w:pgMar w:left="320" w:top="121" w:right="117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jc w:val="center"/>
        <w:spacing w:after="0" w:line="223" w:lineRule="auto"/>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88" w:lineRule="exact"/>
        <w:rPr>
          <w:sz w:val="20"/>
          <w:szCs w:val="20"/>
          <w:color w:val="auto"/>
        </w:rPr>
      </w:pPr>
    </w:p>
    <w:p>
      <w:pPr>
        <w:jc w:val="both"/>
        <w:ind w:firstLine="312"/>
        <w:spacing w:after="0" w:line="227" w:lineRule="auto"/>
        <w:rPr>
          <w:sz w:val="20"/>
          <w:szCs w:val="20"/>
          <w:color w:val="auto"/>
        </w:rPr>
      </w:pPr>
      <w:r>
        <w:rPr>
          <w:rFonts w:ascii="Times New Roman" w:cs="Times New Roman" w:eastAsia="Times New Roman" w:hAnsi="Times New Roman"/>
          <w:sz w:val="17"/>
          <w:szCs w:val="17"/>
          <w:color w:val="auto"/>
        </w:rPr>
        <w:t>The following summary sets forth certain material terms and provisions of our securities that are registered under Section 12 of the Securities Exchange Act of 1934, as amended (the “Exchange Act”). This description also summarizes relevant provisions of the General Corporation Law of Delaware (the “DGCL”).</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The following description is a summary and does not purport to be a complete description of the rights and preferences of our securities. It is subject to, and qualified in its entirety by reference to, the applicable provisions of the DGCL and our Amended and Restated Certificate of Incorporation (our “Amended and Restated Certificate of Incorporation”), and our Amended and Restated Bylaws (our “Bylaws”), each of which is incorporated by reference as an exhibit to the</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Annual Report on Form 10-K of which this Exhibit 4.4 is a part. We encourage you to read our Amended and Restated Certificate of Incorporation, our Bylaws, and the applicable provisions of the DGCL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and Outstanding Stock</w:t>
      </w:r>
    </w:p>
    <w:p>
      <w:pPr>
        <w:spacing w:after="0" w:line="145" w:lineRule="exact"/>
        <w:rPr>
          <w:sz w:val="20"/>
          <w:szCs w:val="20"/>
          <w:color w:val="auto"/>
        </w:rPr>
      </w:pPr>
    </w:p>
    <w:p>
      <w:pPr>
        <w:ind w:right="160" w:firstLine="312"/>
        <w:spacing w:after="0" w:line="246"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the issuance of 1,000,000,000 shares of Class A common stock, $0.0001 par value per share, and 1,000,000 shares of Preferred Stock, $0.0001 par value per share. The outstanding shares of our common stock are duly authorized, validly issued, fully paid and non-assessable. As of December 31, 2022, there were 388,511,138 shares of our Class A common stock outstanding, no shares of preferred stock outstanding and 21,994,972 warrants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47" w:lineRule="exact"/>
        <w:rPr>
          <w:sz w:val="20"/>
          <w:szCs w:val="20"/>
          <w:color w:val="auto"/>
        </w:rPr>
      </w:pPr>
    </w:p>
    <w:p>
      <w:pPr>
        <w:jc w:val="both"/>
        <w:ind w:firstLine="312"/>
        <w:spacing w:after="0" w:line="231"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Power</w:t>
      </w:r>
    </w:p>
    <w:p>
      <w:pPr>
        <w:spacing w:after="0" w:line="134" w:lineRule="exact"/>
        <w:rPr>
          <w:sz w:val="20"/>
          <w:szCs w:val="20"/>
          <w:color w:val="auto"/>
        </w:rPr>
      </w:pPr>
    </w:p>
    <w:p>
      <w:pPr>
        <w:jc w:val="both"/>
        <w:ind w:firstLine="312"/>
        <w:spacing w:after="0" w:line="227" w:lineRule="auto"/>
        <w:rPr>
          <w:sz w:val="20"/>
          <w:szCs w:val="20"/>
          <w:color w:val="auto"/>
        </w:rPr>
      </w:pPr>
      <w:r>
        <w:rPr>
          <w:rFonts w:ascii="Times New Roman" w:cs="Times New Roman" w:eastAsia="Times New Roman" w:hAnsi="Times New Roman"/>
          <w:sz w:val="17"/>
          <w:szCs w:val="17"/>
          <w:color w:val="auto"/>
        </w:rPr>
        <w:t>Except as otherwise required by law or as otherwise provided in any certificate of designation for any series of preferred stock, or under our Amended and Restated Certificate of Incorporation, the holders of common stock possess all voting power for the election of our directors and all other matters requiring</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stockholder action and are entitled to one vote per share on matters to be voted on by stockholders. The holders of common stock shall at all times vote together as one class on all matters submitted to a vote of the holders of common stock under our Amended and Restated Certificate of Incorporation.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47" w:lineRule="exact"/>
        <w:rPr>
          <w:sz w:val="20"/>
          <w:szCs w:val="20"/>
          <w:color w:val="auto"/>
        </w:rPr>
      </w:pPr>
    </w:p>
    <w:p>
      <w:pPr>
        <w:jc w:val="both"/>
        <w:ind w:firstLine="312"/>
        <w:spacing w:after="0" w:line="231" w:lineRule="auto"/>
        <w:rPr>
          <w:sz w:val="20"/>
          <w:szCs w:val="20"/>
          <w:color w:val="auto"/>
        </w:rPr>
      </w:pPr>
      <w:r>
        <w:rPr>
          <w:rFonts w:ascii="Times New Roman" w:cs="Times New Roman" w:eastAsia="Times New Roman" w:hAnsi="Times New Roman"/>
          <w:sz w:val="17"/>
          <w:szCs w:val="17"/>
          <w:color w:val="auto"/>
        </w:rPr>
        <w:t>Subject to the rights, if any of the holders of any outstanding shares of preferred stock, under our Amended and Restated Certificate of Incorporation, holders of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 Dissolution and Winding Up</w:t>
      </w:r>
    </w:p>
    <w:p>
      <w:pPr>
        <w:spacing w:after="0" w:line="134" w:lineRule="exact"/>
        <w:rPr>
          <w:sz w:val="20"/>
          <w:szCs w:val="20"/>
          <w:color w:val="auto"/>
        </w:rPr>
      </w:pPr>
    </w:p>
    <w:p>
      <w:pPr>
        <w:jc w:val="both"/>
        <w:ind w:firstLine="312"/>
        <w:spacing w:after="0" w:line="227" w:lineRule="auto"/>
        <w:rPr>
          <w:sz w:val="20"/>
          <w:szCs w:val="20"/>
          <w:color w:val="auto"/>
        </w:rPr>
      </w:pPr>
      <w:r>
        <w:rPr>
          <w:rFonts w:ascii="Times New Roman" w:cs="Times New Roman" w:eastAsia="Times New Roman" w:hAnsi="Times New Roman"/>
          <w:sz w:val="17"/>
          <w:szCs w:val="17"/>
          <w:color w:val="auto"/>
        </w:rPr>
        <w:t>In the event of the voluntary or involuntary liquidation, dissolution or winding-up of the Company our Amended and Restated Certificate of Incorporation, the holders of common stock will be entitled to receive all the remaining assets of the Company available for distribution to stockholders, ratably in proportion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common stock held by them, after the rights of the holders of the preferred stock have been satisfied.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Preemptive or Other Rights</w:t>
      </w:r>
    </w:p>
    <w:p>
      <w:pPr>
        <w:spacing w:after="0" w:line="134"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Under our Amended and Restated Certificate of Incorporation, our stockholders have no preemptive or other subscription rights and there are no sinking fund or redemption provisions applicable to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Election of Directors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Under the terms of our Amended and Restated Certificate of Incorporation, the term of the Class I Directors in place at such time will expire at our first</w:t>
      </w:r>
    </w:p>
    <w:p>
      <w:pPr>
        <w:spacing w:after="0" w:line="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annual meeting of the stockholders of the following the effectiveness of our Amended and Restated Certificate of Incorporation; the term of the Class II Directors in place at such time will expire at our second annual meeting of the stockholders following the effectiveness of our Amended and Restated</w:t>
      </w:r>
    </w:p>
    <w:p>
      <w:pPr>
        <w:sectPr>
          <w:pgSz w:w="11900" w:h="16838" w:orient="portrait"/>
          <w:cols w:equalWidth="0" w:num="1">
            <w:col w:w="11240"/>
          </w:cols>
          <w:pgMar w:left="320" w:top="105" w:right="339" w:bottom="1440" w:gutter="0" w:footer="0" w:header="0"/>
        </w:sectPr>
      </w:pPr>
    </w:p>
    <w:bookmarkStart w:id="153" w:name="page154"/>
    <w:bookmarkEnd w:id="153"/>
    <w:p>
      <w:pPr>
        <w:jc w:val="both"/>
        <w:spacing w:after="0" w:line="245" w:lineRule="auto"/>
        <w:rPr>
          <w:sz w:val="20"/>
          <w:szCs w:val="20"/>
          <w:color w:val="auto"/>
        </w:rPr>
      </w:pPr>
      <w:r>
        <w:rPr>
          <w:rFonts w:ascii="Times New Roman" w:cs="Times New Roman" w:eastAsia="Times New Roman" w:hAnsi="Times New Roman"/>
          <w:sz w:val="17"/>
          <w:szCs w:val="17"/>
          <w:color w:val="auto"/>
        </w:rPr>
        <w:t>Certificate of Incorporation; and the term of the Class III Directors in place at such time will expire at our third annual meeting of the stockholders following the effectiveness of our Amended and Restated Certificate of Incorporation.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34" w:lineRule="exact"/>
        <w:rPr>
          <w:sz w:val="20"/>
          <w:szCs w:val="20"/>
          <w:color w:val="auto"/>
        </w:rPr>
      </w:pPr>
    </w:p>
    <w:p>
      <w:pPr>
        <w:jc w:val="both"/>
        <w:ind w:firstLine="312"/>
        <w:spacing w:after="0" w:line="227"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34" w:lineRule="exact"/>
        <w:rPr>
          <w:sz w:val="20"/>
          <w:szCs w:val="20"/>
          <w:color w:val="auto"/>
        </w:rPr>
      </w:pPr>
    </w:p>
    <w:p>
      <w:pPr>
        <w:jc w:val="both"/>
        <w:ind w:firstLine="312"/>
        <w:spacing w:after="0" w:line="227" w:lineRule="auto"/>
        <w:rPr>
          <w:sz w:val="20"/>
          <w:szCs w:val="20"/>
          <w:color w:val="auto"/>
        </w:rPr>
      </w:pPr>
      <w:r>
        <w:rPr>
          <w:rFonts w:ascii="Times New Roman" w:cs="Times New Roman" w:eastAsia="Times New Roman" w:hAnsi="Times New Roman"/>
          <w:sz w:val="17"/>
          <w:szCs w:val="17"/>
          <w:color w:val="auto"/>
        </w:rPr>
        <w:t>Each whole public warrant entitles the registered holder to purchase one share of our Class A common stock at a price of $11.50 per whole share, subject to adjustment as discussed below, at any time commencing on the later of 12 months from the closing of CMLS’s initial public offering (“IPO”) or 30 days after the</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completion of the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CMLS’ initial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combination, at 5:00 p.m., New York City time, or earlier upon redemption or liquidation.</w:t>
      </w:r>
    </w:p>
    <w:p>
      <w:pPr>
        <w:spacing w:after="0" w:line="110" w:lineRule="exact"/>
        <w:rPr>
          <w:sz w:val="20"/>
          <w:szCs w:val="20"/>
          <w:color w:val="auto"/>
        </w:rPr>
      </w:pPr>
    </w:p>
    <w:p>
      <w:pPr>
        <w:jc w:val="both"/>
        <w:ind w:firstLine="312"/>
        <w:spacing w:after="0" w:line="227" w:lineRule="auto"/>
        <w:rPr>
          <w:sz w:val="20"/>
          <w:szCs w:val="20"/>
          <w:color w:val="auto"/>
        </w:rPr>
      </w:pPr>
      <w:r>
        <w:rPr>
          <w:rFonts w:ascii="Times New Roman" w:cs="Times New Roman" w:eastAsia="Times New Roman" w:hAnsi="Times New Roman"/>
          <w:sz w:val="17"/>
          <w:szCs w:val="17"/>
          <w:color w:val="auto"/>
        </w:rPr>
        <w:t>We are not obligated to deliver any shares of common stock pursuant to the exercise of a public warrant and will have no obligation to settle such public warrant exercise unless a registration statement under the Securities Act of 1933, as amended (the “Securities Act”) with respect to the shares of common stock</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price for the unit solely for the share of common stock underlying such unit.</w:t>
      </w:r>
    </w:p>
    <w:p>
      <w:pPr>
        <w:spacing w:after="0" w:line="108" w:lineRule="exact"/>
        <w:rPr>
          <w:sz w:val="20"/>
          <w:szCs w:val="20"/>
          <w:color w:val="auto"/>
        </w:rPr>
      </w:pPr>
    </w:p>
    <w:p>
      <w:pPr>
        <w:jc w:val="both"/>
        <w:ind w:firstLine="312"/>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Redemption of Warrants When the Price per Share of Class A Common Stock Equals or Exceeds $18.00 - </w:t>
      </w:r>
      <w:r>
        <w:rPr>
          <w:rFonts w:ascii="Times New Roman" w:cs="Times New Roman" w:eastAsia="Times New Roman" w:hAnsi="Times New Roman"/>
          <w:sz w:val="17"/>
          <w:szCs w:val="17"/>
          <w:color w:val="auto"/>
        </w:rPr>
        <w:t>Once the warrants become exercisable, we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redeem the outstanding public warrants:</w:t>
      </w:r>
    </w:p>
    <w:p>
      <w:pPr>
        <w:spacing w:after="0" w:line="105" w:lineRule="exact"/>
        <w:rPr>
          <w:sz w:val="20"/>
          <w:szCs w:val="20"/>
          <w:color w:val="auto"/>
        </w:rPr>
      </w:pPr>
    </w:p>
    <w:p>
      <w:pPr>
        <w:ind w:left="600" w:hanging="284"/>
        <w:spacing w:after="0"/>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129" w:lineRule="exact"/>
        <w:rPr>
          <w:rFonts w:ascii="Times New Roman" w:cs="Times New Roman" w:eastAsia="Times New Roman" w:hAnsi="Times New Roman"/>
          <w:sz w:val="17"/>
          <w:szCs w:val="17"/>
          <w:color w:val="auto"/>
        </w:rPr>
      </w:pPr>
    </w:p>
    <w:p>
      <w:pPr>
        <w:ind w:left="600" w:hanging="284"/>
        <w:spacing w:after="0"/>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129" w:lineRule="exact"/>
        <w:rPr>
          <w:rFonts w:ascii="Times New Roman" w:cs="Times New Roman" w:eastAsia="Times New Roman" w:hAnsi="Times New Roman"/>
          <w:sz w:val="17"/>
          <w:szCs w:val="17"/>
          <w:color w:val="auto"/>
        </w:rPr>
      </w:pPr>
    </w:p>
    <w:p>
      <w:pPr>
        <w:ind w:left="600" w:hanging="284"/>
        <w:spacing w:after="0"/>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 and</w:t>
      </w:r>
    </w:p>
    <w:p>
      <w:pPr>
        <w:spacing w:after="0" w:line="142" w:lineRule="exact"/>
        <w:rPr>
          <w:rFonts w:ascii="Times New Roman" w:cs="Times New Roman" w:eastAsia="Times New Roman" w:hAnsi="Times New Roman"/>
          <w:sz w:val="17"/>
          <w:szCs w:val="17"/>
          <w:color w:val="auto"/>
        </w:rPr>
      </w:pPr>
    </w:p>
    <w:p>
      <w:pPr>
        <w:ind w:left="620" w:hanging="304"/>
        <w:spacing w:after="0" w:line="245" w:lineRule="auto"/>
        <w:tabs>
          <w:tab w:leader="none" w:pos="65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95" w:lineRule="exact"/>
        <w:rPr>
          <w:sz w:val="20"/>
          <w:szCs w:val="20"/>
          <w:color w:val="auto"/>
        </w:rPr>
      </w:pPr>
    </w:p>
    <w:p>
      <w:pPr>
        <w:ind w:firstLine="312"/>
        <w:spacing w:after="0" w:line="245" w:lineRule="auto"/>
        <w:rPr>
          <w:sz w:val="20"/>
          <w:szCs w:val="20"/>
          <w:color w:val="auto"/>
        </w:rPr>
      </w:pPr>
      <w:r>
        <w:rPr>
          <w:rFonts w:ascii="Times New Roman" w:cs="Times New Roman" w:eastAsia="Times New Roman" w:hAnsi="Times New Roman"/>
          <w:sz w:val="17"/>
          <w:szCs w:val="17"/>
          <w:color w:val="auto"/>
        </w:rPr>
        <w:t>If and when the warrants become redeemable by us, we may exercise its redemption right even if it is unable to register or qualify the underlying securities for sale under all applicable state securities laws.</w:t>
      </w:r>
    </w:p>
    <w:p>
      <w:pPr>
        <w:spacing w:after="0" w:line="106" w:lineRule="exact"/>
        <w:rPr>
          <w:sz w:val="20"/>
          <w:szCs w:val="20"/>
          <w:color w:val="auto"/>
        </w:rPr>
      </w:pPr>
    </w:p>
    <w:p>
      <w:pPr>
        <w:ind w:firstLine="312"/>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Redemption of Warrants When the Price per Share of Class A Common Stock Equals or Exceeds $10.00 </w:t>
      </w:r>
      <w:r>
        <w:rPr>
          <w:rFonts w:ascii="Times New Roman" w:cs="Times New Roman" w:eastAsia="Times New Roman" w:hAnsi="Times New Roman"/>
          <w:sz w:val="17"/>
          <w:szCs w:val="17"/>
          <w:color w:val="auto"/>
        </w:rPr>
        <w:t>- Once the warrants become exercisable, we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redeem the outstanding warrants:</w:t>
      </w:r>
    </w:p>
    <w:p>
      <w:pPr>
        <w:spacing w:after="0" w:line="92" w:lineRule="exact"/>
        <w:rPr>
          <w:sz w:val="20"/>
          <w:szCs w:val="20"/>
          <w:color w:val="auto"/>
        </w:rPr>
      </w:pPr>
    </w:p>
    <w:p>
      <w:pPr>
        <w:ind w:left="600" w:hanging="284"/>
        <w:spacing w:after="0"/>
        <w:tabs>
          <w:tab w:leader="none" w:pos="6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ectPr>
          <w:pgSz w:w="11900" w:h="16838" w:orient="portrait"/>
          <w:cols w:equalWidth="0" w:num="1">
            <w:col w:w="11240"/>
          </w:cols>
          <w:pgMar w:left="320" w:top="1357" w:right="339" w:bottom="1440" w:gutter="0" w:footer="0" w:header="0"/>
        </w:sectPr>
      </w:pPr>
    </w:p>
    <w:bookmarkStart w:id="154" w:name="page155"/>
    <w:bookmarkEnd w:id="154"/>
    <w:p>
      <w:pPr>
        <w:jc w:val="both"/>
        <w:ind w:left="620" w:hanging="304"/>
        <w:spacing w:after="0"/>
        <w:tabs>
          <w:tab w:leader="none" w:pos="63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85" w:lineRule="exact"/>
        <w:rPr>
          <w:rFonts w:ascii="Times New Roman" w:cs="Times New Roman" w:eastAsia="Times New Roman" w:hAnsi="Times New Roman"/>
          <w:sz w:val="17"/>
          <w:szCs w:val="17"/>
          <w:color w:val="auto"/>
        </w:rPr>
      </w:pPr>
    </w:p>
    <w:p>
      <w:pPr>
        <w:ind w:left="620" w:hanging="304"/>
        <w:spacing w:after="0" w:line="245" w:lineRule="auto"/>
        <w:tabs>
          <w:tab w:leader="none" w:pos="63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08" w:lineRule="exact"/>
        <w:rPr>
          <w:rFonts w:ascii="Times New Roman" w:cs="Times New Roman" w:eastAsia="Times New Roman" w:hAnsi="Times New Roman"/>
          <w:sz w:val="17"/>
          <w:szCs w:val="17"/>
          <w:color w:val="auto"/>
        </w:rPr>
      </w:pPr>
    </w:p>
    <w:p>
      <w:pPr>
        <w:jc w:val="both"/>
        <w:ind w:left="620" w:hanging="304"/>
        <w:spacing w:after="0" w:line="231" w:lineRule="auto"/>
        <w:tabs>
          <w:tab w:leader="none" w:pos="58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closing price of the Class A common stock for any 20 trading days within a 30-trading day period ending three trading days before we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2" w:lineRule="exact"/>
        <w:rPr>
          <w:sz w:val="20"/>
          <w:szCs w:val="20"/>
          <w:color w:val="auto"/>
        </w:rPr>
      </w:pPr>
    </w:p>
    <w:p>
      <w:pPr>
        <w:jc w:val="both"/>
        <w:ind w:firstLine="312"/>
        <w:spacing w:after="0" w:line="221" w:lineRule="auto"/>
        <w:rPr>
          <w:sz w:val="20"/>
          <w:szCs w:val="20"/>
          <w:color w:val="auto"/>
        </w:rPr>
      </w:pPr>
      <w:r>
        <w:rPr>
          <w:rFonts w:ascii="Times New Roman" w:cs="Times New Roman" w:eastAsia="Times New Roman" w:hAnsi="Times New Roman"/>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w:t>
      </w:r>
    </w:p>
    <w:p>
      <w:pPr>
        <w:spacing w:after="0"/>
        <w:rPr>
          <w:sz w:val="20"/>
          <w:szCs w:val="20"/>
          <w:color w:val="auto"/>
        </w:rPr>
      </w:pPr>
      <w:r>
        <w:rPr>
          <w:rFonts w:ascii="Times New Roman" w:cs="Times New Roman" w:eastAsia="Times New Roman" w:hAnsi="Times New Roman"/>
          <w:sz w:val="17"/>
          <w:szCs w:val="17"/>
          <w:color w:val="auto"/>
        </w:rPr>
        <w:t>$18.00 redemption trigger price as well as the $11.50 warrant exercise price after the redemption notice is issued.</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Redemption procedures and cashless exercise.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we call the public warrants for redemption as described above, our management will have the option to require any holder that wishes to exercise his, her</w:t>
      </w:r>
    </w:p>
    <w:p>
      <w:pPr>
        <w:spacing w:after="0" w:line="7"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the Sponsor and its permitted transferees would still be entitled to exercise their private placement</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holder of a public warrant may notify us in writing in the event it elects to be subject to a requirement that such holder will not have the right to exercise</w:t>
      </w:r>
    </w:p>
    <w:p>
      <w:pPr>
        <w:spacing w:after="0" w:line="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12" w:lineRule="exact"/>
        <w:rPr>
          <w:sz w:val="20"/>
          <w:szCs w:val="20"/>
          <w:color w:val="auto"/>
        </w:rPr>
      </w:pPr>
    </w:p>
    <w:p>
      <w:pPr>
        <w:jc w:val="both"/>
        <w:ind w:firstLine="312"/>
        <w:spacing w:after="0" w:line="218" w:lineRule="auto"/>
        <w:rPr>
          <w:sz w:val="20"/>
          <w:szCs w:val="20"/>
          <w:color w:val="auto"/>
        </w:rPr>
      </w:pPr>
      <w:r>
        <w:rPr>
          <w:rFonts w:ascii="Times New Roman" w:cs="Times New Roman" w:eastAsia="Times New Roman" w:hAnsi="Times New Roman"/>
          <w:sz w:val="17"/>
          <w:szCs w:val="17"/>
          <w:i w:val="1"/>
          <w:iCs w:val="1"/>
          <w:color w:val="auto"/>
        </w:rPr>
        <w:t xml:space="preserve">Anti-dilution Adjustments. </w:t>
      </w:r>
      <w:r>
        <w:rPr>
          <w:rFonts w:ascii="Times New Roman" w:cs="Times New Roman" w:eastAsia="Times New Roman" w:hAnsi="Times New Roman"/>
          <w:sz w:val="17"/>
          <w:szCs w:val="17"/>
          <w:color w:val="auto"/>
        </w:rPr>
        <w:t>If the number of outstanding shares of common stock is increased by a stock dividend payable in shares of common stock, or by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for securities convertible into or exercisable for common stock, in determining the price payable for common stock, there will be taken into account any consideration received for such rights, as well as any additional amount payable upon exercise or conversion and (2) fair market value means the volume weighted average price of common stock as reported during the 10 trading day period ending on the trading day prior to the first date on which the shares of</w:t>
      </w:r>
    </w:p>
    <w:p>
      <w:pPr>
        <w:sectPr>
          <w:pgSz w:w="11900" w:h="16838" w:orient="portrait"/>
          <w:cols w:equalWidth="0" w:num="1">
            <w:col w:w="11240"/>
          </w:cols>
          <w:pgMar w:left="320" w:top="135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color w:val="auto"/>
        </w:rPr>
        <w:t>common stock trade on the applicable exchange or in the applicable market, regular way, without the right to receive such rights.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if we, at any time while the public warrants are outstanding and unexpired, pay a dividend or make a distribution in cash, securities or other</w:t>
      </w:r>
    </w:p>
    <w:p>
      <w:pPr>
        <w:spacing w:after="0" w:line="7"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vote to amend our current certificate of incorporation to modify the substance or timing of our obligation to redeem 100% of our public shares if we do not complete a business combination within 24 months from the closing of CMLS’s IPO, or (v) in connection with the redemption of our public shares upon our failure to complete our initial business combination, then the warrant exercise price will be decreased, effective immediately after the effective date of such event,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amount of cash and/or the fair market value of any securities or other assets paid on each share of common stock in respect of such event.</w:t>
      </w:r>
    </w:p>
    <w:p>
      <w:pPr>
        <w:spacing w:after="0" w:line="110" w:lineRule="exact"/>
        <w:rPr>
          <w:sz w:val="20"/>
          <w:szCs w:val="20"/>
          <w:color w:val="auto"/>
        </w:rPr>
      </w:pPr>
    </w:p>
    <w:p>
      <w:pPr>
        <w:jc w:val="both"/>
        <w:ind w:firstLine="312"/>
        <w:spacing w:after="0" w:line="227" w:lineRule="auto"/>
        <w:rPr>
          <w:sz w:val="20"/>
          <w:szCs w:val="20"/>
          <w:color w:val="auto"/>
        </w:rPr>
      </w:pPr>
      <w:r>
        <w:rPr>
          <w:rFonts w:ascii="Times New Roman" w:cs="Times New Roman" w:eastAsia="Times New Roman" w:hAnsi="Times New Roman"/>
          <w:sz w:val="17"/>
          <w:szCs w:val="17"/>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number of shares of common stock issuable on exercise of each public warrant will be decreased in proportion to such decrease in outstanding shares of common stock.</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Whenever the number of shares of common stock purchasable upon the exercise of the public warrants is adjusted, as described above, the warrant exercise</w:t>
      </w:r>
    </w:p>
    <w:p>
      <w:pPr>
        <w:spacing w:after="0" w:line="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14" w:lineRule="exact"/>
        <w:rPr>
          <w:sz w:val="20"/>
          <w:szCs w:val="20"/>
          <w:color w:val="auto"/>
        </w:rPr>
      </w:pPr>
    </w:p>
    <w:p>
      <w:pPr>
        <w:jc w:val="both"/>
        <w:ind w:firstLine="312"/>
        <w:spacing w:after="0" w:line="221"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w:t>
      </w:r>
    </w:p>
    <w:p>
      <w:pPr>
        <w:jc w:val="both"/>
        <w:spacing w:after="0" w:line="212" w:lineRule="auto"/>
        <w:rPr>
          <w:sz w:val="20"/>
          <w:szCs w:val="20"/>
          <w:color w:val="auto"/>
        </w:rPr>
      </w:pPr>
      <w:r>
        <w:rPr>
          <w:rFonts w:ascii="Times New Roman" w:cs="Times New Roman" w:eastAsia="Times New Roman" w:hAnsi="Times New Roman"/>
          <w:sz w:val="17"/>
          <w:szCs w:val="17"/>
          <w:color w:val="auto"/>
        </w:rPr>
        <w:t>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common stock in</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agreement based on the per share consideration minus Black-Scholes Warrant Value (as defined in the warrant agreement) of the public warrant.</w:t>
      </w:r>
    </w:p>
    <w:p>
      <w:pPr>
        <w:spacing w:after="0" w:line="110" w:lineRule="exact"/>
        <w:rPr>
          <w:sz w:val="20"/>
          <w:szCs w:val="20"/>
          <w:color w:val="auto"/>
        </w:rPr>
      </w:pPr>
    </w:p>
    <w:p>
      <w:pPr>
        <w:jc w:val="both"/>
        <w:ind w:firstLine="312"/>
        <w:spacing w:after="0" w:line="227" w:lineRule="auto"/>
        <w:rPr>
          <w:sz w:val="20"/>
          <w:szCs w:val="20"/>
          <w:color w:val="auto"/>
        </w:rPr>
      </w:pPr>
      <w:r>
        <w:rPr>
          <w:rFonts w:ascii="Times New Roman" w:cs="Times New Roman" w:eastAsia="Times New Roman" w:hAnsi="Times New Roman"/>
          <w:sz w:val="17"/>
          <w:szCs w:val="17"/>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CMLS’s IPO, for a complete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w:t>
      </w:r>
    </w:p>
    <w:p>
      <w:pPr>
        <w:spacing w:after="0" w:line="7"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After the issuance of shares of common stock upon exercise of the public warrants, each holder will be entitled to one vote for each share held of record on all matters to be voted on by stockholders.</w:t>
      </w:r>
    </w:p>
    <w:p>
      <w:pPr>
        <w:sectPr>
          <w:pgSz w:w="11900" w:h="16838" w:orient="portrait"/>
          <w:cols w:equalWidth="0" w:num="1">
            <w:col w:w="11240"/>
          </w:cols>
          <w:pgMar w:left="320" w:top="1357" w:right="339" w:bottom="1440" w:gutter="0" w:footer="0" w:header="0"/>
        </w:sectPr>
      </w:pPr>
    </w:p>
    <w:bookmarkStart w:id="156" w:name="page157"/>
    <w:bookmarkEnd w:id="156"/>
    <w:p>
      <w:pPr>
        <w:jc w:val="both"/>
        <w:ind w:firstLine="312"/>
        <w:spacing w:after="0" w:line="227" w:lineRule="auto"/>
        <w:rPr>
          <w:sz w:val="20"/>
          <w:szCs w:val="20"/>
          <w:color w:val="auto"/>
        </w:rPr>
      </w:pPr>
      <w:r>
        <w:rPr>
          <w:rFonts w:ascii="Times New Roman" w:cs="Times New Roman" w:eastAsia="Times New Roman" w:hAnsi="Times New Roman"/>
          <w:sz w:val="17"/>
          <w:szCs w:val="17"/>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147" w:lineRule="exact"/>
        <w:rPr>
          <w:sz w:val="20"/>
          <w:szCs w:val="20"/>
          <w:color w:val="auto"/>
        </w:rPr>
      </w:pPr>
    </w:p>
    <w:p>
      <w:pPr>
        <w:jc w:val="both"/>
        <w:ind w:firstLine="312"/>
        <w:spacing w:after="0" w:line="221" w:lineRule="auto"/>
        <w:rPr>
          <w:sz w:val="20"/>
          <w:szCs w:val="20"/>
          <w:color w:val="auto"/>
        </w:rPr>
      </w:pPr>
      <w:r>
        <w:rPr>
          <w:rFonts w:ascii="Times New Roman" w:cs="Times New Roman" w:eastAsia="Times New Roman" w:hAnsi="Times New Roman"/>
          <w:sz w:val="17"/>
          <w:szCs w:val="17"/>
          <w:color w:val="auto"/>
        </w:rPr>
        <w:t>The private placement warrants are identical to the public warrants underlying the units sold in CMLS’s IPO, except that (1) the private placement warrants and the Class A common stock issuable upon the exercise of the private placement warrants will not be transferable, assignable or saleable until 30 days after the completion of the Business Combination, subject to certain limited exceptions, (2) the private placement warrants will be exercisable on a cashless basis, (3) the</w:t>
      </w:r>
    </w:p>
    <w:p>
      <w:pPr>
        <w:jc w:val="both"/>
        <w:spacing w:after="0" w:line="212" w:lineRule="auto"/>
        <w:rPr>
          <w:sz w:val="20"/>
          <w:szCs w:val="20"/>
          <w:color w:val="auto"/>
        </w:rPr>
      </w:pPr>
      <w:r>
        <w:rPr>
          <w:rFonts w:ascii="Times New Roman" w:cs="Times New Roman" w:eastAsia="Times New Roman" w:hAnsi="Times New Roman"/>
          <w:sz w:val="17"/>
          <w:szCs w:val="17"/>
          <w:color w:val="auto"/>
        </w:rPr>
        <w:t>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are held by someone other than the initial purchasers or their permitted transferees, the private placement warrants will be redeemable by us and exercisable by such holders on the same basis as the public warrants.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45" w:lineRule="exact"/>
        <w:rPr>
          <w:sz w:val="20"/>
          <w:szCs w:val="20"/>
          <w:color w:val="auto"/>
        </w:rPr>
      </w:pPr>
    </w:p>
    <w:p>
      <w:pPr>
        <w:jc w:val="both"/>
        <w:ind w:firstLine="312"/>
        <w:spacing w:after="0" w:line="221" w:lineRule="auto"/>
        <w:rPr>
          <w:sz w:val="20"/>
          <w:szCs w:val="20"/>
          <w:color w:val="auto"/>
        </w:rPr>
      </w:pPr>
      <w:r>
        <w:rPr>
          <w:rFonts w:ascii="Times New Roman" w:cs="Times New Roman" w:eastAsia="Times New Roman" w:hAnsi="Times New Roman"/>
          <w:sz w:val="17"/>
          <w:szCs w:val="17"/>
          <w:color w:val="auto"/>
        </w:rPr>
        <w:t>We have not paid any cash dividends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 declaring any stock dividends in the</w:t>
      </w:r>
    </w:p>
    <w:p>
      <w:pPr>
        <w:jc w:val="both"/>
        <w:spacing w:after="0" w:line="230" w:lineRule="auto"/>
        <w:rPr>
          <w:sz w:val="20"/>
          <w:szCs w:val="20"/>
          <w:color w:val="auto"/>
        </w:rPr>
      </w:pPr>
      <w:r>
        <w:rPr>
          <w:rFonts w:ascii="Times New Roman" w:cs="Times New Roman" w:eastAsia="Times New Roman" w:hAnsi="Times New Roman"/>
          <w:sz w:val="17"/>
          <w:szCs w:val="17"/>
          <w:color w:val="auto"/>
        </w:rPr>
        <w:t>foreseeable future. Further, if we incur any indebtedness, our ability to declare dividends may be limited by restrictive covenants we may agree to in connection therewith.</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Warrant Agent</w:t>
      </w:r>
    </w:p>
    <w:p>
      <w:pPr>
        <w:spacing w:after="0" w:line="145" w:lineRule="exact"/>
        <w:rPr>
          <w:sz w:val="20"/>
          <w:szCs w:val="20"/>
          <w:color w:val="auto"/>
        </w:rPr>
      </w:pPr>
    </w:p>
    <w:p>
      <w:pPr>
        <w:jc w:val="both"/>
        <w:ind w:firstLine="312"/>
        <w:spacing w:after="0" w:line="221" w:lineRule="auto"/>
        <w:rPr>
          <w:sz w:val="20"/>
          <w:szCs w:val="20"/>
          <w:color w:val="auto"/>
        </w:rPr>
      </w:pPr>
      <w:r>
        <w:rPr>
          <w:rFonts w:ascii="Times New Roman" w:cs="Times New Roman" w:eastAsia="Times New Roman" w:hAnsi="Times New Roman"/>
          <w:sz w:val="17"/>
          <w:szCs w:val="17"/>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w:t>
      </w:r>
    </w:p>
    <w:p>
      <w:pPr>
        <w:spacing w:after="0"/>
        <w:rPr>
          <w:sz w:val="20"/>
          <w:szCs w:val="20"/>
          <w:color w:val="auto"/>
        </w:rPr>
      </w:pPr>
      <w:r>
        <w:rPr>
          <w:rFonts w:ascii="Times New Roman" w:cs="Times New Roman" w:eastAsia="Times New Roman" w:hAnsi="Times New Roman"/>
          <w:sz w:val="17"/>
          <w:szCs w:val="17"/>
          <w:color w:val="auto"/>
        </w:rPr>
        <w:t>capacity, except for any liability due to any gross negligence, willful misconduct or bad faith of the indemnified person or entity.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Delaware Law and Our Amended and Restated Certificate of Incorporation and Bylaws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Provisions of the DGCL and our Amended and Restated Certificate of Incorporation could make it more difficult to acquire us by means of a tender offer, a</w:t>
      </w:r>
    </w:p>
    <w:p>
      <w:pPr>
        <w:spacing w:after="0" w:line="7"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our Amended and Restated Certificate of Incorporation provides for certain other provisions that may have an anti-takeover effect:</w:t>
      </w:r>
    </w:p>
    <w:p>
      <w:pPr>
        <w:spacing w:after="0" w:line="130" w:lineRule="exact"/>
        <w:rPr>
          <w:sz w:val="20"/>
          <w:szCs w:val="20"/>
          <w:color w:val="auto"/>
        </w:rPr>
      </w:pPr>
    </w:p>
    <w:p>
      <w:pPr>
        <w:ind w:left="600" w:hanging="284"/>
        <w:spacing w:after="0"/>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cumulative voting with respect to the election of directors.</w:t>
      </w:r>
    </w:p>
    <w:p>
      <w:pPr>
        <w:spacing w:after="0" w:line="129" w:lineRule="exact"/>
        <w:rPr>
          <w:rFonts w:ascii="Times New Roman" w:cs="Times New Roman" w:eastAsia="Times New Roman" w:hAnsi="Times New Roman"/>
          <w:sz w:val="17"/>
          <w:szCs w:val="17"/>
          <w:color w:val="auto"/>
        </w:rPr>
      </w:pPr>
    </w:p>
    <w:p>
      <w:pPr>
        <w:ind w:left="620" w:hanging="304"/>
        <w:spacing w:after="0" w:line="245" w:lineRule="auto"/>
        <w:tabs>
          <w:tab w:leader="none" w:pos="61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is empowered to elect a director to fill a vacancy created by the expansion of the Board or the resignation, death, or removal of a director in certain circumstances.</w:t>
      </w:r>
    </w:p>
    <w:p>
      <w:pPr>
        <w:spacing w:after="0" w:line="108" w:lineRule="exact"/>
        <w:rPr>
          <w:rFonts w:ascii="Times New Roman" w:cs="Times New Roman" w:eastAsia="Times New Roman" w:hAnsi="Times New Roman"/>
          <w:sz w:val="17"/>
          <w:szCs w:val="17"/>
          <w:color w:val="auto"/>
        </w:rPr>
      </w:pPr>
    </w:p>
    <w:p>
      <w:pPr>
        <w:ind w:left="600" w:hanging="284"/>
        <w:spacing w:after="0"/>
        <w:tabs>
          <w:tab w:leader="none" w:pos="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may only be removed from the Board for cause.</w:t>
      </w:r>
    </w:p>
    <w:p>
      <w:pPr>
        <w:spacing w:after="0" w:line="129" w:lineRule="exact"/>
        <w:rPr>
          <w:rFonts w:ascii="Times New Roman" w:cs="Times New Roman" w:eastAsia="Times New Roman" w:hAnsi="Times New Roman"/>
          <w:sz w:val="17"/>
          <w:szCs w:val="17"/>
          <w:color w:val="auto"/>
        </w:rPr>
      </w:pPr>
    </w:p>
    <w:p>
      <w:pPr>
        <w:ind w:left="620" w:hanging="304"/>
        <w:spacing w:after="0" w:line="245" w:lineRule="auto"/>
        <w:tabs>
          <w:tab w:leader="none" w:pos="63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will be classified into three classes of directors. As a result, in most circumstances, a person can gain control of our Board by successfully engaging in a proxy contest at two or more annual meetings.</w:t>
      </w:r>
    </w:p>
    <w:p>
      <w:pPr>
        <w:sectPr>
          <w:pgSz w:w="11900" w:h="16838" w:orient="portrait"/>
          <w:cols w:equalWidth="0" w:num="1">
            <w:col w:w="11240"/>
          </w:cols>
          <w:pgMar w:left="320" w:top="1357" w:right="339" w:bottom="1440" w:gutter="0" w:footer="0" w:header="0"/>
        </w:sectPr>
      </w:pPr>
    </w:p>
    <w:bookmarkStart w:id="157" w:name="page158"/>
    <w:bookmarkEnd w:id="157"/>
    <w:p>
      <w:pPr>
        <w:ind w:left="580" w:hanging="264"/>
        <w:spacing w:after="0"/>
        <w:tabs>
          <w:tab w:leader="none" w:pos="5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 by written consent, which forces stockholder action to be taken at an annual or special meeting of our stockholders.</w:t>
      </w:r>
    </w:p>
    <w:p>
      <w:pPr>
        <w:spacing w:after="0" w:line="129" w:lineRule="exact"/>
        <w:rPr>
          <w:rFonts w:ascii="Times New Roman" w:cs="Times New Roman" w:eastAsia="Times New Roman" w:hAnsi="Times New Roman"/>
          <w:sz w:val="17"/>
          <w:szCs w:val="17"/>
          <w:color w:val="auto"/>
        </w:rPr>
      </w:pPr>
    </w:p>
    <w:p>
      <w:pPr>
        <w:ind w:left="620" w:hanging="304"/>
        <w:spacing w:after="0" w:line="261" w:lineRule="auto"/>
        <w:tabs>
          <w:tab w:leader="none" w:pos="5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82" w:lineRule="exact"/>
        <w:rPr>
          <w:rFonts w:ascii="Times New Roman" w:cs="Times New Roman" w:eastAsia="Times New Roman" w:hAnsi="Times New Roman"/>
          <w:sz w:val="17"/>
          <w:szCs w:val="17"/>
          <w:color w:val="auto"/>
        </w:rPr>
      </w:pPr>
    </w:p>
    <w:p>
      <w:pPr>
        <w:ind w:left="620" w:hanging="304"/>
        <w:spacing w:after="0" w:line="224" w:lineRule="auto"/>
        <w:tabs>
          <w:tab w:leader="none" w:pos="54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Forum Selection Clause</w:t>
      </w:r>
    </w:p>
    <w:p>
      <w:pPr>
        <w:spacing w:after="0" w:line="132" w:lineRule="exact"/>
        <w:rPr>
          <w:sz w:val="20"/>
          <w:szCs w:val="20"/>
          <w:color w:val="auto"/>
        </w:rPr>
      </w:pPr>
    </w:p>
    <w:p>
      <w:pPr>
        <w:ind w:right="320" w:firstLine="312"/>
        <w:spacing w:after="0" w:line="247"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Bylaws include a forum selection clause. Our Amended and Restated Certificate of Incorporation and our Bylaws provide that, subject to limited exceptions, the Court of Chancery of the State of Delaware and federal court within the State of Delaware will be exclusive forums for any</w:t>
      </w:r>
    </w:p>
    <w:p>
      <w:pPr>
        <w:spacing w:after="0" w:line="2" w:lineRule="exact"/>
        <w:rPr>
          <w:sz w:val="20"/>
          <w:szCs w:val="20"/>
          <w:color w:val="auto"/>
        </w:rPr>
      </w:pPr>
    </w:p>
    <w:p>
      <w:pPr>
        <w:ind w:left="560" w:hanging="244"/>
        <w:spacing w:after="0"/>
        <w:tabs>
          <w:tab w:leader="none" w:pos="5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derivative action or proceeding brought on our behalf;</w:t>
      </w:r>
    </w:p>
    <w:p>
      <w:pPr>
        <w:spacing w:after="0" w:line="109" w:lineRule="exact"/>
        <w:rPr>
          <w:rFonts w:ascii="Times New Roman" w:cs="Times New Roman" w:eastAsia="Times New Roman" w:hAnsi="Times New Roman"/>
          <w:sz w:val="17"/>
          <w:szCs w:val="17"/>
          <w:color w:val="auto"/>
        </w:rPr>
      </w:pPr>
    </w:p>
    <w:p>
      <w:pPr>
        <w:ind w:left="620" w:hanging="304"/>
        <w:spacing w:after="0" w:line="245" w:lineRule="auto"/>
        <w:tabs>
          <w:tab w:leader="none" w:pos="56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 asserting a claim of breach of a fiduciary duty owed by, or other wrongdoing by, any of our directors, officers, stockholders, employees or agents to us or our stockholders;</w:t>
      </w:r>
    </w:p>
    <w:p>
      <w:pPr>
        <w:spacing w:after="0" w:line="108" w:lineRule="exact"/>
        <w:rPr>
          <w:rFonts w:ascii="Times New Roman" w:cs="Times New Roman" w:eastAsia="Times New Roman" w:hAnsi="Times New Roman"/>
          <w:sz w:val="17"/>
          <w:szCs w:val="17"/>
          <w:color w:val="auto"/>
        </w:rPr>
      </w:pPr>
    </w:p>
    <w:p>
      <w:pPr>
        <w:ind w:left="620" w:hanging="304"/>
        <w:spacing w:after="0" w:line="231" w:lineRule="auto"/>
        <w:tabs>
          <w:tab w:leader="none" w:pos="54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 asserting a claim against us or any of our directors, officers, stockholders, employees or agents arising pursuant to any provision of the DGCL, our Amended and Restated Certificate of Incorporation or our Bylaws or as to which the DGCL confers jurisdiction on the Court of Chancery of the State of Delaware;</w:t>
      </w:r>
    </w:p>
    <w:p>
      <w:pPr>
        <w:spacing w:after="0" w:line="112" w:lineRule="exact"/>
        <w:rPr>
          <w:rFonts w:ascii="Times New Roman" w:cs="Times New Roman" w:eastAsia="Times New Roman" w:hAnsi="Times New Roman"/>
          <w:sz w:val="17"/>
          <w:szCs w:val="17"/>
          <w:color w:val="auto"/>
        </w:rPr>
      </w:pPr>
    </w:p>
    <w:p>
      <w:pPr>
        <w:ind w:left="560" w:hanging="244"/>
        <w:spacing w:after="0"/>
        <w:tabs>
          <w:tab w:leader="none" w:pos="5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 to interpret, apply, enforce or determine the validity of our Amended and Restated Certificate of Incorporation or our Bylaws; or</w:t>
      </w:r>
    </w:p>
    <w:p>
      <w:pPr>
        <w:spacing w:after="0" w:line="129" w:lineRule="exact"/>
        <w:rPr>
          <w:rFonts w:ascii="Times New Roman" w:cs="Times New Roman" w:eastAsia="Times New Roman" w:hAnsi="Times New Roman"/>
          <w:sz w:val="17"/>
          <w:szCs w:val="17"/>
          <w:color w:val="auto"/>
        </w:rPr>
      </w:pPr>
    </w:p>
    <w:p>
      <w:pPr>
        <w:ind w:left="620" w:hanging="304"/>
        <w:spacing w:after="0" w:line="242" w:lineRule="auto"/>
        <w:tabs>
          <w:tab w:leader="none" w:pos="62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action asserting a claim against us or any of our directors, officers, stockholders, employees or agents that is governed by the internal affairs doctrine.</w:t>
      </w:r>
    </w:p>
    <w:p>
      <w:pPr>
        <w:spacing w:after="0" w:line="323" w:lineRule="exact"/>
        <w:rPr>
          <w:sz w:val="20"/>
          <w:szCs w:val="20"/>
          <w:color w:val="auto"/>
        </w:rPr>
      </w:pPr>
    </w:p>
    <w:p>
      <w:pPr>
        <w:ind w:right="80" w:firstLine="312"/>
        <w:spacing w:after="0" w:line="248" w:lineRule="auto"/>
        <w:rPr>
          <w:sz w:val="20"/>
          <w:szCs w:val="20"/>
          <w:color w:val="auto"/>
        </w:rPr>
      </w:pPr>
      <w:r>
        <w:rPr>
          <w:rFonts w:ascii="Times New Roman" w:cs="Times New Roman" w:eastAsia="Times New Roman" w:hAnsi="Times New Roman"/>
          <w:sz w:val="17"/>
          <w:szCs w:val="17"/>
          <w:color w:val="auto"/>
        </w:rPr>
        <w:t>These choice of forum provisions do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Times New Roman" w:cs="Times New Roman" w:eastAsia="Times New Roman" w:hAnsi="Times New Roman"/>
          <w:sz w:val="17"/>
          <w:szCs w:val="17"/>
          <w:i w:val="1"/>
          <w:iCs w:val="1"/>
          <w:u w:val="single" w:color="auto"/>
          <w:color w:val="0000FF"/>
        </w:rPr>
        <w:t>Risk Factors</w:t>
      </w:r>
      <w:r>
        <w:rPr>
          <w:rFonts w:ascii="Times New Roman" w:cs="Times New Roman" w:eastAsia="Times New Roman" w:hAnsi="Times New Roman"/>
          <w:sz w:val="17"/>
          <w:szCs w:val="17"/>
          <w:i w:val="1"/>
          <w:iCs w:val="1"/>
          <w:color w:val="auto"/>
        </w:rPr>
        <w:t xml:space="preserve"> - Our Charter and our Bylaws designate the Court of</w:t>
      </w:r>
    </w:p>
    <w:p>
      <w:pPr>
        <w:spacing w:after="0" w:line="3"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 </w:t>
      </w:r>
      <w:r>
        <w:rPr>
          <w:rFonts w:ascii="Times New Roman" w:cs="Times New Roman" w:eastAsia="Times New Roman" w:hAnsi="Times New Roman"/>
          <w:sz w:val="17"/>
          <w:szCs w:val="17"/>
          <w:color w:val="auto"/>
        </w:rPr>
        <w:t>in the Annual Report on Form 10-K of which this Exhibit 4.4 is a part 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 of Securities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common stock and warrants are listed on Nasdaq under the symbols “WGS” and “WGSWW,” respectively.</w:t>
      </w:r>
    </w:p>
    <w:p>
      <w:pPr>
        <w:sectPr>
          <w:pgSz w:w="11900" w:h="16838" w:orient="portrait"/>
          <w:cols w:equalWidth="0" w:num="1">
            <w:col w:w="11240"/>
          </w:cols>
          <w:pgMar w:left="320" w:top="135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1"/>
          <w:szCs w:val="21"/>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175" w:lineRule="exact"/>
        <w:rPr>
          <w:sz w:val="20"/>
          <w:szCs w:val="20"/>
          <w:color w:val="auto"/>
        </w:rPr>
      </w:pPr>
    </w:p>
    <w:p>
      <w:pPr>
        <w:jc w:val="both"/>
        <w:ind w:firstLine="625"/>
        <w:spacing w:after="0"/>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dated as of January 14, 2022, is by and between Sema4 Holdings Corp. (the “</w:t>
      </w:r>
      <w:r>
        <w:rPr>
          <w:rFonts w:ascii="Times New Roman" w:cs="Times New Roman" w:eastAsia="Times New Roman" w:hAnsi="Times New Roman"/>
          <w:sz w:val="21"/>
          <w:szCs w:val="21"/>
          <w:b w:val="1"/>
          <w:bCs w:val="1"/>
          <w:i w:val="1"/>
          <w:iCs w:val="1"/>
          <w:color w:val="auto"/>
        </w:rPr>
        <w:t>Corporation</w:t>
      </w:r>
      <w:r>
        <w:rPr>
          <w:rFonts w:ascii="Times New Roman" w:cs="Times New Roman" w:eastAsia="Times New Roman" w:hAnsi="Times New Roman"/>
          <w:sz w:val="21"/>
          <w:szCs w:val="21"/>
          <w:color w:val="auto"/>
        </w:rPr>
        <w:t>”) and Kevin Feeley (the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 I T N E S S E T H :</w:t>
      </w:r>
    </w:p>
    <w:p>
      <w:pPr>
        <w:spacing w:after="0" w:line="179" w:lineRule="exact"/>
        <w:rPr>
          <w:sz w:val="20"/>
          <w:szCs w:val="20"/>
          <w:color w:val="auto"/>
        </w:rPr>
      </w:pPr>
    </w:p>
    <w:p>
      <w:pPr>
        <w:jc w:val="both"/>
        <w:ind w:firstLine="625"/>
        <w:spacing w:after="0" w:line="222" w:lineRule="auto"/>
        <w:rPr>
          <w:sz w:val="20"/>
          <w:szCs w:val="20"/>
          <w:color w:val="auto"/>
        </w:rPr>
      </w:pPr>
      <w:r>
        <w:rPr>
          <w:rFonts w:ascii="Times New Roman" w:cs="Times New Roman" w:eastAsia="Times New Roman" w:hAnsi="Times New Roman"/>
          <w:sz w:val="21"/>
          <w:szCs w:val="21"/>
          <w:color w:val="auto"/>
        </w:rPr>
        <w:t>WHEREAS, the Corporation has entered into that certain Agreement and Plan of Merger and Reorganization, dated January 14, 2022, with OPKO Health, Inc., a Delaware corporation (“</w:t>
      </w:r>
      <w:r>
        <w:rPr>
          <w:rFonts w:ascii="Times New Roman" w:cs="Times New Roman" w:eastAsia="Times New Roman" w:hAnsi="Times New Roman"/>
          <w:sz w:val="21"/>
          <w:szCs w:val="21"/>
          <w:b w:val="1"/>
          <w:bCs w:val="1"/>
          <w:i w:val="1"/>
          <w:iCs w:val="1"/>
          <w:color w:val="auto"/>
        </w:rPr>
        <w:t>Seller</w:t>
      </w:r>
      <w:r>
        <w:rPr>
          <w:rFonts w:ascii="Times New Roman" w:cs="Times New Roman" w:eastAsia="Times New Roman" w:hAnsi="Times New Roman"/>
          <w:sz w:val="21"/>
          <w:szCs w:val="21"/>
          <w:color w:val="auto"/>
        </w:rPr>
        <w:t>”), GeneDx, Inc., a New Jersey corporation (“</w:t>
      </w:r>
      <w:r>
        <w:rPr>
          <w:rFonts w:ascii="Times New Roman" w:cs="Times New Roman" w:eastAsia="Times New Roman" w:hAnsi="Times New Roman"/>
          <w:sz w:val="21"/>
          <w:szCs w:val="21"/>
          <w:b w:val="1"/>
          <w:bCs w:val="1"/>
          <w:i w:val="1"/>
          <w:iCs w:val="1"/>
          <w:color w:val="auto"/>
        </w:rPr>
        <w:t>GeneDx</w:t>
      </w:r>
      <w:r>
        <w:rPr>
          <w:rFonts w:ascii="Times New Roman" w:cs="Times New Roman" w:eastAsia="Times New Roman" w:hAnsi="Times New Roman"/>
          <w:sz w:val="21"/>
          <w:szCs w:val="21"/>
          <w:color w:val="auto"/>
        </w:rPr>
        <w:t>”), and the other parties named therein (the “</w:t>
      </w:r>
      <w:r>
        <w:rPr>
          <w:rFonts w:ascii="Times New Roman" w:cs="Times New Roman" w:eastAsia="Times New Roman" w:hAnsi="Times New Roman"/>
          <w:sz w:val="21"/>
          <w:szCs w:val="21"/>
          <w:b w:val="1"/>
          <w:bCs w:val="1"/>
          <w:i w:val="1"/>
          <w:iCs w:val="1"/>
          <w:color w:val="auto"/>
        </w:rPr>
        <w:t>Merger Agreement</w:t>
      </w:r>
      <w:r>
        <w:rPr>
          <w:rFonts w:ascii="Times New Roman" w:cs="Times New Roman" w:eastAsia="Times New Roman" w:hAnsi="Times New Roman"/>
          <w:sz w:val="21"/>
          <w:szCs w:val="21"/>
          <w:color w:val="auto"/>
        </w:rPr>
        <w:t>”), pursuant to which GeneDx will become an indirect wholly-owned subsidiary of the Corporation (the “</w:t>
      </w:r>
      <w:r>
        <w:rPr>
          <w:rFonts w:ascii="Times New Roman" w:cs="Times New Roman" w:eastAsia="Times New Roman" w:hAnsi="Times New Roman"/>
          <w:sz w:val="21"/>
          <w:szCs w:val="21"/>
          <w:b w:val="1"/>
          <w:bCs w:val="1"/>
          <w:i w:val="1"/>
          <w:iCs w:val="1"/>
          <w:color w:val="auto"/>
        </w:rPr>
        <w:t>Acquisition</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21"/>
          <w:szCs w:val="21"/>
          <w:color w:val="auto"/>
        </w:rPr>
        <w:t>WHEREAS, the Executive is currently employed as the Chief Financial Officer of GeneDx, pursuant to an employment agreement with Seller and BioReference Laboratories, Inc., a New Jersey corporation, dated as of February 7, 2018, and has entered into a Memorandum of Understanding with Seller dated as of January 13, 2022 (together, the “</w:t>
      </w:r>
      <w:r>
        <w:rPr>
          <w:rFonts w:ascii="Times New Roman" w:cs="Times New Roman" w:eastAsia="Times New Roman" w:hAnsi="Times New Roman"/>
          <w:sz w:val="21"/>
          <w:szCs w:val="21"/>
          <w:b w:val="1"/>
          <w:bCs w:val="1"/>
          <w:i w:val="1"/>
          <w:iCs w:val="1"/>
          <w:color w:val="auto"/>
        </w:rPr>
        <w:t>Prior Agreements</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625"/>
        <w:spacing w:after="0" w:line="229" w:lineRule="auto"/>
        <w:rPr>
          <w:sz w:val="20"/>
          <w:szCs w:val="20"/>
          <w:color w:val="auto"/>
        </w:rPr>
      </w:pPr>
      <w:r>
        <w:rPr>
          <w:rFonts w:ascii="Times New Roman" w:cs="Times New Roman" w:eastAsia="Times New Roman" w:hAnsi="Times New Roman"/>
          <w:sz w:val="21"/>
          <w:szCs w:val="21"/>
          <w:color w:val="auto"/>
        </w:rPr>
        <w:t>WHEREAS, contingent on the closing of the Acquisition (the “</w:t>
      </w:r>
      <w:r>
        <w:rPr>
          <w:rFonts w:ascii="Times New Roman" w:cs="Times New Roman" w:eastAsia="Times New Roman" w:hAnsi="Times New Roman"/>
          <w:sz w:val="21"/>
          <w:szCs w:val="21"/>
          <w:b w:val="1"/>
          <w:bCs w:val="1"/>
          <w:i w:val="1"/>
          <w:iCs w:val="1"/>
          <w:color w:val="auto"/>
        </w:rPr>
        <w:t>Closing</w:t>
      </w:r>
      <w:r>
        <w:rPr>
          <w:rFonts w:ascii="Times New Roman" w:cs="Times New Roman" w:eastAsia="Times New Roman" w:hAnsi="Times New Roman"/>
          <w:sz w:val="21"/>
          <w:szCs w:val="21"/>
          <w:color w:val="auto"/>
        </w:rPr>
        <w:t>”), the Corporation wishes for the Executive to serve as a SVP Operations, Sema4 and the Head of GeneDx, and the Executive wishes to become a SVP Operations, Sema4 and the Head of GeneDx;</w:t>
      </w:r>
    </w:p>
    <w:p>
      <w:pPr>
        <w:spacing w:after="0" w:line="145" w:lineRule="exact"/>
        <w:rPr>
          <w:sz w:val="20"/>
          <w:szCs w:val="20"/>
          <w:color w:val="auto"/>
        </w:rPr>
      </w:pPr>
    </w:p>
    <w:p>
      <w:pPr>
        <w:jc w:val="both"/>
        <w:ind w:firstLine="625"/>
        <w:spacing w:after="0" w:line="217" w:lineRule="auto"/>
        <w:rPr>
          <w:sz w:val="20"/>
          <w:szCs w:val="20"/>
          <w:color w:val="auto"/>
        </w:rPr>
      </w:pPr>
      <w:r>
        <w:rPr>
          <w:rFonts w:ascii="Times New Roman" w:cs="Times New Roman" w:eastAsia="Times New Roman" w:hAnsi="Times New Roman"/>
          <w:sz w:val="21"/>
          <w:szCs w:val="21"/>
          <w:color w:val="auto"/>
        </w:rPr>
        <w:t>WHEREAS, it is anticipated that as of immediately following the Closing the Executive will remain employed by GeneDx, and that as soon as practicable following the completion of the applicable transition services period under the Merger Agreement, of a date following the Closing to be determined by the Corporation, the Executive’s employment will be transitioned to the Corporation in order to transition the Executive to the Corporation’s payroll and employee benefits (the date on which such transition occurs, the “</w:t>
      </w:r>
      <w:r>
        <w:rPr>
          <w:rFonts w:ascii="Times New Roman" w:cs="Times New Roman" w:eastAsia="Times New Roman" w:hAnsi="Times New Roman"/>
          <w:sz w:val="21"/>
          <w:szCs w:val="21"/>
          <w:b w:val="1"/>
          <w:bCs w:val="1"/>
          <w:i w:val="1"/>
          <w:iCs w:val="1"/>
          <w:color w:val="auto"/>
        </w:rPr>
        <w:t>Transition Date</w:t>
      </w:r>
      <w:r>
        <w:rPr>
          <w:rFonts w:ascii="Times New Roman" w:cs="Times New Roman" w:eastAsia="Times New Roman" w:hAnsi="Times New Roman"/>
          <w:sz w:val="21"/>
          <w:szCs w:val="21"/>
          <w:color w:val="auto"/>
        </w:rPr>
        <w:t>”), such that all references herein to the Executive’s employment by the Corporation and terms of similar import shall refer to employment by GeneDx until the Transition Date;</w:t>
      </w:r>
    </w:p>
    <w:p>
      <w:pPr>
        <w:spacing w:after="0" w:line="147" w:lineRule="exact"/>
        <w:rPr>
          <w:sz w:val="20"/>
          <w:szCs w:val="20"/>
          <w:color w:val="auto"/>
        </w:rPr>
      </w:pPr>
    </w:p>
    <w:p>
      <w:pPr>
        <w:jc w:val="both"/>
        <w:ind w:firstLine="625"/>
        <w:spacing w:after="0" w:line="238" w:lineRule="auto"/>
        <w:rPr>
          <w:sz w:val="20"/>
          <w:szCs w:val="20"/>
          <w:color w:val="auto"/>
        </w:rPr>
      </w:pPr>
      <w:r>
        <w:rPr>
          <w:rFonts w:ascii="Times New Roman" w:cs="Times New Roman" w:eastAsia="Times New Roman" w:hAnsi="Times New Roman"/>
          <w:sz w:val="21"/>
          <w:szCs w:val="21"/>
          <w:color w:val="auto"/>
        </w:rPr>
        <w:t>WHEREAS, the Corporation wishes to set forth the terms and conditions of the Executive’s employment, on terms and conditions mutually agreeable and beneficial to the Corporation and the Executive; and</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WHEREAS, the Executive is willing to render services to the Corporation pursuant to the terms and conditions hereof.</w:t>
      </w:r>
    </w:p>
    <w:p>
      <w:pPr>
        <w:spacing w:after="0" w:line="175" w:lineRule="exact"/>
        <w:rPr>
          <w:sz w:val="20"/>
          <w:szCs w:val="20"/>
          <w:color w:val="auto"/>
        </w:rPr>
      </w:pPr>
    </w:p>
    <w:p>
      <w:pPr>
        <w:jc w:val="both"/>
        <w:ind w:firstLine="625"/>
        <w:spacing w:after="0" w:line="238" w:lineRule="auto"/>
        <w:rPr>
          <w:sz w:val="20"/>
          <w:szCs w:val="20"/>
          <w:color w:val="auto"/>
        </w:rPr>
      </w:pPr>
      <w:r>
        <w:rPr>
          <w:rFonts w:ascii="Times New Roman" w:cs="Times New Roman" w:eastAsia="Times New Roman" w:hAnsi="Times New Roman"/>
          <w:sz w:val="21"/>
          <w:szCs w:val="21"/>
          <w:color w:val="auto"/>
        </w:rPr>
        <w:t>NOW, THEREFORE, in consideration of the premises and the mutual covenants and agreements of the parties herein contained, the parties, intending to be legally bound, hereby agree as follows:</w:t>
      </w:r>
    </w:p>
    <w:p>
      <w:pPr>
        <w:spacing w:after="0" w:line="141" w:lineRule="exact"/>
        <w:rPr>
          <w:sz w:val="20"/>
          <w:szCs w:val="20"/>
          <w:color w:val="auto"/>
        </w:rPr>
      </w:pPr>
    </w:p>
    <w:p>
      <w:pPr>
        <w:ind w:left="620" w:hanging="616"/>
        <w:spacing w:after="0"/>
        <w:tabs>
          <w:tab w:leader="none" w:pos="62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POSITION AND DUTIES</w:t>
      </w:r>
      <w:r>
        <w:rPr>
          <w:rFonts w:ascii="Times New Roman" w:cs="Times New Roman" w:eastAsia="Times New Roman" w:hAnsi="Times New Roman"/>
          <w:sz w:val="21"/>
          <w:szCs w:val="21"/>
          <w:color w:val="auto"/>
        </w:rPr>
        <w:t>.</w:t>
      </w:r>
    </w:p>
    <w:p>
      <w:pPr>
        <w:spacing w:after="0" w:line="176" w:lineRule="exact"/>
        <w:rPr>
          <w:rFonts w:ascii="Times New Roman" w:cs="Times New Roman" w:eastAsia="Times New Roman" w:hAnsi="Times New Roman"/>
          <w:sz w:val="21"/>
          <w:szCs w:val="21"/>
          <w:b w:val="1"/>
          <w:bCs w:val="1"/>
          <w:color w:val="auto"/>
        </w:rPr>
      </w:pPr>
    </w:p>
    <w:p>
      <w:pPr>
        <w:jc w:val="both"/>
        <w:ind w:firstLine="625"/>
        <w:spacing w:after="0" w:line="21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i w:val="1"/>
          <w:iCs w:val="1"/>
          <w:color w:val="auto"/>
        </w:rPr>
        <w:t>Position and Duties</w:t>
      </w:r>
      <w:r>
        <w:rPr>
          <w:rFonts w:ascii="Times New Roman" w:cs="Times New Roman" w:eastAsia="Times New Roman" w:hAnsi="Times New Roman"/>
          <w:sz w:val="21"/>
          <w:szCs w:val="21"/>
          <w:color w:val="auto"/>
        </w:rPr>
        <w:t>. The Corporation shall employ the Executive in the position of a SVP Operations, Sema4 and the Head of GeneDx (notwithstanding that the Executive shall remain employed by GeneDx until the Transition Date), and the Executive hereby accepts such employment. The Executive shall be subject to the direction of and shall report directly to Katherine Stueland, the Co-Chief Executive Officer of the Corporation, or her successor (the “</w:t>
      </w:r>
      <w:r>
        <w:rPr>
          <w:rFonts w:ascii="Times New Roman" w:cs="Times New Roman" w:eastAsia="Times New Roman" w:hAnsi="Times New Roman"/>
          <w:sz w:val="21"/>
          <w:szCs w:val="21"/>
          <w:b w:val="1"/>
          <w:bCs w:val="1"/>
          <w:i w:val="1"/>
          <w:iCs w:val="1"/>
          <w:color w:val="auto"/>
        </w:rPr>
        <w:t>Direct Report</w:t>
      </w:r>
      <w:r>
        <w:rPr>
          <w:rFonts w:ascii="Times New Roman" w:cs="Times New Roman" w:eastAsia="Times New Roman" w:hAnsi="Times New Roman"/>
          <w:sz w:val="21"/>
          <w:szCs w:val="21"/>
          <w:color w:val="auto"/>
        </w:rPr>
        <w:t>”). Subject to such reporting relationship, the Executive shall perform the duties commensurate with those of a SVP Operations, Sema4 and Head of GeneDx. The Executive shall perform the duties assigned to the Executive by the Corporation with fidelity and to the best</w:t>
      </w:r>
    </w:p>
    <w:p>
      <w:pPr>
        <w:sectPr>
          <w:pgSz w:w="11900" w:h="16838" w:orient="portrait"/>
          <w:cols w:equalWidth="0" w:num="1">
            <w:col w:w="11240"/>
          </w:cols>
          <w:pgMar w:left="320" w:top="96" w:right="339" w:bottom="1440" w:gutter="0" w:footer="0" w:header="0"/>
        </w:sectPr>
      </w:pPr>
    </w:p>
    <w:bookmarkStart w:id="159" w:name="page160"/>
    <w:bookmarkEnd w:id="159"/>
    <w:p>
      <w:pPr>
        <w:jc w:val="both"/>
        <w:spacing w:after="0" w:line="233" w:lineRule="auto"/>
        <w:rPr>
          <w:sz w:val="20"/>
          <w:szCs w:val="20"/>
          <w:color w:val="auto"/>
        </w:rPr>
      </w:pPr>
      <w:r>
        <w:rPr>
          <w:rFonts w:ascii="Times New Roman" w:cs="Times New Roman" w:eastAsia="Times New Roman" w:hAnsi="Times New Roman"/>
          <w:sz w:val="20"/>
          <w:szCs w:val="20"/>
          <w:color w:val="auto"/>
        </w:rPr>
        <w:t>of the Executive’s ability. The Executive shall deal at all times in good faith with the Corporation. During the Term (as defined below), the Executive shall devote one hundred percent (100%) of the Executive’s business time to the performance of the Executive’s duties on behalf of the Corporation, provided that the Executive shall be permitted to (i) devote attention during non-business hours to voluntary service with non-competitive not-for-profit charitable organizations, and (ii) undertake the activities permitted by Section 8.</w:t>
      </w:r>
    </w:p>
    <w:p>
      <w:pPr>
        <w:spacing w:after="0" w:line="146" w:lineRule="exact"/>
        <w:rPr>
          <w:sz w:val="20"/>
          <w:szCs w:val="20"/>
          <w:color w:val="auto"/>
        </w:rPr>
      </w:pPr>
    </w:p>
    <w:p>
      <w:pPr>
        <w:jc w:val="both"/>
        <w:ind w:firstLine="629"/>
        <w:spacing w:after="0" w:line="217" w:lineRule="auto"/>
        <w:tabs>
          <w:tab w:leader="none" w:pos="1245"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Effective Date; Prior Agreements. </w:t>
      </w:r>
      <w:r>
        <w:rPr>
          <w:rFonts w:ascii="Times New Roman" w:cs="Times New Roman" w:eastAsia="Times New Roman" w:hAnsi="Times New Roman"/>
          <w:sz w:val="21"/>
          <w:szCs w:val="21"/>
          <w:color w:val="auto"/>
        </w:rPr>
        <w:t>This Agreement shall become effective upon the date on which the Closing occurs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provided that this Agreement shall automatically terminate and shall have no further force or effect if the Merger Agreement is terminated in accordance with its terms and the Closing does not occur; and, in such case the Prior Agreements shall remain in full force and effect for all purposes. For the avoidance of doubt, the Executive hereby acknowledges that the Corporation shall have no obligations to the Executive in respect of the Prior Agreements; provided that nothing herein shall be construed as a waiver by the Executive of Seller’s obligations to the Executive thereunder.</w:t>
      </w:r>
    </w:p>
    <w:p>
      <w:pPr>
        <w:spacing w:after="0" w:line="146" w:lineRule="exact"/>
        <w:rPr>
          <w:rFonts w:ascii="Times New Roman" w:cs="Times New Roman" w:eastAsia="Times New Roman" w:hAnsi="Times New Roman"/>
          <w:sz w:val="21"/>
          <w:szCs w:val="21"/>
          <w:color w:val="auto"/>
        </w:rPr>
      </w:pPr>
    </w:p>
    <w:p>
      <w:pPr>
        <w:jc w:val="both"/>
        <w:ind w:firstLine="629"/>
        <w:spacing w:after="0" w:line="228" w:lineRule="auto"/>
        <w:tabs>
          <w:tab w:leader="none" w:pos="1245"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Location</w:t>
      </w:r>
      <w:r>
        <w:rPr>
          <w:rFonts w:ascii="Times New Roman" w:cs="Times New Roman" w:eastAsia="Times New Roman" w:hAnsi="Times New Roman"/>
          <w:sz w:val="21"/>
          <w:szCs w:val="21"/>
          <w:color w:val="auto"/>
        </w:rPr>
        <w:t>. The Executive’s services shall be performed principally at the Corporation’s Stamford, Connecticut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headquarters or at the Corporation’s other business locations, as directed by the Direct Report from time to time, subject to travel from time to time as reasonably required in connection with the Executive’s duties.</w:t>
      </w:r>
    </w:p>
    <w:p>
      <w:pPr>
        <w:spacing w:after="0" w:line="142" w:lineRule="exact"/>
        <w:rPr>
          <w:rFonts w:ascii="Times New Roman" w:cs="Times New Roman" w:eastAsia="Times New Roman" w:hAnsi="Times New Roman"/>
          <w:sz w:val="21"/>
          <w:szCs w:val="21"/>
          <w:color w:val="auto"/>
        </w:rPr>
      </w:pPr>
    </w:p>
    <w:p>
      <w:pPr>
        <w:ind w:left="620" w:hanging="616"/>
        <w:spacing w:after="0"/>
        <w:tabs>
          <w:tab w:leader="none" w:pos="62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This Agreement shall commence on the Effective Date and shall continue thereafter for a term of three (3) years and shall</w:t>
      </w:r>
    </w:p>
    <w:p>
      <w:pPr>
        <w:spacing w:after="0" w:line="226" w:lineRule="auto"/>
        <w:rPr>
          <w:sz w:val="20"/>
          <w:szCs w:val="20"/>
          <w:color w:val="auto"/>
        </w:rPr>
      </w:pPr>
      <w:r>
        <w:rPr>
          <w:rFonts w:ascii="Times New Roman" w:cs="Times New Roman" w:eastAsia="Times New Roman" w:hAnsi="Times New Roman"/>
          <w:sz w:val="21"/>
          <w:szCs w:val="21"/>
          <w:color w:val="auto"/>
        </w:rPr>
        <w:t>automatically renew for successive one (1) year terms unless earlier terminated in accordance with the terms hereof (such period from the date hereof until the termination date hereof, the “</w:t>
      </w:r>
      <w:r>
        <w:rPr>
          <w:rFonts w:ascii="Times New Roman" w:cs="Times New Roman" w:eastAsia="Times New Roman" w:hAnsi="Times New Roman"/>
          <w:sz w:val="21"/>
          <w:szCs w:val="21"/>
          <w:b w:val="1"/>
          <w:bCs w:val="1"/>
          <w:i w:val="1"/>
          <w:iCs w:val="1"/>
          <w:color w:val="auto"/>
        </w:rPr>
        <w:t>Term</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620" w:hanging="616"/>
        <w:spacing w:after="0"/>
        <w:tabs>
          <w:tab w:leader="none" w:pos="62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consideration for the Executive’s services hereunder, the Executive shall receive the following compensation:</w:t>
      </w:r>
    </w:p>
    <w:p>
      <w:pPr>
        <w:spacing w:after="0" w:line="172" w:lineRule="exact"/>
        <w:rPr>
          <w:rFonts w:ascii="Times New Roman" w:cs="Times New Roman" w:eastAsia="Times New Roman" w:hAnsi="Times New Roman"/>
          <w:sz w:val="21"/>
          <w:szCs w:val="21"/>
          <w:b w:val="1"/>
          <w:bCs w:val="1"/>
          <w:color w:val="auto"/>
        </w:rPr>
      </w:pPr>
    </w:p>
    <w:p>
      <w:pPr>
        <w:jc w:val="both"/>
        <w:ind w:firstLine="629"/>
        <w:spacing w:after="0" w:line="216" w:lineRule="auto"/>
        <w:tabs>
          <w:tab w:leader="none" w:pos="1243"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Base Salary</w:t>
      </w:r>
      <w:r>
        <w:rPr>
          <w:rFonts w:ascii="Times New Roman" w:cs="Times New Roman" w:eastAsia="Times New Roman" w:hAnsi="Times New Roman"/>
          <w:sz w:val="21"/>
          <w:szCs w:val="21"/>
          <w:color w:val="auto"/>
        </w:rPr>
        <w:t>. Beginning on the Effective Date and for the balance of the Term, the Corporation shall pay the Executive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base salary at a rate equal to $400,000 per annum (as adjusted from time to time in accordance with this Section 3.A, the “</w:t>
      </w:r>
      <w:r>
        <w:rPr>
          <w:rFonts w:ascii="Times New Roman" w:cs="Times New Roman" w:eastAsia="Times New Roman" w:hAnsi="Times New Roman"/>
          <w:sz w:val="21"/>
          <w:szCs w:val="21"/>
          <w:b w:val="1"/>
          <w:bCs w:val="1"/>
          <w:i w:val="1"/>
          <w:iCs w:val="1"/>
          <w:color w:val="auto"/>
        </w:rPr>
        <w:t>Base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Salary</w:t>
      </w:r>
      <w:r>
        <w:rPr>
          <w:rFonts w:ascii="Times New Roman" w:cs="Times New Roman" w:eastAsia="Times New Roman" w:hAnsi="Times New Roman"/>
          <w:sz w:val="21"/>
          <w:szCs w:val="21"/>
          <w:color w:val="auto"/>
        </w:rPr>
        <w:t>”). The Executive’s Base Salary shall be subject to annual review in the discretion of the board of directors of the Corporation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provided that the Board may not decrease the Base Salary.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w:t>
      </w:r>
    </w:p>
    <w:p>
      <w:pPr>
        <w:spacing w:after="0" w:line="143" w:lineRule="exact"/>
        <w:rPr>
          <w:rFonts w:ascii="Times New Roman" w:cs="Times New Roman" w:eastAsia="Times New Roman" w:hAnsi="Times New Roman"/>
          <w:sz w:val="21"/>
          <w:szCs w:val="21"/>
          <w:color w:val="auto"/>
        </w:rPr>
      </w:pPr>
    </w:p>
    <w:p>
      <w:pPr>
        <w:jc w:val="both"/>
        <w:ind w:firstLine="629"/>
        <w:spacing w:after="0" w:line="214" w:lineRule="auto"/>
        <w:tabs>
          <w:tab w:leader="none" w:pos="1245"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Performance Bonus</w:t>
      </w:r>
      <w:r>
        <w:rPr>
          <w:rFonts w:ascii="Times New Roman" w:cs="Times New Roman" w:eastAsia="Times New Roman" w:hAnsi="Times New Roman"/>
          <w:sz w:val="21"/>
          <w:szCs w:val="21"/>
          <w:color w:val="auto"/>
        </w:rPr>
        <w:t>. In addition to the Base Salary, the Executive shall be eligible to receive an annual performance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bonus for each calendar year during the Term (the “</w:t>
      </w:r>
      <w:r>
        <w:rPr>
          <w:rFonts w:ascii="Times New Roman" w:cs="Times New Roman" w:eastAsia="Times New Roman" w:hAnsi="Times New Roman"/>
          <w:sz w:val="21"/>
          <w:szCs w:val="21"/>
          <w:b w:val="1"/>
          <w:bCs w:val="1"/>
          <w:i w:val="1"/>
          <w:iCs w:val="1"/>
          <w:color w:val="auto"/>
        </w:rPr>
        <w:t>Performance Bonus</w:t>
      </w:r>
      <w:r>
        <w:rPr>
          <w:rFonts w:ascii="Times New Roman" w:cs="Times New Roman" w:eastAsia="Times New Roman" w:hAnsi="Times New Roman"/>
          <w:sz w:val="21"/>
          <w:szCs w:val="21"/>
          <w:color w:val="auto"/>
        </w:rPr>
        <w:t>”) with a target amount equal to forty percent (40%) of the Base Salary. The Performance Bonus for a calendar year shall be paid within the first ninety (90)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 In the case of any such performance metric and other criteria that is not</w:t>
      </w:r>
    </w:p>
    <w:p>
      <w:pPr>
        <w:sectPr>
          <w:pgSz w:w="11900" w:h="16838" w:orient="portrait"/>
          <w:cols w:equalWidth="0" w:num="1">
            <w:col w:w="11240"/>
          </w:cols>
          <w:pgMar w:left="320" w:top="1348" w:right="339" w:bottom="1440" w:gutter="0" w:footer="0" w:header="0"/>
        </w:sectPr>
      </w:pPr>
    </w:p>
    <w:bookmarkStart w:id="160" w:name="page161"/>
    <w:bookmarkEnd w:id="160"/>
    <w:p>
      <w:pPr>
        <w:spacing w:after="0" w:line="238" w:lineRule="auto"/>
        <w:rPr>
          <w:sz w:val="20"/>
          <w:szCs w:val="20"/>
          <w:color w:val="auto"/>
        </w:rPr>
      </w:pPr>
      <w:r>
        <w:rPr>
          <w:rFonts w:ascii="Times New Roman" w:cs="Times New Roman" w:eastAsia="Times New Roman" w:hAnsi="Times New Roman"/>
          <w:sz w:val="21"/>
          <w:szCs w:val="21"/>
          <w:color w:val="auto"/>
        </w:rPr>
        <w:t>entirely objective, the determination of whether such performance metric or other criteria has been met shall lie in the reasonable discretion of the Board.</w:t>
      </w:r>
    </w:p>
    <w:p>
      <w:pPr>
        <w:spacing w:after="0" w:line="143" w:lineRule="exact"/>
        <w:rPr>
          <w:sz w:val="20"/>
          <w:szCs w:val="20"/>
          <w:color w:val="auto"/>
        </w:rPr>
      </w:pPr>
    </w:p>
    <w:p>
      <w:pPr>
        <w:jc w:val="both"/>
        <w:ind w:firstLine="629"/>
        <w:spacing w:after="0" w:line="219" w:lineRule="auto"/>
        <w:tabs>
          <w:tab w:leader="none" w:pos="1245"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Benefits</w:t>
      </w:r>
      <w:r>
        <w:rPr>
          <w:rFonts w:ascii="Times New Roman" w:cs="Times New Roman" w:eastAsia="Times New Roman" w:hAnsi="Times New Roman"/>
          <w:sz w:val="21"/>
          <w:szCs w:val="21"/>
          <w:color w:val="auto"/>
        </w:rPr>
        <w:t>. During the Term, the Executive shall receive the package of employee benefits that the Corporation elects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make available to its most senior executive officers. In addition, the Executive shall be entitled to no less than four (4) weeks of vacation annually (prorated for periods less than a full calendar year) in accordance with the Corporation’s vacation policies in effect from time to time. The Executive’s benefit package and the Executive’s use of the Executive’s vacation time shall be subject to the Corporation’s policies.</w:t>
      </w:r>
    </w:p>
    <w:p>
      <w:pPr>
        <w:spacing w:after="0" w:line="147" w:lineRule="exact"/>
        <w:rPr>
          <w:rFonts w:ascii="Times New Roman" w:cs="Times New Roman" w:eastAsia="Times New Roman" w:hAnsi="Times New Roman"/>
          <w:sz w:val="21"/>
          <w:szCs w:val="21"/>
          <w:color w:val="auto"/>
        </w:rPr>
      </w:pPr>
    </w:p>
    <w:p>
      <w:pPr>
        <w:ind w:firstLine="629"/>
        <w:spacing w:after="0" w:line="239" w:lineRule="auto"/>
        <w:tabs>
          <w:tab w:leader="none" w:pos="1243"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Business Expenses</w:t>
      </w:r>
      <w:r>
        <w:rPr>
          <w:rFonts w:ascii="Times New Roman" w:cs="Times New Roman" w:eastAsia="Times New Roman" w:hAnsi="Times New Roman"/>
          <w:sz w:val="21"/>
          <w:szCs w:val="21"/>
          <w:color w:val="auto"/>
        </w:rPr>
        <w:t>. Subject to Section 3.E, the Executive shall be reimbursed for all reasonable and necessary business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expenses incurred by the Executive during the Term in connection with the Executive’s employment.</w:t>
      </w:r>
    </w:p>
    <w:p>
      <w:pPr>
        <w:spacing w:after="0" w:line="143" w:lineRule="exact"/>
        <w:rPr>
          <w:rFonts w:ascii="Times New Roman" w:cs="Times New Roman" w:eastAsia="Times New Roman" w:hAnsi="Times New Roman"/>
          <w:sz w:val="21"/>
          <w:szCs w:val="21"/>
          <w:color w:val="auto"/>
        </w:rPr>
      </w:pPr>
    </w:p>
    <w:p>
      <w:pPr>
        <w:jc w:val="both"/>
        <w:ind w:firstLine="629"/>
        <w:spacing w:after="0" w:line="228" w:lineRule="auto"/>
        <w:tabs>
          <w:tab w:leader="none" w:pos="1246"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Conditions to Reimbursement of Expenses</w:t>
      </w:r>
      <w:r>
        <w:rPr>
          <w:rFonts w:ascii="Times New Roman" w:cs="Times New Roman" w:eastAsia="Times New Roman" w:hAnsi="Times New Roman"/>
          <w:sz w:val="21"/>
          <w:szCs w:val="21"/>
          <w:color w:val="auto"/>
        </w:rPr>
        <w:t>. Reimbursement shall be based upon adherence to and submission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 of expense statements and other documentation thereof required in accordance with the Corporation’s expense reimbursement policies.</w:t>
      </w:r>
    </w:p>
    <w:p>
      <w:pPr>
        <w:spacing w:after="0" w:line="142" w:lineRule="exact"/>
        <w:rPr>
          <w:rFonts w:ascii="Times New Roman" w:cs="Times New Roman" w:eastAsia="Times New Roman" w:hAnsi="Times New Roman"/>
          <w:sz w:val="21"/>
          <w:szCs w:val="21"/>
          <w:color w:val="auto"/>
        </w:rPr>
      </w:pPr>
    </w:p>
    <w:p>
      <w:pPr>
        <w:ind w:left="620" w:hanging="616"/>
        <w:spacing w:after="0"/>
        <w:tabs>
          <w:tab w:leader="none" w:pos="620"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EQUITY-BASED COMPENSATION AWARD; LOCK-UP PERIOD.</w:t>
      </w:r>
    </w:p>
    <w:p>
      <w:pPr>
        <w:spacing w:after="0" w:line="178" w:lineRule="exact"/>
        <w:rPr>
          <w:rFonts w:ascii="Times New Roman" w:cs="Times New Roman" w:eastAsia="Times New Roman" w:hAnsi="Times New Roman"/>
          <w:sz w:val="21"/>
          <w:szCs w:val="21"/>
          <w:b w:val="1"/>
          <w:bCs w:val="1"/>
          <w:color w:val="auto"/>
        </w:rPr>
      </w:pPr>
    </w:p>
    <w:p>
      <w:pPr>
        <w:jc w:val="both"/>
        <w:ind w:firstLine="629"/>
        <w:spacing w:after="0" w:line="211" w:lineRule="auto"/>
        <w:tabs>
          <w:tab w:leader="none" w:pos="124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after the Effective Date, in accordance with the Sema4 Holdings Corp. 2021 Equity Incentive Plan (the “</w:t>
      </w:r>
      <w:r>
        <w:rPr>
          <w:rFonts w:ascii="Times New Roman" w:cs="Times New Roman" w:eastAsia="Times New Roman" w:hAnsi="Times New Roman"/>
          <w:sz w:val="21"/>
          <w:szCs w:val="21"/>
          <w:b w:val="1"/>
          <w:bCs w:val="1"/>
          <w:i w:val="1"/>
          <w:iCs w:val="1"/>
          <w:color w:val="auto"/>
        </w:rPr>
        <w:t>Incentive Plan</w:t>
      </w:r>
      <w:r>
        <w:rPr>
          <w:rFonts w:ascii="Times New Roman" w:cs="Times New Roman" w:eastAsia="Times New Roman" w:hAnsi="Times New Roman"/>
          <w:sz w:val="21"/>
          <w:szCs w:val="21"/>
          <w:color w:val="auto"/>
        </w:rPr>
        <w:t>”), and subject to the approval of the Board, as an inducement to enter into this Agreement, the Corporation shall grant the Executive an option to purchase a number of shares of Common Stock (as defined below) and a number of restricted stock units under the Incentive Plan having an aggregate grant-date value equal to $1,750,000 (the “</w:t>
      </w:r>
      <w:r>
        <w:rPr>
          <w:rFonts w:ascii="Times New Roman" w:cs="Times New Roman" w:eastAsia="Times New Roman" w:hAnsi="Times New Roman"/>
          <w:sz w:val="21"/>
          <w:szCs w:val="21"/>
          <w:b w:val="1"/>
          <w:bCs w:val="1"/>
          <w:i w:val="1"/>
          <w:iCs w:val="1"/>
          <w:color w:val="auto"/>
        </w:rPr>
        <w:t>Equity Awards</w:t>
      </w:r>
      <w:r>
        <w:rPr>
          <w:rFonts w:ascii="Times New Roman" w:cs="Times New Roman" w:eastAsia="Times New Roman" w:hAnsi="Times New Roman"/>
          <w:sz w:val="21"/>
          <w:szCs w:val="21"/>
          <w:color w:val="auto"/>
        </w:rPr>
        <w:t>”), with 50% of such aggregate grant-date value represented by stock options and the remaining 50% of such aggregate grant-date value represented by restrictive stock units, in each case with such grant-date value determined in accordance with Sema4’s customary practices. The terms of the Equity Awards shall be governed in all respects by the terms of the notice of grant and award agreement to be entered into in connection with such grant and the terms and conditions of the Incentive Plan, except as otherwise expressly set forth in this Agreement; provided that (1) the exercise price per share of Common Stock underlying the stock options shall be equal to the closing price of one share of Common Stock on the date of grant, and (2) the Equity Awards shall vest and become exercisable, as applicable, with respect to 25% of the underlying shares on the first anniversary of the Closing Date, 25% of the underlying shares on the second anniversary of the Closing Date, and 6.25% of the underlying shares on a quarterly basis thereafter through the fourth anniversary of the Closing Date, subject to the Executive’s continued service with the Corporation on each applicable vesting date. The Executive hereby acknowledges that the Equity Awards may constitute an “inducement award” within the meaning of NASDAQ Listing Rule 5635(c)(4).</w:t>
      </w:r>
    </w:p>
    <w:p>
      <w:pPr>
        <w:spacing w:after="0" w:line="145" w:lineRule="exact"/>
        <w:rPr>
          <w:rFonts w:ascii="Times New Roman" w:cs="Times New Roman" w:eastAsia="Times New Roman" w:hAnsi="Times New Roman"/>
          <w:sz w:val="21"/>
          <w:szCs w:val="21"/>
          <w:color w:val="auto"/>
        </w:rPr>
      </w:pPr>
    </w:p>
    <w:p>
      <w:pPr>
        <w:jc w:val="both"/>
        <w:ind w:firstLine="629"/>
        <w:spacing w:after="0" w:line="213" w:lineRule="auto"/>
        <w:tabs>
          <w:tab w:leader="none" w:pos="1245"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hereby agrees that, during the nine-month period following the date on which the Closing occurs (the “</w:t>
      </w:r>
      <w:r>
        <w:rPr>
          <w:rFonts w:ascii="Times New Roman" w:cs="Times New Roman" w:eastAsia="Times New Roman" w:hAnsi="Times New Roman"/>
          <w:sz w:val="21"/>
          <w:szCs w:val="21"/>
          <w:b w:val="1"/>
          <w:bCs w:val="1"/>
          <w:i w:val="1"/>
          <w:iCs w:val="1"/>
          <w:color w:val="auto"/>
        </w:rPr>
        <w:t>Lock-Up Period</w:t>
      </w:r>
      <w:r>
        <w:rPr>
          <w:rFonts w:ascii="Times New Roman" w:cs="Times New Roman" w:eastAsia="Times New Roman" w:hAnsi="Times New Roman"/>
          <w:sz w:val="21"/>
          <w:szCs w:val="21"/>
          <w:color w:val="auto"/>
        </w:rPr>
        <w:t>”), the Executive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shares of common stock of the Corporation (the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(ii) enter into any swap or other arrangement that transfers to another, in whole or in part, any of the economic consequences of ownership of any shares of Common Stock, in cash or otherwise, or (iii) publicly announce any intention to effect any transaction specified in clause (i) or (ii). The Executive authorizes the Corporation during the Lock-Up Period to cause its transfer agent to decline to transfer, and to note stop transfer restrictions on the stock register and other records relating to shares of Common Stock for which</w:t>
      </w:r>
    </w:p>
    <w:p>
      <w:pPr>
        <w:sectPr>
          <w:pgSz w:w="11900" w:h="16838" w:orient="portrait"/>
          <w:cols w:equalWidth="0" w:num="1">
            <w:col w:w="11240"/>
          </w:cols>
          <w:pgMar w:left="320" w:top="1348" w:right="339" w:bottom="1440" w:gutter="0" w:footer="0" w:header="0"/>
        </w:sectPr>
      </w:pPr>
    </w:p>
    <w:bookmarkStart w:id="161" w:name="page162"/>
    <w:bookmarkEnd w:id="161"/>
    <w:p>
      <w:pPr>
        <w:jc w:val="both"/>
        <w:spacing w:after="0" w:line="222" w:lineRule="auto"/>
        <w:rPr>
          <w:sz w:val="20"/>
          <w:szCs w:val="20"/>
          <w:color w:val="auto"/>
        </w:rPr>
      </w:pPr>
      <w:r>
        <w:rPr>
          <w:rFonts w:ascii="Times New Roman" w:cs="Times New Roman" w:eastAsia="Times New Roman" w:hAnsi="Times New Roman"/>
          <w:sz w:val="21"/>
          <w:szCs w:val="21"/>
          <w:color w:val="auto"/>
        </w:rPr>
        <w:t>the Executive is the record holder and, in the case of any shares of Common Stock for which the Executive is the beneficial holder but not the record holder, the Executive agrees during the Lock-Up Period to cause the record holder to cause the relevant transfer agent to decline to transfer, and to note stop transfer restrictions on the stock register and other records relating to, such shares, if such transfer would constitute a violation or breach of this Section 4.B.</w:t>
      </w:r>
    </w:p>
    <w:p>
      <w:pPr>
        <w:spacing w:after="0" w:line="143" w:lineRule="exact"/>
        <w:rPr>
          <w:sz w:val="20"/>
          <w:szCs w:val="20"/>
          <w:color w:val="auto"/>
        </w:rPr>
      </w:pPr>
    </w:p>
    <w:p>
      <w:pPr>
        <w:ind w:left="620" w:right="7200" w:hanging="616"/>
        <w:spacing w:after="0" w:line="434" w:lineRule="auto"/>
        <w:tabs>
          <w:tab w:leader="none" w:pos="62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AND SEVERANCE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As used in this Section 5:</w:t>
      </w:r>
    </w:p>
    <w:p>
      <w:pPr>
        <w:spacing w:after="0" w:line="1" w:lineRule="exact"/>
        <w:rPr>
          <w:sz w:val="20"/>
          <w:szCs w:val="20"/>
          <w:color w:val="auto"/>
        </w:rPr>
      </w:pPr>
    </w:p>
    <w:p>
      <w:pPr>
        <w:jc w:val="both"/>
        <w:ind w:firstLine="1249"/>
        <w:spacing w:after="0" w:line="2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shall mean: (1) any willful failure (except as result of sickness, illness or injury) or refusal by the Executive to perform any of the Executive’s material duties pursuant to this Agreement or to carry out the instructions of the Direct Report after the Corporation shall have provided written notice and a reasonable opportunity to cure such failure or refusal; (2) material breach by the Executive of the Proprietary Rights Agreement (as defined below) after the Corporation shall have provided written notice and a reasonable opportunity to cure such material breach; (3) material breach by the Executive of any written corporate policy of the Corporation after the Corporation shall have provided written notice and a reasonable opportunity to cure such material breach; (4) breach by the Executive of the Executive’s fiduciary duty to the Corporation; (5) gross negligence or willful misconduct of the Executive in connection with the Corporation’s business or the performance of Executive’s duties; provided that in the case of gross negligence, such gross negligence results in demonstrable harm to the Corporation; (6) the Executive’s conviction of or plea of nolo contendere to any crime that would materially impair the reputation of the Corporation, any crime involving theft, embezzlement or other misappropriation of money or other property, or any crime which constitutes a felony in the jurisdiction involved; or (7) the Executive’s habitual absence or habitual abuse of alcohol or controlled or illegal substances during working hours, after the Corporation shall have provided written notice to the Executive and given the Executive thirty (30) days within which to commence rehabilitation with respect thereto, and the Executive shall have failed to commence such rehabilitation or continued to perform under the influence after such rehabilitation.</w:t>
      </w:r>
    </w:p>
    <w:p>
      <w:pPr>
        <w:spacing w:after="0" w:line="146" w:lineRule="exact"/>
        <w:rPr>
          <w:sz w:val="20"/>
          <w:szCs w:val="20"/>
          <w:color w:val="auto"/>
        </w:rPr>
      </w:pPr>
    </w:p>
    <w:p>
      <w:pPr>
        <w:jc w:val="both"/>
        <w:ind w:firstLine="124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in Control Period</w:t>
      </w:r>
      <w:r>
        <w:rPr>
          <w:rFonts w:ascii="Times New Roman" w:cs="Times New Roman" w:eastAsia="Times New Roman" w:hAnsi="Times New Roman"/>
          <w:sz w:val="21"/>
          <w:szCs w:val="21"/>
          <w:color w:val="auto"/>
        </w:rPr>
        <w:t>” means the period commencing on the date of a Change of Control and ending on the date that is twelve (12) months following a Change in Control.</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means a Corporate Transaction as defined in the Incentive Plan.</w:t>
      </w:r>
    </w:p>
    <w:p>
      <w:pPr>
        <w:spacing w:after="0" w:line="175" w:lineRule="exact"/>
        <w:rPr>
          <w:sz w:val="20"/>
          <w:szCs w:val="20"/>
          <w:color w:val="auto"/>
        </w:rPr>
      </w:pPr>
    </w:p>
    <w:p>
      <w:pPr>
        <w:jc w:val="both"/>
        <w:ind w:firstLine="1249"/>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shall mean the Executive’s inability to perform the essential duties of the Executive’s employment hereunder with reasonable accommodation by reason of any medically determined physical or mental impairment that has lasted a period of not less than one-hundred-eighty (180) days (whether or not consecutive) in any consecutive three-hundred-sixty-five (365) day period as determined by a physician that is mutually acceptable to the Corporation and the Executive. If Corporation and the Executive cannot agree on a physician, each party shall select a physician and the two physicians shall select a third who shall be the approved physician for this purpose.</w:t>
      </w:r>
    </w:p>
    <w:p>
      <w:pPr>
        <w:spacing w:after="0" w:line="141" w:lineRule="exact"/>
        <w:rPr>
          <w:sz w:val="20"/>
          <w:szCs w:val="20"/>
          <w:color w:val="auto"/>
        </w:rPr>
      </w:pPr>
    </w:p>
    <w:p>
      <w:pPr>
        <w:jc w:val="both"/>
        <w:ind w:firstLine="1249"/>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xml:space="preserve">” shall mean: (1) any material breach by the Corporation of its obligations to the Executive pursuant to this Agreement (including, without limitation, a failure to pay Base Salary in accordance with Section 3.A); (2) a material diminution in the Executive’s authority or responsibility, following the establishment of the Executive’s authority and responsibility in accordance with Section 1.A; or (3) the Corporation requiring the Executive to relocate the Executive’s place of employment to more than seventy-five (75) miles from one of the Corporation’s business locations as of the date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none of these</w:t>
      </w:r>
    </w:p>
    <w:p>
      <w:pPr>
        <w:sectPr>
          <w:pgSz w:w="11900" w:h="16838" w:orient="portrait"/>
          <w:cols w:equalWidth="0" w:num="1">
            <w:col w:w="11240"/>
          </w:cols>
          <w:pgMar w:left="320" w:top="1348" w:right="339" w:bottom="1440" w:gutter="0" w:footer="0" w:header="0"/>
        </w:sectPr>
      </w:pPr>
    </w:p>
    <w:bookmarkStart w:id="162" w:name="page163"/>
    <w:bookmarkEnd w:id="162"/>
    <w:p>
      <w:pPr>
        <w:jc w:val="both"/>
        <w:spacing w:after="0" w:line="222" w:lineRule="auto"/>
        <w:rPr>
          <w:sz w:val="20"/>
          <w:szCs w:val="20"/>
          <w:color w:val="auto"/>
        </w:rPr>
      </w:pPr>
      <w:r>
        <w:rPr>
          <w:rFonts w:ascii="Times New Roman" w:cs="Times New Roman" w:eastAsia="Times New Roman" w:hAnsi="Times New Roman"/>
          <w:sz w:val="21"/>
          <w:szCs w:val="21"/>
          <w:color w:val="auto"/>
        </w:rPr>
        <w:t>events shall constitute Good Reason unless (i) the Executive has notified the Corporation in writing of the event(s) constituting Good Reason within sixty (60) days after the Executive first becomes aware of the occurrence of such event(s); (ii) the Corporation has failed to cure such event(s) within thirty (30) days after the notice, and (iii) the Executive resigns from all positions then held by the Executive no later than thirty (30) days after the expiration of such cure period.</w:t>
      </w:r>
    </w:p>
    <w:p>
      <w:pPr>
        <w:spacing w:after="0" w:line="138" w:lineRule="exact"/>
        <w:rPr>
          <w:sz w:val="20"/>
          <w:szCs w:val="20"/>
          <w:color w:val="auto"/>
        </w:rPr>
      </w:pPr>
    </w:p>
    <w:p>
      <w:pPr>
        <w:ind w:left="1240" w:hanging="611"/>
        <w:spacing w:after="0"/>
        <w:tabs>
          <w:tab w:leader="none" w:pos="12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w:t>
      </w:r>
      <w:r>
        <w:rPr>
          <w:rFonts w:ascii="Times New Roman" w:cs="Times New Roman" w:eastAsia="Times New Roman" w:hAnsi="Times New Roman"/>
          <w:sz w:val="21"/>
          <w:szCs w:val="21"/>
          <w:color w:val="auto"/>
        </w:rPr>
        <w:t>. This Agreement, the Term and the Executive’s employment hereunder shall terminate upon any of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w:t>
      </w:r>
    </w:p>
    <w:p>
      <w:pPr>
        <w:spacing w:after="0" w:line="150" w:lineRule="exact"/>
        <w:rPr>
          <w:rFonts w:ascii="Times New Roman" w:cs="Times New Roman" w:eastAsia="Times New Roman" w:hAnsi="Times New Roman"/>
          <w:sz w:val="21"/>
          <w:szCs w:val="21"/>
          <w:color w:val="auto"/>
        </w:rPr>
      </w:pPr>
    </w:p>
    <w:p>
      <w:pPr>
        <w:ind w:firstLine="1253"/>
        <w:spacing w:after="0" w:line="238" w:lineRule="auto"/>
        <w:tabs>
          <w:tab w:leader="none" w:pos="1862"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determination by the Board that there is Cause for such termination, upon written notice of termination from the Corporation to the Executive (following the expiration of a cure period, as applicable);</w:t>
      </w:r>
    </w:p>
    <w:p>
      <w:pPr>
        <w:spacing w:after="0" w:line="145" w:lineRule="exact"/>
        <w:rPr>
          <w:rFonts w:ascii="Times New Roman" w:cs="Times New Roman" w:eastAsia="Times New Roman" w:hAnsi="Times New Roman"/>
          <w:sz w:val="21"/>
          <w:szCs w:val="21"/>
          <w:color w:val="auto"/>
        </w:rPr>
      </w:pPr>
    </w:p>
    <w:p>
      <w:pPr>
        <w:ind w:left="1880" w:hanging="627"/>
        <w:spacing w:after="0"/>
        <w:tabs>
          <w:tab w:leader="none" w:pos="188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upon the death or Disability of the Executive;</w:t>
      </w:r>
    </w:p>
    <w:p>
      <w:pPr>
        <w:spacing w:after="0" w:line="174" w:lineRule="exact"/>
        <w:rPr>
          <w:rFonts w:ascii="Times New Roman" w:cs="Times New Roman" w:eastAsia="Times New Roman" w:hAnsi="Times New Roman"/>
          <w:sz w:val="21"/>
          <w:szCs w:val="21"/>
          <w:color w:val="auto"/>
        </w:rPr>
      </w:pPr>
    </w:p>
    <w:p>
      <w:pPr>
        <w:ind w:firstLine="1253"/>
        <w:spacing w:after="0" w:line="238" w:lineRule="auto"/>
        <w:tabs>
          <w:tab w:leader="none" w:pos="1873"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determination by the Executive that there is Good Reason for such termination, upon written notice of termination from the Executive to the Corporation (following the expiration of the cure period);</w:t>
      </w:r>
    </w:p>
    <w:p>
      <w:pPr>
        <w:spacing w:after="0" w:line="145" w:lineRule="exact"/>
        <w:rPr>
          <w:rFonts w:ascii="Times New Roman" w:cs="Times New Roman" w:eastAsia="Times New Roman" w:hAnsi="Times New Roman"/>
          <w:sz w:val="21"/>
          <w:szCs w:val="21"/>
          <w:color w:val="auto"/>
        </w:rPr>
      </w:pPr>
    </w:p>
    <w:p>
      <w:pPr>
        <w:ind w:firstLine="1253"/>
        <w:spacing w:after="0" w:line="238" w:lineRule="auto"/>
        <w:tabs>
          <w:tab w:leader="none" w:pos="1862"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election of the Corporation to terminate this Agreement without Cause, upon sixty (60) days’ written notice to the Executive; or</w:t>
      </w:r>
    </w:p>
    <w:p>
      <w:pPr>
        <w:spacing w:after="0" w:line="145" w:lineRule="exact"/>
        <w:rPr>
          <w:rFonts w:ascii="Times New Roman" w:cs="Times New Roman" w:eastAsia="Times New Roman" w:hAnsi="Times New Roman"/>
          <w:sz w:val="21"/>
          <w:szCs w:val="21"/>
          <w:color w:val="auto"/>
        </w:rPr>
      </w:pPr>
    </w:p>
    <w:p>
      <w:pPr>
        <w:ind w:firstLine="1253"/>
        <w:spacing w:after="0" w:line="238" w:lineRule="auto"/>
        <w:tabs>
          <w:tab w:leader="none" w:pos="186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election of the Executive to terminate this Agreement without Good Reason, upon thirty (30) days’ written notice to the Corporation.</w:t>
      </w:r>
    </w:p>
    <w:p>
      <w:pPr>
        <w:spacing w:after="0" w:line="143" w:lineRule="exact"/>
        <w:rPr>
          <w:rFonts w:ascii="Times New Roman" w:cs="Times New Roman" w:eastAsia="Times New Roman" w:hAnsi="Times New Roman"/>
          <w:sz w:val="21"/>
          <w:szCs w:val="21"/>
          <w:color w:val="auto"/>
        </w:rPr>
      </w:pPr>
    </w:p>
    <w:p>
      <w:pPr>
        <w:jc w:val="both"/>
        <w:ind w:firstLine="629"/>
        <w:spacing w:after="0" w:line="216" w:lineRule="auto"/>
        <w:tabs>
          <w:tab w:leader="none" w:pos="124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Upon the termination of the Executive’s employment for any reason, the Executive (or Executive’s estate,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case may be) shall be entitled to receive (i) any Base Salary hereunder accrued prior to the date of such termination, (ii) any amount payable to the Executive under the policies and procedures of the Corporation with respect to payments to executive officers for accrued vacation and unreimbursed business expenses for which proper documentation is provided and (iii) if the Executive’s employment ends for any reason other than the Corporation’s termination of the Executive’s employment for Cause, the Corporation shall pay the Executive any earned but unpaid Performance Bonus for the most recently completed calendar year in the discretion of the Board (collectively, the “</w:t>
      </w:r>
      <w:r>
        <w:rPr>
          <w:rFonts w:ascii="Times New Roman" w:cs="Times New Roman" w:eastAsia="Times New Roman" w:hAnsi="Times New Roman"/>
          <w:sz w:val="21"/>
          <w:szCs w:val="21"/>
          <w:b w:val="1"/>
          <w:bCs w:val="1"/>
          <w:i w:val="1"/>
          <w:iCs w:val="1"/>
          <w:color w:val="auto"/>
        </w:rPr>
        <w:t>Accrued Compensation</w:t>
      </w:r>
      <w:r>
        <w:rPr>
          <w:rFonts w:ascii="Times New Roman" w:cs="Times New Roman" w:eastAsia="Times New Roman" w:hAnsi="Times New Roman"/>
          <w:sz w:val="21"/>
          <w:szCs w:val="21"/>
          <w:color w:val="auto"/>
        </w:rPr>
        <w:t>”).</w:t>
      </w:r>
    </w:p>
    <w:p>
      <w:pPr>
        <w:spacing w:after="0" w:line="143" w:lineRule="exact"/>
        <w:rPr>
          <w:rFonts w:ascii="Times New Roman" w:cs="Times New Roman" w:eastAsia="Times New Roman" w:hAnsi="Times New Roman"/>
          <w:sz w:val="21"/>
          <w:szCs w:val="21"/>
          <w:color w:val="auto"/>
        </w:rPr>
      </w:pPr>
    </w:p>
    <w:p>
      <w:pPr>
        <w:jc w:val="both"/>
        <w:ind w:firstLine="629"/>
        <w:spacing w:after="0" w:line="219" w:lineRule="auto"/>
        <w:tabs>
          <w:tab w:leader="none" w:pos="124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Severance Benefits Upon Termination by the Corporation Without Cause or by the Executive for Good Reason Outside of the Change in Control Period</w:t>
      </w:r>
      <w:r>
        <w:rPr>
          <w:rFonts w:ascii="Times New Roman" w:cs="Times New Roman" w:eastAsia="Times New Roman" w:hAnsi="Times New Roman"/>
          <w:sz w:val="21"/>
          <w:szCs w:val="21"/>
          <w:color w:val="auto"/>
        </w:rPr>
        <w:t>. Upon the termination of the Executive’s employment by the Corporation without Cause or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 for Good Reason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47" w:lineRule="exact"/>
        <w:rPr>
          <w:rFonts w:ascii="Times New Roman" w:cs="Times New Roman" w:eastAsia="Times New Roman" w:hAnsi="Times New Roman"/>
          <w:sz w:val="21"/>
          <w:szCs w:val="21"/>
          <w:color w:val="auto"/>
        </w:rPr>
      </w:pPr>
    </w:p>
    <w:p>
      <w:pPr>
        <w:jc w:val="both"/>
        <w:ind w:firstLine="1253"/>
        <w:spacing w:after="0" w:line="217" w:lineRule="auto"/>
        <w:tabs>
          <w:tab w:leader="none" w:pos="1862"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Cash Severance. </w:t>
      </w:r>
      <w:r>
        <w:rPr>
          <w:rFonts w:ascii="Times New Roman" w:cs="Times New Roman" w:eastAsia="Times New Roman" w:hAnsi="Times New Roman"/>
          <w:sz w:val="20"/>
          <w:szCs w:val="20"/>
          <w:color w:val="auto"/>
        </w:rPr>
        <w:t>The Corporation shall pay the Executive, as severance, the equivalent of nine (9) months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Executive’s Base Salary as in effect as of the date of such termination, payable in the form of salary continuation, on the Corporation’s regular payroll dates, subject to standard payroll deductions and withholdings, starting on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after the Executive’s termination date, with the first payment to include those payments that would have occurred earlier but for the 60-day delay.</w:t>
      </w:r>
    </w:p>
    <w:p>
      <w:pPr>
        <w:spacing w:after="0" w:line="146" w:lineRule="exact"/>
        <w:rPr>
          <w:rFonts w:ascii="Times New Roman" w:cs="Times New Roman" w:eastAsia="Times New Roman" w:hAnsi="Times New Roman"/>
          <w:sz w:val="20"/>
          <w:szCs w:val="20"/>
          <w:color w:val="auto"/>
        </w:rPr>
      </w:pPr>
    </w:p>
    <w:p>
      <w:pPr>
        <w:jc w:val="both"/>
        <w:ind w:firstLine="1253"/>
        <w:spacing w:after="0" w:line="223" w:lineRule="auto"/>
        <w:tabs>
          <w:tab w:leader="none" w:pos="1867"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Benefits Continuation</w:t>
      </w:r>
      <w:r>
        <w:rPr>
          <w:rFonts w:ascii="Times New Roman" w:cs="Times New Roman" w:eastAsia="Times New Roman" w:hAnsi="Times New Roman"/>
          <w:sz w:val="21"/>
          <w:szCs w:val="21"/>
          <w:color w:val="auto"/>
        </w:rPr>
        <w:t>. Provided that the Executive is then eligible for and timely elects continued coverage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w:t>
      </w:r>
    </w:p>
    <w:p>
      <w:pPr>
        <w:sectPr>
          <w:pgSz w:w="11900" w:h="16838" w:orient="portrait"/>
          <w:cols w:equalWidth="0" w:num="1">
            <w:col w:w="11240"/>
          </w:cols>
          <w:pgMar w:left="320" w:top="1348" w:right="339" w:bottom="1440" w:gutter="0" w:footer="0" w:header="0"/>
        </w:sectPr>
      </w:pPr>
    </w:p>
    <w:bookmarkStart w:id="163" w:name="page164"/>
    <w:bookmarkEnd w:id="163"/>
    <w:p>
      <w:pPr>
        <w:jc w:val="both"/>
        <w:spacing w:after="0" w:line="214" w:lineRule="auto"/>
        <w:rPr>
          <w:sz w:val="20"/>
          <w:szCs w:val="20"/>
          <w:color w:val="auto"/>
        </w:rPr>
      </w:pPr>
      <w:r>
        <w:rPr>
          <w:rFonts w:ascii="Times New Roman" w:cs="Times New Roman" w:eastAsia="Times New Roman" w:hAnsi="Times New Roman"/>
          <w:sz w:val="21"/>
          <w:szCs w:val="21"/>
          <w:color w:val="auto"/>
        </w:rPr>
        <w:t>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49" w:lineRule="exact"/>
        <w:rPr>
          <w:sz w:val="20"/>
          <w:szCs w:val="20"/>
          <w:color w:val="auto"/>
        </w:rPr>
      </w:pPr>
    </w:p>
    <w:p>
      <w:pPr>
        <w:jc w:val="both"/>
        <w:ind w:firstLine="629"/>
        <w:spacing w:after="0" w:line="219" w:lineRule="auto"/>
        <w:tabs>
          <w:tab w:leader="none" w:pos="124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Severance Benefits Upon Termination by the Corporation Without Cause or by the Executive for Good Reason During the Change in Control Period</w:t>
      </w:r>
      <w:r>
        <w:rPr>
          <w:rFonts w:ascii="Times New Roman" w:cs="Times New Roman" w:eastAsia="Times New Roman" w:hAnsi="Times New Roman"/>
          <w:sz w:val="21"/>
          <w:szCs w:val="21"/>
          <w:color w:val="auto"/>
        </w:rPr>
        <w:t>. Upon the termination of the Executive’s employment by the Corporation without Cause or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 for Good Reason during a Change in Control Period, the Executive will be entitled to receive the Executive’s Accrued Compensation and, subject to the requirements of Section 5.F, will be entitled to receive the following payments and benefits, in each case, less required deductions and withholdings:</w:t>
      </w:r>
    </w:p>
    <w:p>
      <w:pPr>
        <w:spacing w:after="0" w:line="147" w:lineRule="exact"/>
        <w:rPr>
          <w:rFonts w:ascii="Times New Roman" w:cs="Times New Roman" w:eastAsia="Times New Roman" w:hAnsi="Times New Roman"/>
          <w:sz w:val="21"/>
          <w:szCs w:val="21"/>
          <w:color w:val="auto"/>
        </w:rPr>
      </w:pPr>
    </w:p>
    <w:p>
      <w:pPr>
        <w:ind w:left="1860" w:hanging="607"/>
        <w:spacing w:after="0"/>
        <w:tabs>
          <w:tab w:leader="none" w:pos="186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Cash Severance. </w:t>
      </w:r>
      <w:r>
        <w:rPr>
          <w:rFonts w:ascii="Times New Roman" w:cs="Times New Roman" w:eastAsia="Times New Roman" w:hAnsi="Times New Roman"/>
          <w:sz w:val="21"/>
          <w:szCs w:val="21"/>
          <w:color w:val="auto"/>
        </w:rPr>
        <w:t>The Corporation shall pay the Executive, as severance:</w:t>
      </w:r>
    </w:p>
    <w:p>
      <w:pPr>
        <w:spacing w:after="0" w:line="177" w:lineRule="exact"/>
        <w:rPr>
          <w:sz w:val="20"/>
          <w:szCs w:val="20"/>
          <w:color w:val="auto"/>
        </w:rPr>
      </w:pPr>
    </w:p>
    <w:p>
      <w:pPr>
        <w:jc w:val="both"/>
        <w:ind w:firstLine="1253"/>
        <w:spacing w:after="0" w:line="207" w:lineRule="auto"/>
        <w:tabs>
          <w:tab w:leader="none" w:pos="195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equivalent of twelve (12) months of the Executive’s Base Salary as in effect as of the date of such termination, payable in the form of salary continuation, on the Corporation’s regular payroll dates, subject to standard payroll deductions and withholdings, starting on the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after Executive’s termination date, with the first payment to include those payments that would have occurred earlier but for the 60-day delay; and</w:t>
      </w:r>
    </w:p>
    <w:p>
      <w:pPr>
        <w:spacing w:after="0" w:line="148" w:lineRule="exact"/>
        <w:rPr>
          <w:rFonts w:ascii="Times New Roman" w:cs="Times New Roman" w:eastAsia="Times New Roman" w:hAnsi="Times New Roman"/>
          <w:sz w:val="21"/>
          <w:szCs w:val="21"/>
          <w:color w:val="auto"/>
        </w:rPr>
      </w:pPr>
    </w:p>
    <w:p>
      <w:pPr>
        <w:jc w:val="both"/>
        <w:ind w:firstLine="1253"/>
        <w:spacing w:after="0" w:line="219" w:lineRule="auto"/>
        <w:tabs>
          <w:tab w:leader="none" w:pos="186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one hundred percent (100%)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For the avoidance of doubt, the amount payable pursuant to this Section 5.E(i)(B) shall not be subject to proration based on the portion of the year elapsed as of the date of termination.</w:t>
      </w:r>
    </w:p>
    <w:p>
      <w:pPr>
        <w:spacing w:after="0" w:line="145" w:lineRule="exact"/>
        <w:rPr>
          <w:sz w:val="20"/>
          <w:szCs w:val="20"/>
          <w:color w:val="auto"/>
        </w:rPr>
      </w:pPr>
    </w:p>
    <w:p>
      <w:pPr>
        <w:jc w:val="both"/>
        <w:ind w:firstLine="1253"/>
        <w:spacing w:after="0" w:line="212" w:lineRule="auto"/>
        <w:tabs>
          <w:tab w:leader="none" w:pos="1867"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Benefits Continuation</w:t>
      </w:r>
      <w:r>
        <w:rPr>
          <w:rFonts w:ascii="Times New Roman" w:cs="Times New Roman" w:eastAsia="Times New Roman" w:hAnsi="Times New Roman"/>
          <w:sz w:val="21"/>
          <w:szCs w:val="21"/>
          <w:color w:val="auto"/>
        </w:rPr>
        <w:t>. Provided that the Executive is then eligible for and timely elects continued coverage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ectPr>
          <w:pgSz w:w="11900" w:h="16838" w:orient="portrait"/>
          <w:cols w:equalWidth="0" w:num="1">
            <w:col w:w="11240"/>
          </w:cols>
          <w:pgMar w:left="320" w:top="1348" w:right="339" w:bottom="1440" w:gutter="0" w:footer="0" w:header="0"/>
        </w:sectPr>
      </w:pPr>
    </w:p>
    <w:bookmarkStart w:id="164" w:name="page165"/>
    <w:bookmarkEnd w:id="164"/>
    <w:p>
      <w:pPr>
        <w:jc w:val="both"/>
        <w:ind w:firstLine="1253"/>
        <w:spacing w:after="0" w:line="217" w:lineRule="auto"/>
        <w:tabs>
          <w:tab w:leader="none" w:pos="1873"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Equity Award Acceleration</w:t>
      </w:r>
      <w:r>
        <w:rPr>
          <w:rFonts w:ascii="Times New Roman" w:cs="Times New Roman" w:eastAsia="Times New Roman" w:hAnsi="Times New Roman"/>
          <w:sz w:val="21"/>
          <w:szCs w:val="21"/>
          <w:color w:val="auto"/>
        </w:rPr>
        <w:t>. The vesting of all unvested equity-based incentive compensation awards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outstanding as of the date of such Change in Control and held by the Executive as of the date of such termination shall be accelerated such that 100% of the shares underlying such awards shall be deemed immediately vested and, if applicable, exercisable;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146" w:lineRule="exact"/>
        <w:rPr>
          <w:rFonts w:ascii="Times New Roman" w:cs="Times New Roman" w:eastAsia="Times New Roman" w:hAnsi="Times New Roman"/>
          <w:sz w:val="21"/>
          <w:szCs w:val="21"/>
          <w:color w:val="auto"/>
        </w:rPr>
      </w:pPr>
    </w:p>
    <w:p>
      <w:pPr>
        <w:jc w:val="both"/>
        <w:ind w:firstLine="629"/>
        <w:spacing w:after="0" w:line="223" w:lineRule="auto"/>
        <w:tabs>
          <w:tab w:leader="none" w:pos="1231"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Conditions to Receipt of Severance Benefits</w:t>
      </w:r>
      <w:r>
        <w:rPr>
          <w:rFonts w:ascii="Times New Roman" w:cs="Times New Roman" w:eastAsia="Times New Roman" w:hAnsi="Times New Roman"/>
          <w:sz w:val="20"/>
          <w:szCs w:val="20"/>
          <w:color w:val="auto"/>
        </w:rPr>
        <w:t>. As a condition to receiving the payments and benefits set forth in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5.D and Section 5.E, (i) the Executive must execute and deliver to the Corporation a customary release of claims in a form reasonably acceptable to the Corporation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and the Release must have become effective and the revocation period provided therein must have expired without the Executive having revoked the Release within the 60-day period following the date of termination, and</w:t>
      </w:r>
    </w:p>
    <w:p>
      <w:pPr>
        <w:spacing w:after="0" w:line="3" w:lineRule="exact"/>
        <w:rPr>
          <w:rFonts w:ascii="Times New Roman" w:cs="Times New Roman" w:eastAsia="Times New Roman" w:hAnsi="Times New Roman"/>
          <w:sz w:val="20"/>
          <w:szCs w:val="20"/>
          <w:color w:val="auto"/>
        </w:rPr>
      </w:pPr>
    </w:p>
    <w:p>
      <w:pPr>
        <w:jc w:val="both"/>
        <w:ind w:firstLine="4"/>
        <w:spacing w:after="0" w:line="210" w:lineRule="auto"/>
        <w:tabs>
          <w:tab w:leader="none" w:pos="3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must not have revoked or breached the provisions of such Release or breached Section 9 or Section 12 of this Agreement, or the Proprietary Rights Agreement. The Corporation shall provide the Release to the Executive within 21 days following the date of termination. In the event the Corporation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or Section 12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 (C) will be required to reimburse the Corporation, in cash within five business days after written demand is made by the Corporation therefore, for an amount equal to the value of any payments or benefits the Executive received pursuant to Section 5.D or Section 5.E.</w:t>
      </w:r>
    </w:p>
    <w:p>
      <w:pPr>
        <w:spacing w:after="0" w:line="142" w:lineRule="exact"/>
        <w:rPr>
          <w:sz w:val="20"/>
          <w:szCs w:val="20"/>
          <w:color w:val="auto"/>
        </w:rPr>
      </w:pPr>
    </w:p>
    <w:p>
      <w:pPr>
        <w:ind w:left="620" w:hanging="616"/>
        <w:spacing w:after="0"/>
        <w:tabs>
          <w:tab w:leader="none" w:pos="62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PROPRIETARY RIGHTS AGREEMENT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25"/>
        <w:spacing w:after="0" w:line="229" w:lineRule="auto"/>
        <w:rPr>
          <w:sz w:val="20"/>
          <w:szCs w:val="20"/>
          <w:color w:val="auto"/>
        </w:rPr>
      </w:pPr>
      <w:r>
        <w:rPr>
          <w:rFonts w:ascii="Times New Roman" w:cs="Times New Roman" w:eastAsia="Times New Roman" w:hAnsi="Times New Roman"/>
          <w:sz w:val="21"/>
          <w:szCs w:val="21"/>
          <w:color w:val="auto"/>
        </w:rPr>
        <w:t>The Executive agrees to execute and abide by the Proprietary Information and Inventions Agreement (the “</w:t>
      </w:r>
      <w:r>
        <w:rPr>
          <w:rFonts w:ascii="Times New Roman" w:cs="Times New Roman" w:eastAsia="Times New Roman" w:hAnsi="Times New Roman"/>
          <w:sz w:val="21"/>
          <w:szCs w:val="21"/>
          <w:b w:val="1"/>
          <w:bCs w:val="1"/>
          <w:i w:val="1"/>
          <w:iCs w:val="1"/>
          <w:color w:val="auto"/>
        </w:rPr>
        <w:t>Proprietary Rights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which the Corporation requires each employee to execute, which is attached here to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which 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incorporated and made part of this Agreement.</w:t>
      </w:r>
    </w:p>
    <w:p>
      <w:pPr>
        <w:spacing w:after="0" w:line="141" w:lineRule="exact"/>
        <w:rPr>
          <w:sz w:val="20"/>
          <w:szCs w:val="20"/>
          <w:color w:val="auto"/>
        </w:rPr>
      </w:pPr>
    </w:p>
    <w:p>
      <w:pPr>
        <w:ind w:left="620" w:hanging="616"/>
        <w:spacing w:after="0"/>
        <w:tabs>
          <w:tab w:leader="none" w:pos="62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AGREEMENT ASSIGNMENT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25"/>
        <w:spacing w:after="0" w:line="219" w:lineRule="auto"/>
        <w:rPr>
          <w:sz w:val="20"/>
          <w:szCs w:val="20"/>
          <w:color w:val="auto"/>
        </w:rPr>
      </w:pPr>
      <w:r>
        <w:rPr>
          <w:rFonts w:ascii="Times New Roman" w:cs="Times New Roman" w:eastAsia="Times New Roman" w:hAnsi="Times New Roman"/>
          <w:sz w:val="21"/>
          <w:szCs w:val="21"/>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143" w:lineRule="exact"/>
        <w:rPr>
          <w:sz w:val="20"/>
          <w:szCs w:val="20"/>
          <w:color w:val="auto"/>
        </w:rPr>
      </w:pPr>
    </w:p>
    <w:p>
      <w:pPr>
        <w:ind w:left="620" w:hanging="616"/>
        <w:spacing w:after="0"/>
        <w:tabs>
          <w:tab w:leader="none" w:pos="62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EXCLUSIVE EMPLOYMENT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21"/>
          <w:szCs w:val="21"/>
          <w:color w:val="auto"/>
        </w:rPr>
        <w:t>During Executive’s employment with the Corporation, the Executive will not do anything to compete with the present or contemplated business of the Corporation, suffer to exist any conflict of interest in respect of Executive’s relationship with the Corporation or plan or organize any competitive business activity (with the understanding that the ownership by the Executive of</w:t>
      </w:r>
    </w:p>
    <w:p>
      <w:pPr>
        <w:sectPr>
          <w:pgSz w:w="11900" w:h="16838" w:orient="portrait"/>
          <w:cols w:equalWidth="0" w:num="1">
            <w:col w:w="11240"/>
          </w:cols>
          <w:pgMar w:left="320" w:top="1346" w:right="339" w:bottom="1440" w:gutter="0" w:footer="0" w:header="0"/>
        </w:sectPr>
      </w:pPr>
    </w:p>
    <w:bookmarkStart w:id="165" w:name="page166"/>
    <w:bookmarkEnd w:id="165"/>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less than one percent (1%) of the outstanding shares of common stock of a publicly traded corporation shall not be deemed to violate the requirements of this sentence). The Executive is not a party to and will not enter into any agreement that conflicts with Executive’s duties or obligations to the Corporation; all corporate opportunities which are consistent with the business and purpose of the Corporation are to be the property of the Corporation and cannot be used or disclosed by Executive for any purpose other than performing Executive’s duties for the Corporation and Executive shall present to the Corporation any such opportunities of which Executive becomes aware;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provisions of this sentence are subject to the provisions of Article Eighth of the Amended and Restated Certificate of Incorporation of the Corporation. Executive shall at all times strictly comply with the Corporation’s conflicts of interest policy and any other policies adopted by the Board.</w:t>
      </w:r>
    </w:p>
    <w:p>
      <w:pPr>
        <w:spacing w:after="0" w:line="147" w:lineRule="exact"/>
        <w:rPr>
          <w:sz w:val="20"/>
          <w:szCs w:val="20"/>
          <w:color w:val="auto"/>
        </w:rPr>
      </w:pPr>
    </w:p>
    <w:p>
      <w:pPr>
        <w:ind w:left="620" w:hanging="616"/>
        <w:spacing w:after="0"/>
        <w:tabs>
          <w:tab w:leader="none" w:pos="62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RESTRICTIVE COVENANTS</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b w:val="1"/>
          <w:bCs w:val="1"/>
          <w:color w:val="auto"/>
        </w:rPr>
      </w:pPr>
    </w:p>
    <w:p>
      <w:pPr>
        <w:jc w:val="both"/>
        <w:ind w:firstLine="629"/>
        <w:spacing w:after="0" w:line="217" w:lineRule="auto"/>
        <w:tabs>
          <w:tab w:leader="none" w:pos="1243"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Executive’s employment and the provisions of this Employment Agreement, Executive agrees that during Executive’s employment with the Corporation, and for a period of nine (9) months following the termination of Executive’s employment with the Corporation for any reason, Executive will not solicit on behalf of himself or any organization other than the Corporation any person or entity who is then or within the last twelve (12) months was a customer or vendor of the Corporation or render services directly or indirectly anywhere within the United States of America for himself or on behalf of any third-party to any organization that is a competitor of the Corporation as of the date of such termination.</w:t>
      </w:r>
    </w:p>
    <w:p>
      <w:pPr>
        <w:spacing w:after="0" w:line="146" w:lineRule="exact"/>
        <w:rPr>
          <w:rFonts w:ascii="Times New Roman" w:cs="Times New Roman" w:eastAsia="Times New Roman" w:hAnsi="Times New Roman"/>
          <w:sz w:val="21"/>
          <w:szCs w:val="21"/>
          <w:color w:val="auto"/>
        </w:rPr>
      </w:pPr>
    </w:p>
    <w:p>
      <w:pPr>
        <w:jc w:val="both"/>
        <w:ind w:firstLine="629"/>
        <w:spacing w:after="0" w:line="215" w:lineRule="auto"/>
        <w:tabs>
          <w:tab w:leader="none" w:pos="1245"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that for nine (9) months following the termination of Executive’s employment for any reason, Executive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Executive’s employment by Corporation,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50" w:lineRule="exact"/>
        <w:rPr>
          <w:rFonts w:ascii="Times New Roman" w:cs="Times New Roman" w:eastAsia="Times New Roman" w:hAnsi="Times New Roman"/>
          <w:sz w:val="21"/>
          <w:szCs w:val="21"/>
          <w:color w:val="auto"/>
        </w:rPr>
      </w:pPr>
    </w:p>
    <w:p>
      <w:pPr>
        <w:jc w:val="both"/>
        <w:ind w:firstLine="629"/>
        <w:spacing w:after="0" w:line="215" w:lineRule="auto"/>
        <w:tabs>
          <w:tab w:leader="none" w:pos="1245"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that the restrictions and agreements contained in this Agreement (including the Proprietary Rights Agreement) are reasonable and necessary to protect the legitimate interests of the Corporation and that any violation of the restrictive covenants contained herein will cause substantial and irreparable harm to the Corporation that would not be quantifiable and for which no adequate remedy would exist at law. Accordingly, Executive authorizes the issuance of injunctive relief against him without the requirement of posting bond, for any violation of e restrictive covenants contained herein. In addition, the parties agree that the prevailing party in any legal action to enforce this Agreement shall be entitled to recover its reasonable attorneys’ fees incurred in enforcing this Agreement from the non-prevailing party</w:t>
      </w:r>
    </w:p>
    <w:p>
      <w:pPr>
        <w:spacing w:after="0" w:line="146" w:lineRule="exact"/>
        <w:rPr>
          <w:rFonts w:ascii="Times New Roman" w:cs="Times New Roman" w:eastAsia="Times New Roman" w:hAnsi="Times New Roman"/>
          <w:sz w:val="21"/>
          <w:szCs w:val="21"/>
          <w:color w:val="auto"/>
        </w:rPr>
      </w:pPr>
    </w:p>
    <w:p>
      <w:pPr>
        <w:ind w:left="620" w:hanging="616"/>
        <w:spacing w:after="0"/>
        <w:tabs>
          <w:tab w:leader="none" w:pos="62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409A COMPLIANCE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25"/>
        <w:spacing w:after="0" w:line="217" w:lineRule="auto"/>
        <w:rPr>
          <w:sz w:val="20"/>
          <w:szCs w:val="20"/>
          <w:color w:val="auto"/>
        </w:rPr>
      </w:pPr>
      <w:r>
        <w:rPr>
          <w:rFonts w:ascii="Times New Roman" w:cs="Times New Roman" w:eastAsia="Times New Roman" w:hAnsi="Times New Roman"/>
          <w:sz w:val="21"/>
          <w:szCs w:val="21"/>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and the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Corporation and the Executive</w:t>
      </w:r>
    </w:p>
    <w:p>
      <w:pPr>
        <w:sectPr>
          <w:pgSz w:w="11900" w:h="16838" w:orient="portrait"/>
          <w:cols w:equalWidth="0" w:num="1">
            <w:col w:w="11240"/>
          </w:cols>
          <w:pgMar w:left="320" w:top="1348" w:right="339" w:bottom="1440" w:gutter="0" w:footer="0" w:header="0"/>
        </w:sectPr>
      </w:pPr>
    </w:p>
    <w:bookmarkStart w:id="166" w:name="page167"/>
    <w:bookmarkEnd w:id="166"/>
    <w:p>
      <w:pPr>
        <w:jc w:val="both"/>
        <w:spacing w:after="0" w:line="227" w:lineRule="auto"/>
        <w:rPr>
          <w:sz w:val="20"/>
          <w:szCs w:val="20"/>
          <w:color w:val="auto"/>
        </w:rPr>
      </w:pPr>
      <w:r>
        <w:rPr>
          <w:rFonts w:ascii="Times New Roman" w:cs="Times New Roman" w:eastAsia="Times New Roman" w:hAnsi="Times New Roman"/>
          <w:sz w:val="20"/>
          <w:szCs w:val="20"/>
          <w:color w:val="auto"/>
        </w:rPr>
        <w:t>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 that the constitutes “nonqualified deferred compensation” within the meaning of Code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Times New Roman" w:cs="Times New Roman" w:eastAsia="Times New Roman" w:hAnsi="Times New Roman"/>
          <w:sz w:val="20"/>
          <w:szCs w:val="20"/>
          <w:b w:val="1"/>
          <w:bCs w:val="1"/>
          <w:i w:val="1"/>
          <w:iCs w:val="1"/>
          <w:color w:val="auto"/>
        </w:rPr>
        <w:t>409A Suspension Period</w:t>
      </w:r>
      <w:r>
        <w:rPr>
          <w:rFonts w:ascii="Times New Roman" w:cs="Times New Roman" w:eastAsia="Times New Roman" w:hAnsi="Times New Roman"/>
          <w:sz w:val="20"/>
          <w:szCs w:val="20"/>
          <w:color w:val="auto"/>
        </w:rPr>
        <w:t>”). Within 14 calendar days after the end of the 409A Suspension Period, the Executive shall be paid a cash lump sum 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409A Suspension Period beforehand). To the extent not otherwise specified in this Agreement, all (A) reimbursements and (B) in-kind benefits provided under this Agreement shall be made or provided in accordance with the requirements of Section 409A,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159" w:lineRule="exact"/>
        <w:rPr>
          <w:sz w:val="20"/>
          <w:szCs w:val="20"/>
          <w:color w:val="auto"/>
        </w:rPr>
      </w:pPr>
    </w:p>
    <w:p>
      <w:pPr>
        <w:ind w:left="620" w:hanging="616"/>
        <w:spacing w:after="0"/>
        <w:tabs>
          <w:tab w:leader="none" w:pos="62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280G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25"/>
        <w:spacing w:after="0" w:line="214" w:lineRule="auto"/>
        <w:rPr>
          <w:sz w:val="20"/>
          <w:szCs w:val="20"/>
          <w:color w:val="auto"/>
        </w:rPr>
      </w:pPr>
      <w:r>
        <w:rPr>
          <w:rFonts w:ascii="Times New Roman" w:cs="Times New Roman" w:eastAsia="Times New Roman" w:hAnsi="Times New Roman"/>
          <w:sz w:val="21"/>
          <w:szCs w:val="21"/>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w:t>
      </w:r>
    </w:p>
    <w:p>
      <w:pPr>
        <w:sectPr>
          <w:pgSz w:w="11900" w:h="16838" w:orient="portrait"/>
          <w:cols w:equalWidth="0" w:num="1">
            <w:col w:w="11240"/>
          </w:cols>
          <w:pgMar w:left="320" w:top="1348" w:right="339" w:bottom="1440" w:gutter="0" w:footer="0" w:header="0"/>
        </w:sectPr>
      </w:pPr>
    </w:p>
    <w:bookmarkStart w:id="167" w:name="page168"/>
    <w:bookmarkEnd w:id="167"/>
    <w:p>
      <w:pPr>
        <w:jc w:val="both"/>
        <w:spacing w:after="0" w:line="213" w:lineRule="auto"/>
        <w:rPr>
          <w:sz w:val="20"/>
          <w:szCs w:val="20"/>
          <w:color w:val="auto"/>
        </w:rPr>
      </w:pPr>
      <w:r>
        <w:rPr>
          <w:rFonts w:ascii="Times New Roman" w:cs="Times New Roman" w:eastAsia="Times New Roman" w:hAnsi="Times New Roman"/>
          <w:sz w:val="21"/>
          <w:szCs w:val="21"/>
          <w:color w:val="auto"/>
        </w:rPr>
        <w:t>in the following order: (i) reduction of cash payments, (ii) cancellation of accelerated vesting of equity awards, and (iii) reduction of other benefits payable to the Executive. Unless the Corporation and the Executive otherwise agree in writing, any determination required under this Section 11 shall be made in writing by the Corporation’s independent public accountants (the “</w:t>
      </w:r>
      <w:r>
        <w:rPr>
          <w:rFonts w:ascii="Times New Roman" w:cs="Times New Roman" w:eastAsia="Times New Roman" w:hAnsi="Times New Roman"/>
          <w:sz w:val="21"/>
          <w:szCs w:val="21"/>
          <w:b w:val="1"/>
          <w:bCs w:val="1"/>
          <w:i w:val="1"/>
          <w:iCs w:val="1"/>
          <w:color w:val="auto"/>
        </w:rPr>
        <w:t>Accountants</w:t>
      </w:r>
      <w:r>
        <w:rPr>
          <w:rFonts w:ascii="Times New Roman" w:cs="Times New Roman" w:eastAsia="Times New Roman" w:hAnsi="Times New Roman"/>
          <w:sz w:val="21"/>
          <w:szCs w:val="21"/>
          <w:color w:val="auto"/>
        </w:rPr>
        <w:t>”),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Corporation and the Executive shall furnish to the Accountants such information and documents as the Accountants may reasonably request in order to make a determination under this Section 11. The Corporation shall bear all costs the Accountants may reasonably incur in connection with any calculations contemplated by this Section 11.</w:t>
      </w:r>
    </w:p>
    <w:p>
      <w:pPr>
        <w:spacing w:after="0" w:line="149" w:lineRule="exact"/>
        <w:rPr>
          <w:sz w:val="20"/>
          <w:szCs w:val="20"/>
          <w:color w:val="auto"/>
        </w:rPr>
      </w:pPr>
    </w:p>
    <w:p>
      <w:pPr>
        <w:ind w:left="620" w:hanging="616"/>
        <w:spacing w:after="0"/>
        <w:tabs>
          <w:tab w:leader="none" w:pos="62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INDEMNIFICATION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25"/>
        <w:spacing w:after="0" w:line="217" w:lineRule="auto"/>
        <w:rPr>
          <w:sz w:val="20"/>
          <w:szCs w:val="20"/>
          <w:color w:val="auto"/>
        </w:rPr>
      </w:pPr>
      <w:r>
        <w:rPr>
          <w:rFonts w:ascii="Times New Roman" w:cs="Times New Roman" w:eastAsia="Times New Roman" w:hAnsi="Times New Roman"/>
          <w:sz w:val="21"/>
          <w:szCs w:val="21"/>
          <w:color w:val="auto"/>
        </w:rPr>
        <w:t>The Corporation shall indemnify the Executive, to the maximum extent permitted by applicable law, and in the same or 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 by the Executive in connection with any action, suit or proceeding to which the Executive may be made a 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143" w:lineRule="exact"/>
        <w:rPr>
          <w:sz w:val="20"/>
          <w:szCs w:val="20"/>
          <w:color w:val="auto"/>
        </w:rPr>
      </w:pPr>
    </w:p>
    <w:p>
      <w:pPr>
        <w:ind w:left="620" w:hanging="616"/>
        <w:spacing w:after="0"/>
        <w:tabs>
          <w:tab w:leader="none" w:pos="62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DUTY TO MITIGATE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25"/>
        <w:spacing w:after="0" w:line="238" w:lineRule="auto"/>
        <w:rPr>
          <w:sz w:val="20"/>
          <w:szCs w:val="20"/>
          <w:color w:val="auto"/>
        </w:rPr>
      </w:pPr>
      <w:r>
        <w:rPr>
          <w:rFonts w:ascii="Times New Roman" w:cs="Times New Roman" w:eastAsia="Times New Roman" w:hAnsi="Times New Roman"/>
          <w:sz w:val="21"/>
          <w:szCs w:val="21"/>
          <w:color w:val="auto"/>
        </w:rPr>
        <w:t>In no event shall the Executive be obligated to seek other employment or take any other action by way of mitigation of the amounts payable to the Executive under any provisions of this Agreement.</w:t>
      </w:r>
    </w:p>
    <w:p>
      <w:pPr>
        <w:spacing w:after="0" w:line="141" w:lineRule="exact"/>
        <w:rPr>
          <w:sz w:val="20"/>
          <w:szCs w:val="20"/>
          <w:color w:val="auto"/>
        </w:rPr>
      </w:pPr>
    </w:p>
    <w:p>
      <w:pPr>
        <w:ind w:left="620" w:hanging="616"/>
        <w:spacing w:after="0"/>
        <w:tabs>
          <w:tab w:leader="none" w:pos="62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b w:val="1"/>
          <w:bCs w:val="1"/>
          <w:color w:val="auto"/>
        </w:rPr>
      </w:pPr>
    </w:p>
    <w:p>
      <w:pPr>
        <w:jc w:val="both"/>
        <w:ind w:firstLine="629"/>
        <w:spacing w:after="0" w:line="219" w:lineRule="auto"/>
        <w:tabs>
          <w:tab w:leader="none" w:pos="1243"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construed in accordance with and governed by the laws of the State of New York, without reference to the principles thereof respecting conflicts of laws. Each party to this Agreement, by his, her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47" w:lineRule="exact"/>
        <w:rPr>
          <w:rFonts w:ascii="Times New Roman" w:cs="Times New Roman" w:eastAsia="Times New Roman" w:hAnsi="Times New Roman"/>
          <w:sz w:val="21"/>
          <w:szCs w:val="21"/>
          <w:color w:val="auto"/>
        </w:rPr>
      </w:pPr>
    </w:p>
    <w:p>
      <w:pPr>
        <w:jc w:val="both"/>
        <w:ind w:firstLine="629"/>
        <w:spacing w:after="0" w:line="227" w:lineRule="auto"/>
        <w:tabs>
          <w:tab w:leader="none" w:pos="1245"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47" w:lineRule="exact"/>
        <w:rPr>
          <w:rFonts w:ascii="Times New Roman" w:cs="Times New Roman" w:eastAsia="Times New Roman" w:hAnsi="Times New Roman"/>
          <w:sz w:val="21"/>
          <w:szCs w:val="21"/>
          <w:color w:val="auto"/>
        </w:rPr>
      </w:pPr>
    </w:p>
    <w:p>
      <w:pPr>
        <w:ind w:firstLine="629"/>
        <w:spacing w:after="0" w:line="238" w:lineRule="auto"/>
        <w:tabs>
          <w:tab w:leader="none" w:pos="1245"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binding upon the Corporation, its permitted successors and assigns and the Executive, Executive’s heirs, executors, administrators and legal representatives.</w:t>
      </w:r>
    </w:p>
    <w:p>
      <w:pPr>
        <w:spacing w:after="0" w:line="145" w:lineRule="exact"/>
        <w:rPr>
          <w:rFonts w:ascii="Times New Roman" w:cs="Times New Roman" w:eastAsia="Times New Roman" w:hAnsi="Times New Roman"/>
          <w:sz w:val="21"/>
          <w:szCs w:val="21"/>
          <w:color w:val="auto"/>
        </w:rPr>
      </w:pPr>
    </w:p>
    <w:p>
      <w:pPr>
        <w:jc w:val="both"/>
        <w:ind w:firstLine="629"/>
        <w:spacing w:after="0" w:line="227" w:lineRule="auto"/>
        <w:tabs>
          <w:tab w:leader="none" w:pos="1243"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the Proprietary Rights Agreement set forth the entire understanding of the parties hereto with respect to the employment of the Executive by the Corporation. Any and all other previous agreements and understandings between or among the</w:t>
      </w:r>
    </w:p>
    <w:p>
      <w:pPr>
        <w:sectPr>
          <w:pgSz w:w="11900" w:h="16838" w:orient="portrait"/>
          <w:cols w:equalWidth="0" w:num="1">
            <w:col w:w="11240"/>
          </w:cols>
          <w:pgMar w:left="320" w:top="1348" w:right="339" w:bottom="1440" w:gutter="0" w:footer="0" w:header="0"/>
        </w:sectPr>
      </w:pPr>
    </w:p>
    <w:bookmarkStart w:id="168" w:name="page169"/>
    <w:bookmarkEnd w:id="168"/>
    <w:p>
      <w:pPr>
        <w:spacing w:after="0" w:line="238" w:lineRule="auto"/>
        <w:rPr>
          <w:sz w:val="20"/>
          <w:szCs w:val="20"/>
          <w:color w:val="auto"/>
        </w:rPr>
      </w:pPr>
      <w:r>
        <w:rPr>
          <w:rFonts w:ascii="Times New Roman" w:cs="Times New Roman" w:eastAsia="Times New Roman" w:hAnsi="Times New Roman"/>
          <w:sz w:val="21"/>
          <w:szCs w:val="21"/>
          <w:color w:val="auto"/>
        </w:rPr>
        <w:t>parties regarding the subject matter hereof, whether written or oral, including the Prior Agreements, are hereby released, merged herein and superseded by this Agreement.</w:t>
      </w:r>
    </w:p>
    <w:p>
      <w:pPr>
        <w:spacing w:after="0" w:line="145" w:lineRule="exact"/>
        <w:rPr>
          <w:sz w:val="20"/>
          <w:szCs w:val="20"/>
          <w:color w:val="auto"/>
        </w:rPr>
      </w:pPr>
    </w:p>
    <w:p>
      <w:pPr>
        <w:ind w:firstLine="629"/>
        <w:spacing w:after="0" w:line="238" w:lineRule="auto"/>
        <w:tabs>
          <w:tab w:leader="none" w:pos="124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statement, representation, warranty, covenant or agreement not expressly set forth in this Agreement shall affect or be used to interpret, change or restrict the express terms and provisions of this Agreement.</w:t>
      </w:r>
    </w:p>
    <w:p>
      <w:pPr>
        <w:spacing w:after="0" w:line="145" w:lineRule="exact"/>
        <w:rPr>
          <w:rFonts w:ascii="Times New Roman" w:cs="Times New Roman" w:eastAsia="Times New Roman" w:hAnsi="Times New Roman"/>
          <w:sz w:val="21"/>
          <w:szCs w:val="21"/>
          <w:color w:val="auto"/>
        </w:rPr>
      </w:pPr>
    </w:p>
    <w:p>
      <w:pPr>
        <w:jc w:val="both"/>
        <w:ind w:firstLine="629"/>
        <w:spacing w:after="0" w:line="217" w:lineRule="auto"/>
        <w:tabs>
          <w:tab w:leader="none" w:pos="123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46" w:lineRule="exact"/>
        <w:rPr>
          <w:rFonts w:ascii="Times New Roman" w:cs="Times New Roman" w:eastAsia="Times New Roman" w:hAnsi="Times New Roman"/>
          <w:sz w:val="21"/>
          <w:szCs w:val="21"/>
          <w:color w:val="auto"/>
        </w:rPr>
      </w:pPr>
    </w:p>
    <w:p>
      <w:pPr>
        <w:jc w:val="both"/>
        <w:ind w:firstLine="629"/>
        <w:spacing w:after="0" w:line="227" w:lineRule="auto"/>
        <w:tabs>
          <w:tab w:leader="none" w:pos="124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pacing w:after="0" w:line="147" w:lineRule="exact"/>
        <w:rPr>
          <w:rFonts w:ascii="Times New Roman" w:cs="Times New Roman" w:eastAsia="Times New Roman" w:hAnsi="Times New Roman"/>
          <w:sz w:val="21"/>
          <w:szCs w:val="21"/>
          <w:color w:val="auto"/>
        </w:rPr>
      </w:pPr>
    </w:p>
    <w:p>
      <w:pPr>
        <w:jc w:val="both"/>
        <w:ind w:firstLine="629"/>
        <w:spacing w:after="0" w:line="219" w:lineRule="auto"/>
        <w:tabs>
          <w:tab w:leader="none" w:pos="124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47" w:lineRule="exact"/>
        <w:rPr>
          <w:rFonts w:ascii="Times New Roman" w:cs="Times New Roman" w:eastAsia="Times New Roman" w:hAnsi="Times New Roman"/>
          <w:sz w:val="21"/>
          <w:szCs w:val="21"/>
          <w:color w:val="auto"/>
        </w:rPr>
      </w:pPr>
    </w:p>
    <w:p>
      <w:pPr>
        <w:ind w:left="4560" w:right="260" w:hanging="3931"/>
        <w:spacing w:after="0" w:line="443" w:lineRule="auto"/>
        <w:tabs>
          <w:tab w:leader="none" w:pos="123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Section 4, 5, 6, 9, 10, 12, 13, and 14 shall survive any termination or expiration of this Agreement. [Signature Page Follows]</w:t>
      </w:r>
    </w:p>
    <w:p>
      <w:pPr>
        <w:sectPr>
          <w:pgSz w:w="11900" w:h="16838" w:orient="portrait"/>
          <w:cols w:equalWidth="0" w:num="1">
            <w:col w:w="11240"/>
          </w:cols>
          <w:pgMar w:left="320" w:top="134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color w:val="auto"/>
        </w:rPr>
        <w:t>IN WITNESS WHEREOF, the parties hereto have duly executed this Agreement as of the date first above written.</w:t>
      </w:r>
    </w:p>
    <w:p>
      <w:pPr>
        <w:sectPr>
          <w:pgSz w:w="11900" w:h="16838" w:orient="portrait"/>
          <w:cols w:equalWidth="0" w:num="1">
            <w:col w:w="9540"/>
          </w:cols>
          <w:pgMar w:left="940" w:top="1348" w:right="1419" w:bottom="1440" w:gutter="0" w:footer="0" w:header="0"/>
        </w:sectPr>
      </w:pP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CORPORATION:</w:t>
      </w:r>
    </w:p>
    <w:p>
      <w:pPr>
        <w:spacing w:after="0" w:line="18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Sema4 Holdings Corp.</w:t>
      </w:r>
    </w:p>
    <w:p>
      <w:pPr>
        <w:spacing w:after="0" w:line="38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-5715</wp:posOffset>
            </wp:positionV>
            <wp:extent cx="9029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ind w:left="4140"/>
        <w:spacing w:after="0" w:line="206" w:lineRule="auto"/>
        <w:rPr>
          <w:sz w:val="20"/>
          <w:szCs w:val="20"/>
          <w:color w:val="auto"/>
        </w:rPr>
      </w:pPr>
      <w:r>
        <w:rPr>
          <w:rFonts w:ascii="Times New Roman" w:cs="Times New Roman" w:eastAsia="Times New Roman" w:hAnsi="Times New Roman"/>
          <w:sz w:val="21"/>
          <w:szCs w:val="21"/>
          <w:color w:val="auto"/>
        </w:rPr>
        <w:t>Name: Eric Schadt</w:t>
      </w:r>
    </w:p>
    <w:p>
      <w:pPr>
        <w:spacing w:after="0" w:line="1" w:lineRule="exact"/>
        <w:rPr>
          <w:sz w:val="20"/>
          <w:szCs w:val="20"/>
          <w:color w:val="auto"/>
        </w:rPr>
      </w:pPr>
    </w:p>
    <w:p>
      <w:pPr>
        <w:jc w:val="right"/>
        <w:ind w:right="290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36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THE EXECUTIVE:</w:t>
      </w:r>
    </w:p>
    <w:p>
      <w:pPr>
        <w:spacing w:after="0" w:line="38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2384425</wp:posOffset>
            </wp:positionH>
            <wp:positionV relativeFrom="paragraph">
              <wp:posOffset>-5715</wp:posOffset>
            </wp:positionV>
            <wp:extent cx="9982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21"/>
          <w:szCs w:val="21"/>
          <w:color w:val="auto"/>
        </w:rPr>
        <w:t>Kevin Feeley</w:t>
      </w:r>
    </w:p>
    <w:p>
      <w:pPr>
        <w:sectPr>
          <w:pgSz w:w="11900" w:h="16838" w:orient="portrait"/>
          <w:cols w:equalWidth="0" w:num="1">
            <w:col w:w="9540"/>
          </w:cols>
          <w:pgMar w:left="940" w:top="1348" w:right="1419" w:bottom="1440" w:gutter="0" w:footer="0" w:header="0"/>
          <w:type w:val="continuous"/>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Proprietary Information and Inventions Agreement</w:t>
      </w:r>
    </w:p>
    <w:p>
      <w:pPr>
        <w:sectPr>
          <w:pgSz w:w="11900" w:h="16838" w:orient="portrait"/>
          <w:cols w:equalWidth="0" w:num="1">
            <w:col w:w="9019"/>
          </w:cols>
          <w:pgMar w:left="1440" w:top="1339" w:right="1440" w:bottom="1440" w:gutter="0" w:footer="0" w:header="0"/>
        </w:sectPr>
      </w:pPr>
    </w:p>
    <w:bookmarkStart w:id="171" w:name="page172"/>
    <w:bookmarkEnd w:id="171"/>
    <w:p>
      <w:pPr>
        <w:ind w:left="6040"/>
        <w:spacing w:after="0"/>
        <w:rPr>
          <w:sz w:val="20"/>
          <w:szCs w:val="20"/>
          <w:color w:val="auto"/>
        </w:rPr>
      </w:pPr>
      <w:r>
        <w:rPr>
          <w:rFonts w:ascii="Times New Roman" w:cs="Times New Roman" w:eastAsia="Times New Roman" w:hAnsi="Times New Roman"/>
          <w:sz w:val="21"/>
          <w:szCs w:val="21"/>
          <w:b w:val="1"/>
          <w:bCs w:val="1"/>
          <w:color w:val="auto"/>
        </w:rPr>
        <w:t>Exhibit 10.34</w:t>
      </w:r>
    </w:p>
    <w:p>
      <w:pPr>
        <w:spacing w:after="0" w:line="200" w:lineRule="exact"/>
        <w:rPr>
          <w:sz w:val="20"/>
          <w:szCs w:val="20"/>
          <w:color w:val="auto"/>
        </w:rPr>
      </w:pPr>
    </w:p>
    <w:p>
      <w:pPr>
        <w:spacing w:after="0" w:line="209" w:lineRule="exact"/>
        <w:rPr>
          <w:sz w:val="20"/>
          <w:szCs w:val="20"/>
          <w:color w:val="auto"/>
        </w:rPr>
      </w:pPr>
    </w:p>
    <w:p>
      <w:pPr>
        <w:jc w:val="center"/>
        <w:ind w:left="340" w:right="280"/>
        <w:spacing w:after="0" w:line="229" w:lineRule="auto"/>
        <w:rPr>
          <w:sz w:val="20"/>
          <w:szCs w:val="20"/>
          <w:color w:val="auto"/>
        </w:rPr>
      </w:pPr>
      <w:r>
        <w:rPr>
          <w:rFonts w:ascii="Times New Roman" w:cs="Times New Roman" w:eastAsia="Times New Roman" w:hAnsi="Times New Roman"/>
          <w:sz w:val="21"/>
          <w:szCs w:val="21"/>
          <w:b w:val="1"/>
          <w:bCs w:val="1"/>
          <w:color w:val="auto"/>
        </w:rPr>
        <w:t>CERTAIN CONFIDENTIAL INFORMATION CONTAINED IN THIS DOCUMENT, MARKED BY [***], HAS BEEN OMITTED BECAUSE IT IS NOT MATERIAL AND IS THE TYPE THAT THE REGISTRANT TREATS AS PRIVATE AND CONFIDENTIAL.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1 to</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Bio</w:t>
      </w:r>
      <w:r>
        <w:rPr>
          <w:rFonts w:ascii="Times New Roman" w:cs="Times New Roman" w:eastAsia="Times New Roman" w:hAnsi="Times New Roman"/>
          <w:sz w:val="21"/>
          <w:szCs w:val="21"/>
          <w:b w:val="1"/>
          <w:bCs w:val="1"/>
          <w:i w:val="1"/>
          <w:iCs w:val="1"/>
          <w:color w:val="auto"/>
        </w:rPr>
        <w:t>Me</w:t>
      </w:r>
      <w:r>
        <w:rPr>
          <w:rFonts w:ascii="Times New Roman" w:cs="Times New Roman" w:eastAsia="Times New Roman" w:hAnsi="Times New Roman"/>
          <w:sz w:val="21"/>
          <w:szCs w:val="21"/>
          <w:b w:val="1"/>
          <w:bCs w:val="1"/>
          <w:color w:val="auto"/>
        </w:rPr>
        <w:t xml:space="preserve"> Biospecimen and Data Access Agreement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between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Icahn School of Medicine at Mount Sinai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And Sema4 OpCo, Inc.</w:t>
      </w:r>
    </w:p>
    <w:p>
      <w:pPr>
        <w:spacing w:after="0" w:line="28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This Amendment No.1 (the “Amendment”), effective as of January 19, 2023, is entered into by and between Icahn School of Medicine at Mount Sinai, a New York not-for-profit education corporation, having a principal place of business at One Gustave L. Levy Place, New York, NY 10029 (“Mount Sinai”) and Sema4 OpCo, Inc., formerly known as Mount Sinai Genomics, Inc. d/b/a Sema4, a Delaware corporation with a principal place of business at 333 Ludlow Street, Stamford, CT 06902 (“Sema4”).</w:t>
      </w:r>
    </w:p>
    <w:p>
      <w:pPr>
        <w:spacing w:after="0" w:line="191"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21"/>
          <w:szCs w:val="21"/>
          <w:color w:val="auto"/>
        </w:rPr>
        <w:t>WHEREAS, Mount Sinai and Sema4 entered into a Bio</w:t>
      </w:r>
      <w:r>
        <w:rPr>
          <w:rFonts w:ascii="Times New Roman" w:cs="Times New Roman" w:eastAsia="Times New Roman" w:hAnsi="Times New Roman"/>
          <w:sz w:val="21"/>
          <w:szCs w:val="21"/>
          <w:i w:val="1"/>
          <w:iCs w:val="1"/>
          <w:color w:val="auto"/>
        </w:rPr>
        <w:t>Me</w:t>
      </w:r>
      <w:r>
        <w:rPr>
          <w:rFonts w:ascii="Times New Roman" w:cs="Times New Roman" w:eastAsia="Times New Roman" w:hAnsi="Times New Roman"/>
          <w:sz w:val="21"/>
          <w:szCs w:val="21"/>
          <w:color w:val="auto"/>
        </w:rPr>
        <w:t xml:space="preserve"> Biospecimen and Data Access Agreement, with an effective date of July 19, 2019 (the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WHEREAS, the parties intend to amend the Agreement for the purpose of [***], and [***];</w:t>
      </w:r>
    </w:p>
    <w:p>
      <w:pPr>
        <w:spacing w:after="0" w:line="27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21"/>
          <w:szCs w:val="21"/>
          <w:color w:val="auto"/>
        </w:rPr>
        <w:t>NOW THEREFORE, in consideration of the mutual obligations in this Amendment and for other good consideration, the receipt and sufficiency of which are hereby acknowledged, Mount Sinai and Company hereby agree as follows:</w:t>
      </w:r>
    </w:p>
    <w:p>
      <w:pPr>
        <w:spacing w:after="0" w:line="175" w:lineRule="exact"/>
        <w:rPr>
          <w:sz w:val="20"/>
          <w:szCs w:val="20"/>
          <w:color w:val="auto"/>
        </w:rPr>
      </w:pPr>
    </w:p>
    <w:p>
      <w:pPr>
        <w:ind w:left="620" w:hanging="304"/>
        <w:spacing w:after="0"/>
        <w:tabs>
          <w:tab w:leader="none" w:pos="6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capitalized terms used but not defined herein shall have the respective meanings ascribed to such terms in the Agreement.</w:t>
      </w:r>
    </w:p>
    <w:p>
      <w:pPr>
        <w:spacing w:after="0" w:line="265" w:lineRule="exact"/>
        <w:rPr>
          <w:rFonts w:ascii="Times New Roman" w:cs="Times New Roman" w:eastAsia="Times New Roman" w:hAnsi="Times New Roman"/>
          <w:sz w:val="21"/>
          <w:szCs w:val="21"/>
          <w:color w:val="auto"/>
        </w:rPr>
      </w:pPr>
    </w:p>
    <w:p>
      <w:pPr>
        <w:ind w:left="620" w:hanging="304"/>
        <w:spacing w:after="0"/>
        <w:tabs>
          <w:tab w:leader="none" w:pos="6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10.4(a) of the Agreement shall be deleted and hereby replaced in its entirety with the following:</w:t>
      </w:r>
    </w:p>
    <w:p>
      <w:pPr>
        <w:spacing w:after="0" w:line="331" w:lineRule="exact"/>
        <w:rPr>
          <w:sz w:val="20"/>
          <w:szCs w:val="20"/>
          <w:color w:val="auto"/>
        </w:rPr>
      </w:pPr>
    </w:p>
    <w:p>
      <w:pPr>
        <w:ind w:left="700" w:right="160"/>
        <w:spacing w:after="0" w:line="222" w:lineRule="auto"/>
        <w:rPr>
          <w:sz w:val="20"/>
          <w:szCs w:val="20"/>
          <w:color w:val="auto"/>
        </w:rPr>
      </w:pPr>
      <w:r>
        <w:rPr>
          <w:rFonts w:ascii="Times New Roman" w:cs="Times New Roman" w:eastAsia="Times New Roman" w:hAnsi="Times New Roman"/>
          <w:sz w:val="21"/>
          <w:szCs w:val="21"/>
          <w:color w:val="auto"/>
        </w:rPr>
        <w:t xml:space="preserve">“Upon termination or expiration of this Agreement, or promptly following ISMMS’s acceptance of [***] Biospecimens in accordance with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Sema4 shall [***] Biospecimens, including any Biospecimens [***], and shall cause any Sema4 Subcontractor to [***] Biospecimens. Sema4 shall [***] substantially in the form of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attached hereto [***], except that Sema4 may [***]. For purposes of this Agreement, [***] means [***].”</w:t>
      </w:r>
    </w:p>
    <w:p>
      <w:pPr>
        <w:sectPr>
          <w:pgSz w:w="11900" w:h="16838" w:orient="portrait"/>
          <w:cols w:equalWidth="0" w:num="1">
            <w:col w:w="11240"/>
          </w:cols>
          <w:pgMar w:left="320" w:top="1383" w:right="339" w:bottom="1440" w:gutter="0" w:footer="0" w:header="0"/>
        </w:sectPr>
      </w:pPr>
    </w:p>
    <w:bookmarkStart w:id="172" w:name="page173"/>
    <w:bookmarkEnd w:id="172"/>
    <w:p>
      <w:pPr>
        <w:spacing w:after="0" w:line="234" w:lineRule="exact"/>
        <w:rPr>
          <w:sz w:val="20"/>
          <w:szCs w:val="20"/>
          <w:color w:val="auto"/>
        </w:rPr>
      </w:pPr>
    </w:p>
    <w:p>
      <w:pPr>
        <w:ind w:left="620" w:hanging="304"/>
        <w:spacing w:after="0"/>
        <w:tabs>
          <w:tab w:leader="none" w:pos="6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Exhibit D of the Agreement shall be deleted and hereby replaced in its entirety with Exhibit D1 attached hereto.</w:t>
      </w:r>
    </w:p>
    <w:p>
      <w:pPr>
        <w:spacing w:after="0" w:line="265" w:lineRule="exact"/>
        <w:rPr>
          <w:rFonts w:ascii="Times New Roman" w:cs="Times New Roman" w:eastAsia="Times New Roman" w:hAnsi="Times New Roman"/>
          <w:sz w:val="21"/>
          <w:szCs w:val="21"/>
          <w:color w:val="auto"/>
        </w:rPr>
      </w:pPr>
    </w:p>
    <w:p>
      <w:pPr>
        <w:ind w:left="620" w:hanging="304"/>
        <w:spacing w:after="0"/>
        <w:tabs>
          <w:tab w:leader="none" w:pos="6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Exhibit E of the Agreement shall be deleted and hereby replaced in its entirety with Exhibit E1 attached hereto.</w:t>
      </w:r>
    </w:p>
    <w:p>
      <w:pPr>
        <w:spacing w:after="0" w:line="265" w:lineRule="exact"/>
        <w:rPr>
          <w:rFonts w:ascii="Times New Roman" w:cs="Times New Roman" w:eastAsia="Times New Roman" w:hAnsi="Times New Roman"/>
          <w:sz w:val="21"/>
          <w:szCs w:val="21"/>
          <w:color w:val="auto"/>
        </w:rPr>
      </w:pPr>
    </w:p>
    <w:p>
      <w:pPr>
        <w:ind w:left="620" w:hanging="304"/>
        <w:spacing w:after="0"/>
        <w:tabs>
          <w:tab w:leader="none" w:pos="6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Exhibit G attached hereto is hereby added to the Agreement.</w:t>
      </w:r>
    </w:p>
    <w:p>
      <w:pPr>
        <w:spacing w:after="0" w:line="278" w:lineRule="exact"/>
        <w:rPr>
          <w:rFonts w:ascii="Times New Roman" w:cs="Times New Roman" w:eastAsia="Times New Roman" w:hAnsi="Times New Roman"/>
          <w:sz w:val="21"/>
          <w:szCs w:val="21"/>
          <w:color w:val="auto"/>
        </w:rPr>
      </w:pPr>
    </w:p>
    <w:p>
      <w:pPr>
        <w:jc w:val="both"/>
        <w:ind w:left="620" w:hanging="304"/>
        <w:spacing w:after="0" w:line="286" w:lineRule="auto"/>
        <w:tabs>
          <w:tab w:leader="none" w:pos="6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terms and conditions to the Agreement remain unchanged and in full force and effect except to the extent modified by the terms and conditions of this Amendment. The Agreement, as modified by this Amendment, contains the entire understanding of the parties with respect to the subject matter contemplated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caused their duly authorized representatives to execute this Amendment.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ICAHN SCHOOL OF MEDICINE 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MOUNT SINAI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Erik Lium_________________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-11430</wp:posOffset>
            </wp:positionV>
            <wp:extent cx="737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3787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Erik Lium, PhD____________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Title:_</w:t>
      </w: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color w:val="auto"/>
        </w:rPr>
        <w:t>__________________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Date:_</w:t>
      </w:r>
      <w:r>
        <w:rPr>
          <w:rFonts w:ascii="Times New Roman" w:cs="Times New Roman" w:eastAsia="Times New Roman" w:hAnsi="Times New Roman"/>
          <w:sz w:val="21"/>
          <w:szCs w:val="21"/>
          <w:u w:val="single" w:color="auto"/>
          <w:color w:val="auto"/>
        </w:rPr>
        <w:t>1/25/2023____</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SEMA4 OPCO,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Kevin Feeley</w:t>
      </w:r>
      <w:r>
        <w:rPr>
          <w:rFonts w:ascii="Times New Roman" w:cs="Times New Roman" w:eastAsia="Times New Roman" w:hAnsi="Times New Roman"/>
          <w:sz w:val="21"/>
          <w:szCs w:val="21"/>
          <w:color w:val="auto"/>
        </w:rPr>
        <w:t>_______________</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Name:_</w:t>
      </w:r>
      <w:r>
        <w:rPr>
          <w:rFonts w:ascii="Times New Roman" w:cs="Times New Roman" w:eastAsia="Times New Roman" w:hAnsi="Times New Roman"/>
          <w:sz w:val="21"/>
          <w:szCs w:val="21"/>
          <w:u w:val="single" w:color="auto"/>
          <w:color w:val="auto"/>
        </w:rPr>
        <w:t>Kevin Feeley</w:t>
      </w:r>
      <w:r>
        <w:rPr>
          <w:rFonts w:ascii="Times New Roman" w:cs="Times New Roman" w:eastAsia="Times New Roman" w:hAnsi="Times New Roman"/>
          <w:sz w:val="21"/>
          <w:szCs w:val="21"/>
          <w:color w:val="auto"/>
        </w:rPr>
        <w:t>_______________</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Title:_</w:t>
      </w:r>
      <w:r>
        <w:rPr>
          <w:rFonts w:ascii="Times New Roman" w:cs="Times New Roman" w:eastAsia="Times New Roman" w:hAnsi="Times New Roman"/>
          <w:sz w:val="21"/>
          <w:szCs w:val="21"/>
          <w:u w:val="single" w:color="auto"/>
          <w:color w:val="auto"/>
        </w:rPr>
        <w:t>CFO</w:t>
      </w:r>
      <w:r>
        <w:rPr>
          <w:rFonts w:ascii="Times New Roman" w:cs="Times New Roman" w:eastAsia="Times New Roman" w:hAnsi="Times New Roman"/>
          <w:sz w:val="21"/>
          <w:szCs w:val="21"/>
          <w:color w:val="auto"/>
        </w:rPr>
        <w:t>_______________________</w:t>
      </w:r>
    </w:p>
    <w:p>
      <w:pPr>
        <w:sectPr>
          <w:pgSz w:w="11900" w:h="16838" w:orient="portrait"/>
          <w:cols w:equalWidth="0" w:num="1">
            <w:col w:w="11240"/>
          </w:cols>
          <w:pgMar w:left="320" w:top="1440"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color w:val="auto"/>
        </w:rPr>
        <w:t>Date:_</w:t>
      </w:r>
      <w:r>
        <w:rPr>
          <w:rFonts w:ascii="Times New Roman" w:cs="Times New Roman" w:eastAsia="Times New Roman" w:hAnsi="Times New Roman"/>
          <w:sz w:val="20"/>
          <w:szCs w:val="20"/>
          <w:u w:val="single" w:color="auto"/>
          <w:color w:val="auto"/>
        </w:rPr>
        <w:t>1/31/2023</w:t>
      </w:r>
      <w:r>
        <w:rPr>
          <w:rFonts w:ascii="Times New Roman" w:cs="Times New Roman" w:eastAsia="Times New Roman" w:hAnsi="Times New Roman"/>
          <w:sz w:val="20"/>
          <w:szCs w:val="20"/>
          <w:color w:val="auto"/>
        </w:rPr>
        <w:t>____________________</w:t>
      </w:r>
    </w:p>
    <w:p>
      <w:pPr>
        <w:sectPr>
          <w:pgSz w:w="11900" w:h="16838" w:orient="portrait"/>
          <w:cols w:equalWidth="0" w:num="1">
            <w:col w:w="10139"/>
          </w:cols>
          <w:pgMar w:left="320" w:top="1387" w:right="1440"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1"/>
          <w:szCs w:val="21"/>
          <w:b w:val="1"/>
          <w:bCs w:val="1"/>
          <w:color w:val="auto"/>
        </w:rPr>
        <w:t>EXHIBIT D1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SEQUENCING METHODS AND DELIVERABLES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p>
    <w:p>
      <w:pPr>
        <w:sectPr>
          <w:pgSz w:w="11900" w:h="16838" w:orient="portrait"/>
          <w:cols w:equalWidth="0" w:num="1">
            <w:col w:w="9019"/>
          </w:cols>
          <w:pgMar w:left="1440" w:top="1383" w:right="1440"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1"/>
          <w:szCs w:val="21"/>
          <w:b w:val="1"/>
          <w:bCs w:val="1"/>
          <w:color w:val="auto"/>
        </w:rPr>
        <w:t>EXHIBIT E1</w:t>
      </w:r>
    </w:p>
    <w:p>
      <w:pPr>
        <w:spacing w:after="0" w:line="215" w:lineRule="exact"/>
        <w:rPr>
          <w:sz w:val="20"/>
          <w:szCs w:val="20"/>
          <w:color w:val="auto"/>
        </w:rPr>
      </w:pPr>
    </w:p>
    <w:p>
      <w:pPr>
        <w:jc w:val="center"/>
        <w:ind w:right="799"/>
        <w:spacing w:after="0"/>
        <w:rPr>
          <w:sz w:val="20"/>
          <w:szCs w:val="20"/>
          <w:color w:val="auto"/>
        </w:rPr>
      </w:pPr>
      <w:r>
        <w:rPr>
          <w:rFonts w:ascii="Calibri" w:cs="Calibri" w:eastAsia="Calibri" w:hAnsi="Calibri"/>
          <w:sz w:val="19"/>
          <w:szCs w:val="19"/>
          <w:b w:val="1"/>
          <w:bCs w:val="1"/>
          <w:color w:val="auto"/>
        </w:rPr>
        <w:t>BIOSPECIMEN AND DATA EXCHANGE REPRESENTATIVE TIMELINE</w:t>
      </w:r>
    </w:p>
    <w:p>
      <w:pPr>
        <w:jc w:val="center"/>
        <w:ind w:right="799"/>
        <w:spacing w:after="0" w:line="201" w:lineRule="auto"/>
        <w:rPr>
          <w:sz w:val="20"/>
          <w:szCs w:val="20"/>
          <w:color w:val="auto"/>
        </w:rPr>
      </w:pPr>
      <w:r>
        <w:rPr>
          <w:rFonts w:ascii="Calibri" w:cs="Calibri" w:eastAsia="Calibri" w:hAnsi="Calibri"/>
          <w:sz w:val="19"/>
          <w:szCs w:val="19"/>
          <w:b w:val="1"/>
          <w:bCs w:val="1"/>
          <w:color w:val="auto"/>
        </w:rPr>
        <w:t>[***]</w:t>
      </w:r>
    </w:p>
    <w:p>
      <w:pPr>
        <w:sectPr>
          <w:pgSz w:w="11900" w:h="16838" w:orient="portrait"/>
          <w:cols w:equalWidth="0" w:num="1">
            <w:col w:w="9019"/>
          </w:cols>
          <w:pgMar w:left="1440" w:top="1383" w:right="1440"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0"/>
          <w:szCs w:val="20"/>
          <w:b w:val="1"/>
          <w:bCs w:val="1"/>
          <w:color w:val="auto"/>
        </w:rPr>
        <w:t>EXHIBIT G</w:t>
      </w:r>
    </w:p>
    <w:p>
      <w:pPr>
        <w:sectPr>
          <w:pgSz w:w="11900" w:h="16838" w:orient="portrait"/>
          <w:cols w:equalWidth="0" w:num="1">
            <w:col w:w="9019"/>
          </w:cols>
          <w:pgMar w:left="1440" w:top="1383"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w:t>
      </w:r>
    </w:p>
    <w:p>
      <w:pPr>
        <w:sectPr>
          <w:pgSz w:w="11900" w:h="16838" w:orient="portrait"/>
          <w:cols w:equalWidth="0" w:num="1">
            <w:col w:w="9019"/>
          </w:cols>
          <w:pgMar w:left="1440" w:top="1383" w:right="1440" w:bottom="1440" w:gutter="0" w:footer="0" w:header="0"/>
          <w:type w:val="continuous"/>
        </w:sectPr>
      </w:pPr>
    </w:p>
    <w:bookmarkStart w:id="177" w:name="page178"/>
    <w:bookmarkEnd w:id="177"/>
    <w:p>
      <w:pPr>
        <w:ind w:left="10060"/>
        <w:spacing w:after="0"/>
        <w:rPr>
          <w:sz w:val="20"/>
          <w:szCs w:val="20"/>
          <w:color w:val="auto"/>
        </w:rPr>
      </w:pPr>
      <w:r>
        <w:rPr>
          <w:rFonts w:ascii="Times New Roman" w:cs="Times New Roman" w:eastAsia="Times New Roman" w:hAnsi="Times New Roman"/>
          <w:sz w:val="20"/>
          <w:szCs w:val="20"/>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u w:val="single" w:color="auto"/>
          <w:color w:val="auto"/>
        </w:rPr>
        <w:t>2022 REPLACEMENT PROMISSORY NOTE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$15,500,000.00 December 30, 2022</w:t>
      </w:r>
    </w:p>
    <w:p>
      <w:pPr>
        <w:ind w:left="2080"/>
        <w:spacing w:after="0"/>
        <w:rPr>
          <w:sz w:val="20"/>
          <w:szCs w:val="20"/>
          <w:color w:val="auto"/>
        </w:rPr>
      </w:pPr>
      <w:r>
        <w:rPr>
          <w:rFonts w:ascii="Times New Roman" w:cs="Times New Roman" w:eastAsia="Times New Roman" w:hAnsi="Times New Roman"/>
          <w:sz w:val="21"/>
          <w:szCs w:val="21"/>
          <w:b w:val="1"/>
          <w:bCs w:val="1"/>
          <w:color w:val="auto"/>
        </w:rPr>
        <w:t>West Caldwell, NJ</w:t>
      </w:r>
    </w:p>
    <w:p>
      <w:pPr>
        <w:spacing w:after="0" w:line="177" w:lineRule="exact"/>
        <w:rPr>
          <w:sz w:val="20"/>
          <w:szCs w:val="20"/>
          <w:color w:val="auto"/>
        </w:rPr>
      </w:pPr>
    </w:p>
    <w:p>
      <w:pPr>
        <w:jc w:val="both"/>
        <w:ind w:firstLine="299"/>
        <w:spacing w:after="0" w:line="209" w:lineRule="auto"/>
        <w:rPr>
          <w:sz w:val="20"/>
          <w:szCs w:val="20"/>
          <w:color w:val="auto"/>
        </w:rPr>
      </w:pPr>
      <w:r>
        <w:rPr>
          <w:rFonts w:ascii="Times New Roman" w:cs="Times New Roman" w:eastAsia="Times New Roman" w:hAnsi="Times New Roman"/>
          <w:sz w:val="21"/>
          <w:szCs w:val="21"/>
          <w:color w:val="auto"/>
        </w:rPr>
        <w:t>FOR VALUE RECEIVED, the undersigned, SEMA4 OPCO, INC. f/k/a MOUNT SINAI GENOMICS, INC. D/B/A SEMA4, a Delaware corporation with an office and place of business located at One StarPoint a/k/a 333Ludlow Street, Stamford, CT (the “</w:t>
      </w:r>
      <w:r>
        <w:rPr>
          <w:rFonts w:ascii="Times New Roman" w:cs="Times New Roman" w:eastAsia="Times New Roman" w:hAnsi="Times New Roman"/>
          <w:sz w:val="21"/>
          <w:szCs w:val="21"/>
          <w:b w:val="1"/>
          <w:bCs w:val="1"/>
          <w:color w:val="auto"/>
        </w:rPr>
        <w:t>Maker</w:t>
      </w:r>
      <w:r>
        <w:rPr>
          <w:rFonts w:ascii="Times New Roman" w:cs="Times New Roman" w:eastAsia="Times New Roman" w:hAnsi="Times New Roman"/>
          <w:sz w:val="21"/>
          <w:szCs w:val="21"/>
          <w:color w:val="auto"/>
        </w:rPr>
        <w:t>”), promises to pay to the order of the STATE OF CONNECTICUT, acting by and through its DEPARTMENT OF ECONOMIC AND COMMUNITY DEVELOPMENT (“</w:t>
      </w:r>
      <w:r>
        <w:rPr>
          <w:rFonts w:ascii="Times New Roman" w:cs="Times New Roman" w:eastAsia="Times New Roman" w:hAnsi="Times New Roman"/>
          <w:sz w:val="21"/>
          <w:szCs w:val="21"/>
          <w:b w:val="1"/>
          <w:bCs w:val="1"/>
          <w:color w:val="auto"/>
        </w:rPr>
        <w:t>State</w:t>
      </w:r>
      <w:r>
        <w:rPr>
          <w:rFonts w:ascii="Times New Roman" w:cs="Times New Roman" w:eastAsia="Times New Roman" w:hAnsi="Times New Roman"/>
          <w:sz w:val="21"/>
          <w:szCs w:val="21"/>
          <w:color w:val="auto"/>
        </w:rPr>
        <w:t>”), at its office at 505 Hudson Street, Hartford, Connecticut 06106 or at such other place as the holder hereof (including State, hereinafter referred to as “</w:t>
      </w:r>
      <w:r>
        <w:rPr>
          <w:rFonts w:ascii="Times New Roman" w:cs="Times New Roman" w:eastAsia="Times New Roman" w:hAnsi="Times New Roman"/>
          <w:sz w:val="21"/>
          <w:szCs w:val="21"/>
          <w:b w:val="1"/>
          <w:bCs w:val="1"/>
          <w:color w:val="auto"/>
        </w:rPr>
        <w:t>Holder</w:t>
      </w:r>
      <w:r>
        <w:rPr>
          <w:rFonts w:ascii="Times New Roman" w:cs="Times New Roman" w:eastAsia="Times New Roman" w:hAnsi="Times New Roman"/>
          <w:sz w:val="21"/>
          <w:szCs w:val="21"/>
          <w:color w:val="auto"/>
        </w:rPr>
        <w:t xml:space="preserve">”) may designate, the sum of FIFTEEN MILLION FIVE HUNDRED THOUSAND AND 00/100 DOLLARS </w:t>
      </w:r>
      <w:r>
        <w:rPr>
          <w:rFonts w:ascii="Times New Roman" w:cs="Times New Roman" w:eastAsia="Times New Roman" w:hAnsi="Times New Roman"/>
          <w:sz w:val="21"/>
          <w:szCs w:val="21"/>
          <w:b w:val="1"/>
          <w:bCs w:val="1"/>
          <w:color w:val="auto"/>
        </w:rPr>
        <w:t>($15,500,000.00</w:t>
      </w:r>
      <w:r>
        <w:rPr>
          <w:rFonts w:ascii="Times New Roman" w:cs="Times New Roman" w:eastAsia="Times New Roman" w:hAnsi="Times New Roman"/>
          <w:sz w:val="21"/>
          <w:szCs w:val="21"/>
          <w:color w:val="auto"/>
        </w:rPr>
        <w:t>) or such lesser amount as may be due and payable to State under the terms and conditions of that certain Assistance Agreement with an effective date of December 30, 2015 and between Icahn School of Medicine at Mount Sinai (“</w:t>
      </w:r>
      <w:r>
        <w:rPr>
          <w:rFonts w:ascii="Times New Roman" w:cs="Times New Roman" w:eastAsia="Times New Roman" w:hAnsi="Times New Roman"/>
          <w:sz w:val="21"/>
          <w:szCs w:val="21"/>
          <w:b w:val="1"/>
          <w:bCs w:val="1"/>
          <w:color w:val="auto"/>
        </w:rPr>
        <w:t>Original Applicant</w:t>
      </w:r>
      <w:r>
        <w:rPr>
          <w:rFonts w:ascii="Times New Roman" w:cs="Times New Roman" w:eastAsia="Times New Roman" w:hAnsi="Times New Roman"/>
          <w:sz w:val="21"/>
          <w:szCs w:val="21"/>
          <w:color w:val="auto"/>
        </w:rPr>
        <w:t>”) and State (the “</w:t>
      </w:r>
      <w:r>
        <w:rPr>
          <w:rFonts w:ascii="Times New Roman" w:cs="Times New Roman" w:eastAsia="Times New Roman" w:hAnsi="Times New Roman"/>
          <w:sz w:val="21"/>
          <w:szCs w:val="21"/>
          <w:b w:val="1"/>
          <w:bCs w:val="1"/>
          <w:color w:val="auto"/>
        </w:rPr>
        <w:t>Original Assistance Agreement</w:t>
      </w:r>
      <w:r>
        <w:rPr>
          <w:rFonts w:ascii="Times New Roman" w:cs="Times New Roman" w:eastAsia="Times New Roman" w:hAnsi="Times New Roman"/>
          <w:sz w:val="21"/>
          <w:szCs w:val="21"/>
          <w:color w:val="auto"/>
        </w:rPr>
        <w:t>”), as amended by a certain Assignment, Assumption, Modification and Consent Agreement with an effective date of June 1, 2017 pursuant to which, among other things, the Original Applicant assigned all of its obligations under the Original Assistance Agreement to the Maker, and as further amended by (i) a certain Second Amendment to Assistance Agreement with an effective date as of June 29, 2018 (ii) a Third Amendment to Assistance Agreement dated April 19, 2021 and as amended and restated in a certain Amended and Restated Assistance Agreement (as assigned and amended, the “</w:t>
      </w:r>
      <w:r>
        <w:rPr>
          <w:rFonts w:ascii="Times New Roman" w:cs="Times New Roman" w:eastAsia="Times New Roman" w:hAnsi="Times New Roman"/>
          <w:sz w:val="21"/>
          <w:szCs w:val="21"/>
          <w:b w:val="1"/>
          <w:bCs w:val="1"/>
          <w:color w:val="auto"/>
        </w:rPr>
        <w:t>Assistance Agreement</w:t>
      </w:r>
      <w:r>
        <w:rPr>
          <w:rFonts w:ascii="Times New Roman" w:cs="Times New Roman" w:eastAsia="Times New Roman" w:hAnsi="Times New Roman"/>
          <w:sz w:val="21"/>
          <w:szCs w:val="21"/>
          <w:color w:val="auto"/>
        </w:rPr>
        <w:t>”), the terms of which are incorporated by reference herein, together with interest on the unpaid balance of this 2022 Replacement Promissory Note (this “</w:t>
      </w:r>
      <w:r>
        <w:rPr>
          <w:rFonts w:ascii="Times New Roman" w:cs="Times New Roman" w:eastAsia="Times New Roman" w:hAnsi="Times New Roman"/>
          <w:sz w:val="21"/>
          <w:szCs w:val="21"/>
          <w:b w:val="1"/>
          <w:bCs w:val="1"/>
          <w:color w:val="auto"/>
        </w:rPr>
        <w:t>Note</w:t>
      </w:r>
      <w:r>
        <w:rPr>
          <w:rFonts w:ascii="Times New Roman" w:cs="Times New Roman" w:eastAsia="Times New Roman" w:hAnsi="Times New Roman"/>
          <w:sz w:val="21"/>
          <w:szCs w:val="21"/>
          <w:color w:val="auto"/>
        </w:rPr>
        <w:t>”) at the rate set forth in Section 2(b) hereof, which interest shall be computed and payable as set forth therein, together with all taxes levied or assessed on this Note or the debt evidenced hereby against the Holder, and together with all reasonable costs, expenses and reasonable attorneys’ and other reasonable professionals’ fees incurred in any action to collect and/or enforce this Note or to enforce, protect, preserve, defend, realize upon or foreclose any security agreement, or other agreement securing or relating to this Note, including without limitation, all reasonable costs and expenses incurred to enforce, protect, preserve, defend or sustain the lien of said security agreement, or other agreement or in any litigation or controversy arising from or connected in any manner with said security agreement, the Assistance Agreement or this Note. Maker further agrees to pay all reasonable costs, expenses and reasonable attorneys’ and other reasonable professionals’ fees incurred by Holder in connection with any “workout” or default resolution negotiations involving legal counsel or other professionals in connection with any re-negotiation or restructuring of the indebtedness evidenced by this Note. Any such costs, expenses and/or fees remaining unpaid after demand therefor, may, at the discretion of the Holder, be added to the principal amount of the indebtedness evidenced by this Note.</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All capitalized terms not otherwise defined herein shall have the meanings ascribed to such terms in the Assistance Agreement.</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This Note has been executed and delivered subject to the following terms and conditions:</w:t>
      </w:r>
    </w:p>
    <w:p>
      <w:pPr>
        <w:spacing w:after="0" w:line="201" w:lineRule="exact"/>
        <w:rPr>
          <w:sz w:val="20"/>
          <w:szCs w:val="20"/>
          <w:color w:val="auto"/>
        </w:rPr>
      </w:pPr>
    </w:p>
    <w:p>
      <w:pPr>
        <w:jc w:val="both"/>
        <w:ind w:firstLine="4"/>
        <w:spacing w:after="0" w:line="222" w:lineRule="auto"/>
        <w:tabs>
          <w:tab w:leader="none" w:pos="83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Lawful Interest</w:t>
      </w:r>
      <w:r>
        <w:rPr>
          <w:rFonts w:ascii="Times New Roman" w:cs="Times New Roman" w:eastAsia="Times New Roman" w:hAnsi="Times New Roman"/>
          <w:sz w:val="21"/>
          <w:szCs w:val="21"/>
          <w:color w:val="auto"/>
        </w:rPr>
        <w:t>. Notwithstanding any provisions of this Note, it is the understanding and agreement of the Maker and Holder that the maximum rate of interest to be paid by Maker to Holder shall not exceed the highest or the maximum rate of interest permissible to be charged under the laws of the State of Connecticut. Any amounts paid in excess of such rate shall be considered to have been payments in reduction of principal.</w:t>
      </w:r>
    </w:p>
    <w:p>
      <w:pPr>
        <w:sectPr>
          <w:pgSz w:w="11900" w:h="16838" w:orient="portrait"/>
          <w:cols w:equalWidth="0" w:num="1">
            <w:col w:w="11240"/>
          </w:cols>
          <w:pgMar w:left="320" w:top="96" w:right="339" w:bottom="1440" w:gutter="0" w:footer="0" w:header="0"/>
        </w:sectPr>
      </w:pPr>
    </w:p>
    <w:bookmarkStart w:id="178" w:name="page179"/>
    <w:bookmarkEnd w:id="178"/>
    <w:p>
      <w:pPr>
        <w:spacing w:after="0" w:line="273" w:lineRule="exact"/>
        <w:rPr>
          <w:sz w:val="20"/>
          <w:szCs w:val="20"/>
          <w:color w:val="auto"/>
        </w:rPr>
      </w:pPr>
    </w:p>
    <w:p>
      <w:pPr>
        <w:ind w:left="1120" w:hanging="1116"/>
        <w:spacing w:after="0"/>
        <w:tabs>
          <w:tab w:leader="none" w:pos="112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of Principal and Interest</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color w:val="auto"/>
        </w:rPr>
      </w:pPr>
    </w:p>
    <w:p>
      <w:pPr>
        <w:jc w:val="both"/>
        <w:ind w:firstLine="629"/>
        <w:spacing w:after="0" w:line="214" w:lineRule="auto"/>
        <w:tabs>
          <w:tab w:leader="none" w:pos="124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Note amends, restates, supersedes and replaces in its entirety that certain 2018 Replacement Promissory Note of the Maker payable to the State dated as of June 29, 2018 in the original principal amount of up to $15,500,000.00 (the “</w:t>
      </w:r>
      <w:r>
        <w:rPr>
          <w:rFonts w:ascii="Times New Roman" w:cs="Times New Roman" w:eastAsia="Times New Roman" w:hAnsi="Times New Roman"/>
          <w:sz w:val="21"/>
          <w:szCs w:val="21"/>
          <w:b w:val="1"/>
          <w:bCs w:val="1"/>
          <w:color w:val="auto"/>
        </w:rPr>
        <w:t>Existing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Note</w:t>
      </w:r>
      <w:r>
        <w:rPr>
          <w:rFonts w:ascii="Times New Roman" w:cs="Times New Roman" w:eastAsia="Times New Roman" w:hAnsi="Times New Roman"/>
          <w:sz w:val="21"/>
          <w:szCs w:val="21"/>
          <w:color w:val="auto"/>
        </w:rPr>
        <w:t>”). By acceptance of this Note, the Holder agrees and acknowledges that all accrued interest and any other amounts due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under the Existing Note on or before the date of this Note have been paid in full. Furthermore, by acceptance of this Note, Holder acknowledges receipt of the principal sum of $2,000,000.00 from the Maker. Taking into account the aforementioned $2,000,000.00 principal payment and the application of the Phase 1 Forgiveness Credit and the Phase 2 Forgiveness Credit (as each of such terms is defined in the Assistance Agreement), the outstanding principal balance under this Note as of the date hereof is $6,250,000.00.</w:t>
      </w:r>
    </w:p>
    <w:p>
      <w:pPr>
        <w:spacing w:after="0" w:line="172" w:lineRule="exact"/>
        <w:rPr>
          <w:rFonts w:ascii="Times New Roman" w:cs="Times New Roman" w:eastAsia="Times New Roman" w:hAnsi="Times New Roman"/>
          <w:sz w:val="21"/>
          <w:szCs w:val="21"/>
          <w:color w:val="auto"/>
        </w:rPr>
      </w:pPr>
    </w:p>
    <w:p>
      <w:pPr>
        <w:jc w:val="both"/>
        <w:ind w:firstLine="629"/>
        <w:spacing w:after="0" w:line="215" w:lineRule="auto"/>
        <w:tabs>
          <w:tab w:leader="none" w:pos="1307"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outstanding principal amount of this Note shall bear interest at a rate of two percent (2%) per annum (the “</w:t>
      </w:r>
      <w:r>
        <w:rPr>
          <w:rFonts w:ascii="Times New Roman" w:cs="Times New Roman" w:eastAsia="Times New Roman" w:hAnsi="Times New Roman"/>
          <w:sz w:val="21"/>
          <w:szCs w:val="21"/>
          <w:b w:val="1"/>
          <w:bCs w:val="1"/>
          <w:color w:val="auto"/>
        </w:rPr>
        <w:t>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Interest Rate</w:t>
      </w:r>
      <w:r>
        <w:rPr>
          <w:rFonts w:ascii="Times New Roman" w:cs="Times New Roman" w:eastAsia="Times New Roman" w:hAnsi="Times New Roman"/>
          <w:sz w:val="21"/>
          <w:szCs w:val="21"/>
          <w:color w:val="auto"/>
        </w:rPr>
        <w:t>”) commencing on the date of this Note. Commencing on August 1, 2018, and continuing on the same day of each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every month thereafter through and including July 1, 2024 (the “</w:t>
      </w:r>
      <w:r>
        <w:rPr>
          <w:rFonts w:ascii="Times New Roman" w:cs="Times New Roman" w:eastAsia="Times New Roman" w:hAnsi="Times New Roman"/>
          <w:sz w:val="21"/>
          <w:szCs w:val="21"/>
          <w:b w:val="1"/>
          <w:bCs w:val="1"/>
          <w:color w:val="auto"/>
        </w:rPr>
        <w:t>Interest Only Period</w:t>
      </w:r>
      <w:r>
        <w:rPr>
          <w:rFonts w:ascii="Times New Roman" w:cs="Times New Roman" w:eastAsia="Times New Roman" w:hAnsi="Times New Roman"/>
          <w:sz w:val="21"/>
          <w:szCs w:val="21"/>
          <w:color w:val="auto"/>
        </w:rPr>
        <w:t>”), Maker shall make interest only payments. Commencing on August 1, 2024 and continuing on the same day of each month thereafter, and so long as no Instance of Default shall have occurred and remain uncured past any applicable cure period, principal and interest under this Note shall be payable in sixty (60) equal monthly installments in such a manner and amount as to fully amortize the outstanding balance of the Loan evidenced by this Note over the remaining term of this Note. The final payment of principal and interest, if not sooner paid, shall be due and payable on July1, 2029 (the “</w:t>
      </w:r>
      <w:r>
        <w:rPr>
          <w:rFonts w:ascii="Times New Roman" w:cs="Times New Roman" w:eastAsia="Times New Roman" w:hAnsi="Times New Roman"/>
          <w:sz w:val="21"/>
          <w:szCs w:val="21"/>
          <w:b w:val="1"/>
          <w:bCs w:val="1"/>
          <w:color w:val="auto"/>
        </w:rPr>
        <w:t>Maturity Date</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firstLine="629"/>
        <w:spacing w:after="0" w:line="227" w:lineRule="auto"/>
        <w:tabs>
          <w:tab w:leader="none" w:pos="124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entire indebtedness under this Note, including all outstanding principal (including amounts not forgiven or repaid), accrued and unpaid interest, if any, and any other obligations due hereunder or under the Assistance Agreement, shall be due and payable in full on the Maturity Date.</w:t>
      </w:r>
    </w:p>
    <w:p>
      <w:pPr>
        <w:spacing w:after="0" w:line="173" w:lineRule="exact"/>
        <w:rPr>
          <w:rFonts w:ascii="Times New Roman" w:cs="Times New Roman" w:eastAsia="Times New Roman" w:hAnsi="Times New Roman"/>
          <w:sz w:val="21"/>
          <w:szCs w:val="21"/>
          <w:color w:val="auto"/>
        </w:rPr>
      </w:pPr>
    </w:p>
    <w:p>
      <w:pPr>
        <w:ind w:firstLine="629"/>
        <w:spacing w:after="0" w:line="238" w:lineRule="auto"/>
        <w:tabs>
          <w:tab w:leader="none" w:pos="1244"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in respect of this Note shall be made payable to “The State of Connecticut, Department of Economic and Community Development”.</w:t>
      </w:r>
    </w:p>
    <w:p>
      <w:pPr>
        <w:spacing w:after="0" w:line="171" w:lineRule="exact"/>
        <w:rPr>
          <w:rFonts w:ascii="Times New Roman" w:cs="Times New Roman" w:eastAsia="Times New Roman" w:hAnsi="Times New Roman"/>
          <w:sz w:val="21"/>
          <w:szCs w:val="21"/>
          <w:color w:val="auto"/>
        </w:rPr>
      </w:pPr>
    </w:p>
    <w:p>
      <w:pPr>
        <w:jc w:val="both"/>
        <w:ind w:firstLine="629"/>
        <w:spacing w:after="0" w:line="217" w:lineRule="auto"/>
        <w:tabs>
          <w:tab w:leader="none" w:pos="124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this Note is subject to Forgiveness Credits and a Job Penalty in accordance with the Assistance Agreement. The monthly payment of principal and interest under this Note shall be adjusted accordingly upon the application of any said Forgiveness Credits or Job Penalty in accordance with the terms of the Assistance Agreement. By way of example, if the outstanding principal balance of this Note is $6,250,000.00 and the Maker receives the $2,000,000.00 Phase 3 Forgiveness Credit, the outstanding principal balance of this Note shall be reduced to $4,250,000.00 and the amount of monthly principal payments shall be adjusted accordingly.</w:t>
      </w:r>
    </w:p>
    <w:p>
      <w:pPr>
        <w:spacing w:after="0" w:line="173" w:lineRule="exact"/>
        <w:rPr>
          <w:sz w:val="20"/>
          <w:szCs w:val="20"/>
          <w:color w:val="auto"/>
        </w:rPr>
      </w:pPr>
    </w:p>
    <w:p>
      <w:pPr>
        <w:jc w:val="both"/>
        <w:ind w:firstLine="4"/>
        <w:spacing w:after="0" w:line="222" w:lineRule="auto"/>
        <w:tabs>
          <w:tab w:leader="none" w:pos="89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Late Charge</w:t>
      </w:r>
      <w:r>
        <w:rPr>
          <w:rFonts w:ascii="Times New Roman" w:cs="Times New Roman" w:eastAsia="Times New Roman" w:hAnsi="Times New Roman"/>
          <w:sz w:val="21"/>
          <w:szCs w:val="21"/>
          <w:color w:val="auto"/>
        </w:rPr>
        <w:t>. In the event Maker fails to pay any installment of principal and/or interest within fifteen (15) days of the date when said amount was due and payable, without in any way affecting the Holder’s right to accelerate this Note, a late charge equal to five percent (5.00%) of such late payment shall, at the option of Holder, be assessed against Maker and be due upon demand by the Holder.</w:t>
      </w:r>
    </w:p>
    <w:p>
      <w:pPr>
        <w:spacing w:after="0" w:line="173" w:lineRule="exact"/>
        <w:rPr>
          <w:sz w:val="20"/>
          <w:szCs w:val="20"/>
          <w:color w:val="auto"/>
        </w:rPr>
      </w:pPr>
    </w:p>
    <w:p>
      <w:pPr>
        <w:jc w:val="both"/>
        <w:ind w:firstLine="4"/>
        <w:spacing w:after="0" w:line="222" w:lineRule="auto"/>
        <w:tabs>
          <w:tab w:leader="none" w:pos="36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 The Maker may prepay principal of this Note, in whole or in part, at any time without penalty or premium. Any and all prepayments shall be applied first to accrued and unpaid interest and then to unpaid principal in the inverse order of maturity, and shall not affect the obligation of Maker to pay the regular installments required hereunder until the entire indebtedness has been paid except as otherwise provided in the Assistance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00" w:lineRule="exact"/>
        <w:rPr>
          <w:sz w:val="20"/>
          <w:szCs w:val="20"/>
          <w:color w:val="auto"/>
        </w:rPr>
      </w:pPr>
    </w:p>
    <w:p>
      <w:pPr>
        <w:spacing w:after="0" w:line="307" w:lineRule="exact"/>
        <w:rPr>
          <w:sz w:val="20"/>
          <w:szCs w:val="20"/>
          <w:color w:val="auto"/>
        </w:rPr>
      </w:pPr>
    </w:p>
    <w:p>
      <w:pPr>
        <w:jc w:val="both"/>
        <w:ind w:firstLine="4"/>
        <w:spacing w:after="0" w:line="214" w:lineRule="auto"/>
        <w:tabs>
          <w:tab w:leader="none" w:pos="46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Instances of Default</w:t>
      </w:r>
      <w:r>
        <w:rPr>
          <w:rFonts w:ascii="Times New Roman" w:cs="Times New Roman" w:eastAsia="Times New Roman" w:hAnsi="Times New Roman"/>
          <w:sz w:val="21"/>
          <w:szCs w:val="21"/>
          <w:color w:val="auto"/>
        </w:rPr>
        <w:t>. The Maker agrees that the occurrence of an Instance of Default under the Assistance Agreement shall constitute an “Instance of Default” hereunder. Upon the occurrence of any Instance of Default, which remains uncured past any applicable cure period, if any, the entire indebtedness with accrued interest thereon and any other sums due under this Note, shall, at the option of the Holder, become immediately due and payable without presentment or demand for payment, notice of non-payment, protest or any other notice or demand of any kind, all of which are expressly waived by the Maker. Failure to exercise such option shall not constitute a waiver of the right to exercise the same in the event of any subsequent default. Upon the occurrence of any Instance of Default, default interest shall be charged at the rate of fifteen per cent (15%) per annum (the “Default Rate”) and liquidated damages may be assessed in accordance with Section 4.2(C)(3) of the Assistance Agreement.</w:t>
      </w:r>
    </w:p>
    <w:p>
      <w:pPr>
        <w:spacing w:after="0" w:line="176" w:lineRule="exact"/>
        <w:rPr>
          <w:rFonts w:ascii="Times New Roman" w:cs="Times New Roman" w:eastAsia="Times New Roman" w:hAnsi="Times New Roman"/>
          <w:sz w:val="21"/>
          <w:szCs w:val="21"/>
          <w:color w:val="auto"/>
        </w:rPr>
      </w:pPr>
    </w:p>
    <w:p>
      <w:pPr>
        <w:jc w:val="both"/>
        <w:ind w:firstLine="4"/>
        <w:spacing w:after="0" w:line="217" w:lineRule="auto"/>
        <w:tabs>
          <w:tab w:leader="none" w:pos="39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No delay or omission by Holder in exercising any rights hereunder, nor failure by the Holder to insist upon the strict performance by Maker of any terms and provisions herein shall operate as or be deemed to be a waiver of such right, any other right hereunder, or any terms and provisions herein, and the Holder shall retain the right thereafter to insist upon strict performance by the Maker of any and all terms and provisions of this Note or any document securing the repayment of this Note. No waiver of any right shall be effective unless in writing and signed by Holder, nor shall a waiver on one occasion be considered as a bar to, or waiver of, any such right on any future occasion.</w:t>
      </w:r>
    </w:p>
    <w:p>
      <w:pPr>
        <w:spacing w:after="0" w:line="172" w:lineRule="exact"/>
        <w:rPr>
          <w:rFonts w:ascii="Times New Roman" w:cs="Times New Roman" w:eastAsia="Times New Roman" w:hAnsi="Times New Roman"/>
          <w:sz w:val="21"/>
          <w:szCs w:val="21"/>
          <w:color w:val="auto"/>
        </w:rPr>
      </w:pPr>
    </w:p>
    <w:p>
      <w:pPr>
        <w:jc w:val="both"/>
        <w:ind w:firstLine="4"/>
        <w:spacing w:after="0" w:line="212" w:lineRule="auto"/>
        <w:tabs>
          <w:tab w:leader="none" w:pos="36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Prejudgment Remedy and Other Waivers</w:t>
      </w:r>
      <w:r>
        <w:rPr>
          <w:rFonts w:ascii="Times New Roman" w:cs="Times New Roman" w:eastAsia="Times New Roman" w:hAnsi="Times New Roman"/>
          <w:sz w:val="21"/>
          <w:szCs w:val="21"/>
          <w:color w:val="auto"/>
        </w:rPr>
        <w:t>. MAKER ACKNOWLEDGES THAT THE LOAN EVIDENCED BY THIS NOTE IS A COMMERCIAL TRANSACTION AND WAIVES MAKER’S RIGHTS TO NOTICE AND HEARING, OR THE ESTABLISHMENT OF A BOND, WITH OR WITHOUT SURETY, UNDER CHAPTER 903a OF THE CONNECTICUT GENERAL STATUTES, OR AS OTHERWISE ALLOWED BY ANY STATE OR FEDERAL LAW WITH RESPECT TO ANY PREJUDGMENT REMEDY WHICH HOLDER MAY DESIRE TO USE, AND FURTHER WAIVES DILIGENCE, DEMAND, PRESENTMENT FOR PAYMENT, NOTICE OF NONPAYMENT, PROTEST AND NOTICE OF PROTEST, AND NOTICE OF ANY RENEWALS OR EXTENSIONS OF THIS NOTE, AND ALL RIGHTS UNDER ANY STATUTE OF LIMITATIONS. THE MAKER ACKNOWLEDGES THAT MAKER MAKES THESE WAIVERS KNOWINGLY AND VOLUNTARILY, WITHOUT DURESS AND ONLY AFTER EXTENSIVE CONSIDERATION OF THE RAMIFICATIONS OF THIS WAIVER. THE MAKER FURTHER ACKNOWLEDGES THAT THE STATE HAS NOT AGREED WITH OR REPRESENTED TO MAKER OR ANY OTHER PARTY HERETO THAT THE PROVISIONS OF THIS PARAGRAPH WILL NOT BE FULLY ENFORCED IN ALL INSTANCES.</w:t>
      </w:r>
    </w:p>
    <w:p>
      <w:pPr>
        <w:spacing w:after="0" w:line="172" w:lineRule="exact"/>
        <w:rPr>
          <w:rFonts w:ascii="Times New Roman" w:cs="Times New Roman" w:eastAsia="Times New Roman" w:hAnsi="Times New Roman"/>
          <w:sz w:val="21"/>
          <w:szCs w:val="21"/>
          <w:color w:val="auto"/>
        </w:rPr>
      </w:pPr>
    </w:p>
    <w:p>
      <w:pPr>
        <w:jc w:val="both"/>
        <w:ind w:firstLine="4"/>
        <w:spacing w:after="0" w:line="214" w:lineRule="auto"/>
        <w:tabs>
          <w:tab w:leader="none" w:pos="49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Jury Waiver</w:t>
      </w:r>
      <w:r>
        <w:rPr>
          <w:rFonts w:ascii="Times New Roman" w:cs="Times New Roman" w:eastAsia="Times New Roman" w:hAnsi="Times New Roman"/>
          <w:sz w:val="21"/>
          <w:szCs w:val="21"/>
          <w:color w:val="auto"/>
        </w:rPr>
        <w:t>. THE MAKER HEREBY WAIVES TRIAL BY JURY IN ANY COURT AND IN ANY SUIT, ACTION OR PROCEEDING ON ANY MATTER ARISING IN CONNECTION WITH OR IN ANY WAY RELATED TO THE FINANCING TRANSACTIONS OF WHICH THIS NOTE IS A PART AND/OR THE ENFORCEMENT OF ANY OF YOUR RIGHTS AND REMEDIES, INCLUDING WITHOUT LIMITATION, TORT CLAIMS. THE MAKER ACKNOWLEDGES THAT MAKER MAKES THIS WAIVER KNOWINGLY AND VOLUNTARILY, WITHOUT DURESS AND ONLY AFTER EXTENSIVE CONSIDERATION OF THE RAMIFICATIONS OF THIS WAIVER. THE MAKER FURTHER ACKNOWLEDGES THAT THE STATE HAS NOT AGREED WITH OR REPRESENTED TO MAKER OR ANY OTHER PARTY HERETO THAT THE PROVISIONS OF THIS PARAGRAPH WILL NOT BE FULLY ENFORCED IN ALL INSTANCES.</w:t>
      </w:r>
    </w:p>
    <w:p>
      <w:pPr>
        <w:spacing w:after="0" w:line="176" w:lineRule="exact"/>
        <w:rPr>
          <w:rFonts w:ascii="Times New Roman" w:cs="Times New Roman" w:eastAsia="Times New Roman" w:hAnsi="Times New Roman"/>
          <w:sz w:val="21"/>
          <w:szCs w:val="21"/>
          <w:color w:val="auto"/>
        </w:rPr>
      </w:pPr>
    </w:p>
    <w:p>
      <w:pPr>
        <w:ind w:firstLine="4"/>
        <w:spacing w:after="0" w:line="238" w:lineRule="auto"/>
        <w:tabs>
          <w:tab w:leader="none" w:pos="442"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The provisions of this Note shall be binding upon the Maker, its successors and assigns and shall inure to the benefit of Holder, its successors and assigns. If 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7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provision of this Note shall, to any extent, be held invalid or unenforceable, then only such provision shall be deemed ineffective and the remainder of this Note shall not be affected. This Note shall be governed by and construed in accordance with the laws of the State of Connecticut (but not its conflicts of law provisions).</w:t>
      </w:r>
    </w:p>
    <w:p>
      <w:pPr>
        <w:spacing w:after="0" w:line="173" w:lineRule="exact"/>
        <w:rPr>
          <w:sz w:val="20"/>
          <w:szCs w:val="20"/>
          <w:color w:val="auto"/>
        </w:rPr>
      </w:pPr>
    </w:p>
    <w:p>
      <w:pPr>
        <w:ind w:right="520" w:firstLine="4"/>
        <w:spacing w:after="0" w:line="238" w:lineRule="auto"/>
        <w:tabs>
          <w:tab w:leader="none" w:pos="52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Security.</w:t>
      </w:r>
      <w:r>
        <w:rPr>
          <w:rFonts w:ascii="Times New Roman" w:cs="Times New Roman" w:eastAsia="Times New Roman" w:hAnsi="Times New Roman"/>
          <w:sz w:val="21"/>
          <w:szCs w:val="21"/>
          <w:color w:val="auto"/>
        </w:rPr>
        <w:t xml:space="preserve"> This Note shall be secured by a first position security interest in the collateral set forth in Schedule A of the 2022 Replacement Security Agreement by and between the State and the Maker dated as of even date herewith.</w:t>
      </w:r>
    </w:p>
    <w:p>
      <w:pPr>
        <w:spacing w:after="0" w:line="171" w:lineRule="exact"/>
        <w:rPr>
          <w:rFonts w:ascii="Times New Roman" w:cs="Times New Roman" w:eastAsia="Times New Roman" w:hAnsi="Times New Roman"/>
          <w:sz w:val="21"/>
          <w:szCs w:val="21"/>
          <w:color w:val="auto"/>
        </w:rPr>
      </w:pPr>
    </w:p>
    <w:p>
      <w:pPr>
        <w:jc w:val="both"/>
        <w:ind w:firstLine="4"/>
        <w:spacing w:after="0" w:line="227" w:lineRule="auto"/>
        <w:tabs>
          <w:tab w:leader="none" w:pos="474"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Existing Promissory Note</w:t>
      </w:r>
      <w:r>
        <w:rPr>
          <w:rFonts w:ascii="Times New Roman" w:cs="Times New Roman" w:eastAsia="Times New Roman" w:hAnsi="Times New Roman"/>
          <w:sz w:val="21"/>
          <w:szCs w:val="21"/>
          <w:color w:val="auto"/>
        </w:rPr>
        <w:t>. This Note replaces the Existing Note; such Existing Note shall be of no further force and effect; and by acceptance of this Note, the State agrees that it shall immediately return the Existing Note to the Maker, marked cancelled.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 The next page is the signature page.]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30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1"/>
          <w:szCs w:val="21"/>
          <w:b w:val="1"/>
          <w:bCs w:val="1"/>
          <w:color w:val="auto"/>
        </w:rPr>
        <w:t>SEMA4 OPCO, INC.</w:t>
      </w:r>
    </w:p>
    <w:p>
      <w:pPr>
        <w:spacing w:after="0" w:line="200" w:lineRule="exact"/>
        <w:rPr>
          <w:sz w:val="20"/>
          <w:szCs w:val="20"/>
          <w:color w:val="auto"/>
        </w:rPr>
      </w:pPr>
    </w:p>
    <w:p>
      <w:pPr>
        <w:spacing w:after="0" w:line="29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1"/>
          <w:szCs w:val="21"/>
          <w:color w:val="auto"/>
        </w:rPr>
        <w:t>By /s/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-11430</wp:posOffset>
            </wp:positionV>
            <wp:extent cx="1130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3260"/>
        <w:spacing w:after="0"/>
        <w:rPr>
          <w:sz w:val="20"/>
          <w:szCs w:val="20"/>
          <w:color w:val="auto"/>
        </w:rPr>
      </w:pPr>
      <w:r>
        <w:rPr>
          <w:rFonts w:ascii="Times New Roman" w:cs="Times New Roman" w:eastAsia="Times New Roman" w:hAnsi="Times New Roman"/>
          <w:sz w:val="21"/>
          <w:szCs w:val="21"/>
          <w:color w:val="auto"/>
        </w:rPr>
        <w:t>Name: Kevin Feeley</w:t>
      </w:r>
    </w:p>
    <w:p>
      <w:pPr>
        <w:jc w:val="center"/>
        <w:ind w:right="79"/>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2022 Replacement Promissory Note]</w:t>
      </w:r>
    </w:p>
    <w:p>
      <w:pPr>
        <w:sectPr>
          <w:pgSz w:w="11900" w:h="16838" w:orient="portrait"/>
          <w:cols w:equalWidth="0" w:num="1">
            <w:col w:w="9019"/>
          </w:cols>
          <w:pgMar w:left="1440" w:top="1440"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60" w:type="dxa"/>
            <w:vAlign w:val="bottom"/>
          </w:tcPr>
          <w:p>
            <w:pPr>
              <w:spacing w:after="0"/>
              <w:rPr>
                <w:sz w:val="19"/>
                <w:szCs w:val="19"/>
                <w:color w:val="auto"/>
              </w:rPr>
            </w:pPr>
          </w:p>
        </w:tc>
        <w:tc>
          <w:tcPr>
            <w:tcW w:w="8760" w:type="dxa"/>
            <w:vAlign w:val="bottom"/>
          </w:tcPr>
          <w:p>
            <w:pPr>
              <w:ind w:left="1160"/>
              <w:spacing w:after="0"/>
              <w:rPr>
                <w:sz w:val="20"/>
                <w:szCs w:val="20"/>
                <w:color w:val="auto"/>
              </w:rPr>
            </w:pPr>
            <w:r>
              <w:rPr>
                <w:rFonts w:ascii="Times New Roman" w:cs="Times New Roman" w:eastAsia="Times New Roman" w:hAnsi="Times New Roman"/>
                <w:sz w:val="17"/>
                <w:szCs w:val="17"/>
                <w:b w:val="1"/>
                <w:bCs w:val="1"/>
                <w:color w:val="auto"/>
              </w:rPr>
              <w:t>SUBSIDIARIES OF GENEDX HOLDINGS CORP. *</w:t>
            </w:r>
          </w:p>
        </w:tc>
      </w:tr>
      <w:tr>
        <w:trPr>
          <w:trHeight w:val="19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876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23"/>
        </w:trPr>
        <w:tc>
          <w:tcPr>
            <w:tcW w:w="2460" w:type="dxa"/>
            <w:vAlign w:val="bottom"/>
            <w:tcBorders>
              <w:bottom w:val="single" w:sz="8" w:color="auto"/>
            </w:tcBorders>
          </w:tcPr>
          <w:p>
            <w:pPr>
              <w:spacing w:after="0"/>
              <w:rPr>
                <w:sz w:val="2"/>
                <w:szCs w:val="2"/>
                <w:color w:val="auto"/>
              </w:rPr>
            </w:pPr>
          </w:p>
        </w:tc>
        <w:tc>
          <w:tcPr>
            <w:tcW w:w="8760" w:type="dxa"/>
            <w:vAlign w:val="bottom"/>
            <w:tcBorders>
              <w:bottom w:val="single" w:sz="8" w:color="auto"/>
            </w:tcBorders>
          </w:tcPr>
          <w:p>
            <w:pPr>
              <w:spacing w:after="0"/>
              <w:rPr>
                <w:sz w:val="2"/>
                <w:szCs w:val="2"/>
                <w:color w:val="auto"/>
              </w:rPr>
            </w:pPr>
          </w:p>
        </w:tc>
      </w:tr>
      <w:tr>
        <w:trPr>
          <w:trHeight w:val="214"/>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Sema4 OpCo, Inc.</w:t>
            </w:r>
          </w:p>
        </w:tc>
        <w:tc>
          <w:tcPr>
            <w:tcW w:w="876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7"/>
                <w:szCs w:val="17"/>
                <w:color w:val="auto"/>
              </w:rPr>
              <w:t>Delaware, United States</w:t>
            </w:r>
          </w:p>
        </w:tc>
      </w:tr>
      <w:tr>
        <w:trPr>
          <w:trHeight w:val="220"/>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GeneDx, LLC</w:t>
            </w:r>
          </w:p>
        </w:tc>
        <w:tc>
          <w:tcPr>
            <w:tcW w:w="87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Delaware, 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20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ind w:left="420" w:right="480" w:hanging="401"/>
        <w:spacing w:after="0" w:line="245" w:lineRule="auto"/>
        <w:tabs>
          <w:tab w:leader="none" w:pos="4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Item 601(b)(21)(ii) of Regulation S-K, the names of other subsidiaries of GeneDx Holdings Corp. are omitted because, considered in the aggregate, they would not constitute a significant subsidiary as of the end of the year covered by this report.</w:t>
      </w:r>
    </w:p>
    <w:p>
      <w:pPr>
        <w:sectPr>
          <w:pgSz w:w="11900" w:h="16838" w:orient="portrait"/>
          <w:cols w:equalWidth="0" w:num="1">
            <w:col w:w="11220"/>
          </w:cols>
          <w:pgMar w:left="340" w:top="135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Consent of Independent Registered Public Accounting Firm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We consent to the incorporation by reference in the following Registration Statements:</w:t>
      </w:r>
    </w:p>
    <w:p>
      <w:pPr>
        <w:spacing w:after="0" w:line="234" w:lineRule="exact"/>
        <w:rPr>
          <w:sz w:val="20"/>
          <w:szCs w:val="20"/>
          <w:color w:val="auto"/>
        </w:rPr>
      </w:pPr>
    </w:p>
    <w:p>
      <w:pPr>
        <w:ind w:left="620" w:right="3480" w:firstLine="9"/>
        <w:spacing w:after="0" w:line="277" w:lineRule="auto"/>
        <w:tabs>
          <w:tab w:leader="none" w:pos="865" w:val="left"/>
        </w:tabs>
        <w:numPr>
          <w:ilvl w:val="0"/>
          <w:numId w:val="9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Registration Statement (Form S-8 No. 333-269165) pertaining to the GeneDx Holdings Corp. 2021 Equity Incentive Plan and GeneDx Holdings Corp. 2021 Employee Stock Purchase Plan,</w:t>
      </w:r>
    </w:p>
    <w:p>
      <w:pPr>
        <w:spacing w:after="0" w:line="173" w:lineRule="exact"/>
        <w:rPr>
          <w:rFonts w:ascii="Times New Roman" w:cs="Times New Roman" w:eastAsia="Times New Roman" w:hAnsi="Times New Roman"/>
          <w:sz w:val="17"/>
          <w:szCs w:val="17"/>
          <w:color w:val="333333"/>
        </w:rPr>
      </w:pPr>
    </w:p>
    <w:p>
      <w:pPr>
        <w:ind w:left="620" w:right="3260" w:firstLine="9"/>
        <w:spacing w:after="0" w:line="277" w:lineRule="auto"/>
        <w:tabs>
          <w:tab w:leader="none" w:pos="865" w:val="left"/>
        </w:tabs>
        <w:numPr>
          <w:ilvl w:val="0"/>
          <w:numId w:val="9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Registration Statement (Form S-3 No. 333-267112) of GeneDx Holdings Corp. (f/k/a Sema4 Holdings Corp.),</w:t>
      </w:r>
    </w:p>
    <w:p>
      <w:pPr>
        <w:spacing w:after="0" w:line="173" w:lineRule="exact"/>
        <w:rPr>
          <w:rFonts w:ascii="Times New Roman" w:cs="Times New Roman" w:eastAsia="Times New Roman" w:hAnsi="Times New Roman"/>
          <w:sz w:val="17"/>
          <w:szCs w:val="17"/>
          <w:color w:val="333333"/>
        </w:rPr>
      </w:pPr>
    </w:p>
    <w:p>
      <w:pPr>
        <w:ind w:left="880" w:hanging="251"/>
        <w:spacing w:after="0"/>
        <w:tabs>
          <w:tab w:leader="none" w:pos="880" w:val="left"/>
        </w:tabs>
        <w:numPr>
          <w:ilvl w:val="0"/>
          <w:numId w:val="9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Registration Statement (Form S-3 No. 333-267108) of GeneDx Holdings Corp. yes</w:t>
      </w:r>
    </w:p>
    <w:p>
      <w:pPr>
        <w:spacing w:after="0" w:line="233" w:lineRule="exact"/>
        <w:rPr>
          <w:rFonts w:ascii="Times New Roman" w:cs="Times New Roman" w:eastAsia="Times New Roman" w:hAnsi="Times New Roman"/>
          <w:sz w:val="17"/>
          <w:szCs w:val="17"/>
          <w:color w:val="333333"/>
        </w:rPr>
      </w:pPr>
    </w:p>
    <w:p>
      <w:pPr>
        <w:ind w:left="620" w:right="3260" w:firstLine="9"/>
        <w:spacing w:after="0" w:line="261" w:lineRule="auto"/>
        <w:tabs>
          <w:tab w:leader="none" w:pos="865" w:val="left"/>
        </w:tabs>
        <w:numPr>
          <w:ilvl w:val="0"/>
          <w:numId w:val="9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Registration Statement (Form S-8 No. 333-264627) pertaining to the Sema4 Holdings Corp. Non-Plan Inducement Awards,</w:t>
      </w:r>
    </w:p>
    <w:p>
      <w:pPr>
        <w:spacing w:after="0" w:line="186" w:lineRule="exact"/>
        <w:rPr>
          <w:rFonts w:ascii="Times New Roman" w:cs="Times New Roman" w:eastAsia="Times New Roman" w:hAnsi="Times New Roman"/>
          <w:sz w:val="17"/>
          <w:szCs w:val="17"/>
          <w:color w:val="333333"/>
        </w:rPr>
      </w:pPr>
    </w:p>
    <w:p>
      <w:pPr>
        <w:ind w:left="620" w:right="3580" w:firstLine="9"/>
        <w:spacing w:after="0" w:line="277" w:lineRule="auto"/>
        <w:tabs>
          <w:tab w:leader="none" w:pos="865" w:val="left"/>
        </w:tabs>
        <w:numPr>
          <w:ilvl w:val="0"/>
          <w:numId w:val="9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Registration Statement (Form S-8 No. 333-262338) pertaining to the Sema4 Holdings Corp. 2021 Equity Incentive Plan and Sema4 Holdings Corp. 2021 Employee Stock Purchase Plan,</w:t>
      </w:r>
    </w:p>
    <w:p>
      <w:pPr>
        <w:spacing w:after="0" w:line="173" w:lineRule="exact"/>
        <w:rPr>
          <w:rFonts w:ascii="Times New Roman" w:cs="Times New Roman" w:eastAsia="Times New Roman" w:hAnsi="Times New Roman"/>
          <w:sz w:val="17"/>
          <w:szCs w:val="17"/>
          <w:color w:val="333333"/>
        </w:rPr>
      </w:pPr>
    </w:p>
    <w:p>
      <w:pPr>
        <w:ind w:left="620" w:right="3320" w:firstLine="9"/>
        <w:spacing w:after="0" w:line="277" w:lineRule="auto"/>
        <w:tabs>
          <w:tab w:leader="none" w:pos="865" w:val="left"/>
        </w:tabs>
        <w:numPr>
          <w:ilvl w:val="0"/>
          <w:numId w:val="9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Registration Statement (Form S-8 No. 333-260481) pertaining to the Sema4 Holdings Corp. Earn-out RSU Awards, and</w:t>
      </w:r>
    </w:p>
    <w:p>
      <w:pPr>
        <w:spacing w:after="0" w:line="173" w:lineRule="exact"/>
        <w:rPr>
          <w:rFonts w:ascii="Times New Roman" w:cs="Times New Roman" w:eastAsia="Times New Roman" w:hAnsi="Times New Roman"/>
          <w:sz w:val="17"/>
          <w:szCs w:val="17"/>
          <w:color w:val="333333"/>
        </w:rPr>
      </w:pPr>
    </w:p>
    <w:p>
      <w:pPr>
        <w:ind w:left="620" w:right="3580" w:firstLine="9"/>
        <w:spacing w:after="0" w:line="252" w:lineRule="auto"/>
        <w:tabs>
          <w:tab w:leader="none" w:pos="865" w:val="left"/>
        </w:tabs>
        <w:numPr>
          <w:ilvl w:val="0"/>
          <w:numId w:val="9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Registration Statement (Form S-8 No. 333-259815) pertaining to the Sema4 Holdings Corp. 2021 Equity Incentive Plan, Sema4 Holdings Corp. 2021 Employee Stock Purchase Plan, the outstanding stock options under the Mount Sinai Genomics, Inc. d/b/a Sema4 2017 Equity Incentive Plan and Sema4 Holdings Corp. Earn-out RSU Awards</w:t>
      </w:r>
    </w:p>
    <w:p>
      <w:pPr>
        <w:spacing w:after="0" w:line="19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333333"/>
        </w:rPr>
        <w:t>of our report dated March 16, 2023, with respect to the consolidated financial statements of GeneDx Holdings Corp. included in this Annual Report (Form 10-K) for the year ended December 31, 2022.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ectPr>
          <w:pgSz w:w="11900" w:h="16838" w:orient="portrait"/>
          <w:cols w:equalWidth="0" w:num="1">
            <w:col w:w="11240"/>
          </w:cols>
          <w:pgMar w:left="320" w:top="102"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RULES 13a-14(a) AND 15d-14(a)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UNDER THE SECURITIES EXCHANGE ACT OF 1934, AS ADOPTED PURSUANT TO</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302 OF THE SARBANES-OXLEY ACT OF 2002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Katherine Stueland, certify that:</w:t>
      </w:r>
    </w:p>
    <w:p>
      <w:pPr>
        <w:spacing w:after="0" w:line="201" w:lineRule="exact"/>
        <w:rPr>
          <w:sz w:val="20"/>
          <w:szCs w:val="20"/>
          <w:color w:val="auto"/>
        </w:rPr>
      </w:pPr>
    </w:p>
    <w:p>
      <w:pPr>
        <w:ind w:left="320" w:hanging="316"/>
        <w:spacing w:after="0"/>
        <w:tabs>
          <w:tab w:leader="none" w:pos="3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annual report on Form 10-K of GeneDx Holdings Corp. (the “registrant”);</w:t>
      </w:r>
    </w:p>
    <w:p>
      <w:pPr>
        <w:spacing w:after="0" w:line="200" w:lineRule="exact"/>
        <w:rPr>
          <w:rFonts w:ascii="Times New Roman" w:cs="Times New Roman" w:eastAsia="Times New Roman" w:hAnsi="Times New Roman"/>
          <w:sz w:val="21"/>
          <w:szCs w:val="21"/>
          <w:color w:val="auto"/>
        </w:rPr>
      </w:pPr>
    </w:p>
    <w:p>
      <w:pPr>
        <w:ind w:left="320" w:right="20" w:hanging="316"/>
        <w:spacing w:after="0" w:line="227" w:lineRule="auto"/>
        <w:tabs>
          <w:tab w:leader="none" w:pos="3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21"/>
          <w:szCs w:val="21"/>
          <w:color w:val="auto"/>
        </w:rPr>
      </w:pPr>
    </w:p>
    <w:p>
      <w:pPr>
        <w:ind w:left="320" w:right="120" w:hanging="316"/>
        <w:spacing w:after="0" w:line="227" w:lineRule="auto"/>
        <w:tabs>
          <w:tab w:leader="none" w:pos="3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1"/>
          <w:szCs w:val="21"/>
          <w:color w:val="auto"/>
        </w:rPr>
      </w:pPr>
    </w:p>
    <w:p>
      <w:pPr>
        <w:ind w:left="320" w:right="120" w:hanging="316"/>
        <w:spacing w:after="0" w:line="227" w:lineRule="auto"/>
        <w:tabs>
          <w:tab w:leader="none" w:pos="3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21"/>
          <w:szCs w:val="21"/>
          <w:color w:val="auto"/>
        </w:rPr>
      </w:pPr>
    </w:p>
    <w:p>
      <w:pPr>
        <w:ind w:left="620" w:right="100" w:hanging="304"/>
        <w:spacing w:after="0" w:line="247" w:lineRule="auto"/>
        <w:tabs>
          <w:tab w:leader="none" w:pos="60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21"/>
          <w:szCs w:val="21"/>
          <w:color w:val="auto"/>
        </w:rPr>
      </w:pPr>
    </w:p>
    <w:p>
      <w:pPr>
        <w:ind w:left="620" w:right="120" w:hanging="304"/>
        <w:spacing w:after="0" w:line="227" w:lineRule="auto"/>
        <w:tabs>
          <w:tab w:leader="none" w:pos="62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Times New Roman" w:cs="Times New Roman" w:eastAsia="Times New Roman" w:hAnsi="Times New Roman"/>
          <w:sz w:val="21"/>
          <w:szCs w:val="21"/>
          <w:color w:val="auto"/>
        </w:rPr>
      </w:pPr>
    </w:p>
    <w:p>
      <w:pPr>
        <w:ind w:left="620" w:right="220" w:hanging="304"/>
        <w:spacing w:after="0" w:line="227" w:lineRule="auto"/>
        <w:tabs>
          <w:tab w:leader="none" w:pos="60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21"/>
          <w:szCs w:val="21"/>
          <w:color w:val="auto"/>
        </w:rPr>
      </w:pPr>
    </w:p>
    <w:p>
      <w:pPr>
        <w:ind w:left="620" w:right="240" w:hanging="304"/>
        <w:spacing w:after="0" w:line="227" w:lineRule="auto"/>
        <w:tabs>
          <w:tab w:leader="none" w:pos="62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Times New Roman" w:cs="Times New Roman" w:eastAsia="Times New Roman" w:hAnsi="Times New Roman"/>
          <w:sz w:val="21"/>
          <w:szCs w:val="21"/>
          <w:color w:val="auto"/>
        </w:rPr>
      </w:pPr>
    </w:p>
    <w:p>
      <w:pPr>
        <w:ind w:left="320" w:right="80" w:hanging="316"/>
        <w:spacing w:after="0" w:line="238" w:lineRule="auto"/>
        <w:tabs>
          <w:tab w:leader="none" w:pos="3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w:t>
      </w:r>
    </w:p>
    <w:p>
      <w:pPr>
        <w:sectPr>
          <w:pgSz w:w="11900" w:h="16838" w:orient="portrait"/>
          <w:cols w:equalWidth="0" w:num="1">
            <w:col w:w="11240"/>
          </w:cols>
          <w:pgMar w:left="320" w:top="1381" w:right="339"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21"/>
          <w:szCs w:val="21"/>
          <w:color w:val="auto"/>
        </w:rPr>
        <w:t>audit committee of the registrant’s board of directors (or persons performing the equivalent functions):</w:t>
      </w:r>
    </w:p>
    <w:p>
      <w:pPr>
        <w:spacing w:after="0" w:line="201" w:lineRule="exact"/>
        <w:rPr>
          <w:sz w:val="20"/>
          <w:szCs w:val="20"/>
          <w:color w:val="auto"/>
        </w:rPr>
      </w:pPr>
    </w:p>
    <w:p>
      <w:pPr>
        <w:ind w:left="600" w:hanging="304"/>
        <w:spacing w:after="0" w:line="227" w:lineRule="auto"/>
        <w:tabs>
          <w:tab w:leader="none" w:pos="58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21"/>
          <w:szCs w:val="21"/>
          <w:color w:val="auto"/>
        </w:rPr>
      </w:pPr>
    </w:p>
    <w:p>
      <w:pPr>
        <w:ind w:left="600" w:right="420" w:hanging="304"/>
        <w:spacing w:after="0" w:line="238" w:lineRule="auto"/>
        <w:tabs>
          <w:tab w:leader="none" w:pos="60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6100" w:val="left"/>
          <w:tab w:leader="none" w:pos="6580" w:val="left"/>
        </w:tabs>
        <w:rPr>
          <w:sz w:val="20"/>
          <w:szCs w:val="20"/>
          <w:color w:val="auto"/>
        </w:rPr>
      </w:pPr>
      <w:r>
        <w:rPr>
          <w:rFonts w:ascii="Times New Roman" w:cs="Times New Roman" w:eastAsia="Times New Roman" w:hAnsi="Times New Roman"/>
          <w:sz w:val="21"/>
          <w:szCs w:val="21"/>
          <w:color w:val="auto"/>
        </w:rPr>
        <w:t>Date: March 16, 2023</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Katherine Stueland</w:t>
      </w:r>
    </w:p>
    <w:p>
      <w:pPr>
        <w:spacing w:after="0" w:line="3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-151765</wp:posOffset>
            </wp:positionV>
            <wp:extent cx="2948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Chief Executive Officer</w:t>
      </w:r>
    </w:p>
    <w:p>
      <w:pPr>
        <w:ind w:left="6600"/>
        <w:spacing w:after="0"/>
        <w:rPr>
          <w:sz w:val="20"/>
          <w:szCs w:val="20"/>
          <w:color w:val="auto"/>
        </w:rPr>
      </w:pPr>
      <w:r>
        <w:rPr>
          <w:rFonts w:ascii="Times New Roman" w:cs="Times New Roman" w:eastAsia="Times New Roman" w:hAnsi="Times New Roman"/>
          <w:sz w:val="21"/>
          <w:szCs w:val="21"/>
          <w:color w:val="auto"/>
        </w:rPr>
        <w:t>(Principal Executive Officer)</w:t>
      </w:r>
    </w:p>
    <w:p>
      <w:pPr>
        <w:sectPr>
          <w:pgSz w:w="11900" w:h="16838" w:orient="portrait"/>
          <w:cols w:equalWidth="0" w:num="1">
            <w:col w:w="10700"/>
          </w:cols>
          <w:pgMar w:left="340" w:top="1348" w:right="85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RULES 13a-14(a) AND 15d-14(a)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UNDER THE SECURITIES EXCHANGE ACT OF 1934, AS ADOPTED PURSUANT TO</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302 OF THE SARBANES-OXLEY ACT OF 2002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Kevin Feeley, certify that:</w:t>
      </w:r>
    </w:p>
    <w:p>
      <w:pPr>
        <w:spacing w:after="0" w:line="201" w:lineRule="exact"/>
        <w:rPr>
          <w:sz w:val="20"/>
          <w:szCs w:val="20"/>
          <w:color w:val="auto"/>
        </w:rPr>
      </w:pPr>
    </w:p>
    <w:p>
      <w:pPr>
        <w:ind w:left="320" w:hanging="316"/>
        <w:spacing w:after="0"/>
        <w:tabs>
          <w:tab w:leader="none" w:pos="3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annual report on Form 10-K of GeneDx Holdings Corp. (the “registrant”);</w:t>
      </w:r>
    </w:p>
    <w:p>
      <w:pPr>
        <w:spacing w:after="0" w:line="200" w:lineRule="exact"/>
        <w:rPr>
          <w:rFonts w:ascii="Times New Roman" w:cs="Times New Roman" w:eastAsia="Times New Roman" w:hAnsi="Times New Roman"/>
          <w:sz w:val="21"/>
          <w:szCs w:val="21"/>
          <w:color w:val="auto"/>
        </w:rPr>
      </w:pPr>
    </w:p>
    <w:p>
      <w:pPr>
        <w:ind w:left="320" w:right="20" w:hanging="316"/>
        <w:spacing w:after="0" w:line="227" w:lineRule="auto"/>
        <w:tabs>
          <w:tab w:leader="none" w:pos="3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21"/>
          <w:szCs w:val="21"/>
          <w:color w:val="auto"/>
        </w:rPr>
      </w:pPr>
    </w:p>
    <w:p>
      <w:pPr>
        <w:ind w:left="320" w:right="120" w:hanging="316"/>
        <w:spacing w:after="0" w:line="227" w:lineRule="auto"/>
        <w:tabs>
          <w:tab w:leader="none" w:pos="3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21"/>
          <w:szCs w:val="21"/>
          <w:color w:val="auto"/>
        </w:rPr>
      </w:pPr>
    </w:p>
    <w:p>
      <w:pPr>
        <w:ind w:left="320" w:right="120" w:hanging="316"/>
        <w:spacing w:after="0" w:line="247" w:lineRule="auto"/>
        <w:tabs>
          <w:tab w:leader="none" w:pos="3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21"/>
          <w:szCs w:val="21"/>
          <w:color w:val="auto"/>
        </w:rPr>
      </w:pPr>
    </w:p>
    <w:p>
      <w:pPr>
        <w:ind w:left="620" w:right="100" w:hanging="304"/>
        <w:spacing w:after="0" w:line="241" w:lineRule="auto"/>
        <w:tabs>
          <w:tab w:leader="none" w:pos="608"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Times New Roman" w:cs="Times New Roman" w:eastAsia="Times New Roman" w:hAnsi="Times New Roman"/>
          <w:sz w:val="21"/>
          <w:szCs w:val="21"/>
          <w:color w:val="auto"/>
        </w:rPr>
      </w:pPr>
    </w:p>
    <w:p>
      <w:pPr>
        <w:ind w:left="620" w:right="120" w:hanging="304"/>
        <w:spacing w:after="0" w:line="227" w:lineRule="auto"/>
        <w:tabs>
          <w:tab w:leader="none" w:pos="62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Times New Roman" w:cs="Times New Roman" w:eastAsia="Times New Roman" w:hAnsi="Times New Roman"/>
          <w:sz w:val="21"/>
          <w:szCs w:val="21"/>
          <w:color w:val="auto"/>
        </w:rPr>
      </w:pPr>
    </w:p>
    <w:p>
      <w:pPr>
        <w:ind w:left="620" w:right="220" w:hanging="304"/>
        <w:spacing w:after="0" w:line="227" w:lineRule="auto"/>
        <w:tabs>
          <w:tab w:leader="none" w:pos="608"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21"/>
          <w:szCs w:val="21"/>
          <w:color w:val="auto"/>
        </w:rPr>
      </w:pPr>
    </w:p>
    <w:p>
      <w:pPr>
        <w:ind w:left="620" w:right="240" w:hanging="304"/>
        <w:spacing w:after="0" w:line="227" w:lineRule="auto"/>
        <w:tabs>
          <w:tab w:leader="none" w:pos="62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Times New Roman" w:cs="Times New Roman" w:eastAsia="Times New Roman" w:hAnsi="Times New Roman"/>
          <w:sz w:val="21"/>
          <w:szCs w:val="21"/>
          <w:color w:val="auto"/>
        </w:rPr>
      </w:pPr>
    </w:p>
    <w:p>
      <w:pPr>
        <w:ind w:left="320" w:right="80" w:hanging="316"/>
        <w:spacing w:after="0" w:line="238" w:lineRule="auto"/>
        <w:tabs>
          <w:tab w:leader="none" w:pos="3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w:t>
      </w:r>
    </w:p>
    <w:p>
      <w:pPr>
        <w:sectPr>
          <w:pgSz w:w="11900" w:h="16838" w:orient="portrait"/>
          <w:cols w:equalWidth="0" w:num="1">
            <w:col w:w="11240"/>
          </w:cols>
          <w:pgMar w:left="320" w:top="1381" w:right="339"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21"/>
          <w:szCs w:val="21"/>
          <w:color w:val="auto"/>
        </w:rPr>
        <w:t>audit committee of the registrant’s board of directors (or persons performing the equivalent functions):</w:t>
      </w:r>
    </w:p>
    <w:p>
      <w:pPr>
        <w:spacing w:after="0" w:line="201" w:lineRule="exact"/>
        <w:rPr>
          <w:sz w:val="20"/>
          <w:szCs w:val="20"/>
          <w:color w:val="auto"/>
        </w:rPr>
      </w:pPr>
    </w:p>
    <w:p>
      <w:pPr>
        <w:ind w:left="600" w:hanging="304"/>
        <w:spacing w:after="0" w:line="227" w:lineRule="auto"/>
        <w:tabs>
          <w:tab w:leader="none" w:pos="588"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21"/>
          <w:szCs w:val="21"/>
          <w:color w:val="auto"/>
        </w:rPr>
      </w:pPr>
    </w:p>
    <w:p>
      <w:pPr>
        <w:ind w:left="600" w:right="420" w:hanging="304"/>
        <w:spacing w:after="0" w:line="238" w:lineRule="auto"/>
        <w:tabs>
          <w:tab w:leader="none" w:pos="60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6100" w:val="left"/>
          <w:tab w:leader="none" w:pos="6580" w:val="left"/>
        </w:tabs>
        <w:rPr>
          <w:sz w:val="20"/>
          <w:szCs w:val="20"/>
          <w:color w:val="auto"/>
        </w:rPr>
      </w:pPr>
      <w:r>
        <w:rPr>
          <w:rFonts w:ascii="Times New Roman" w:cs="Times New Roman" w:eastAsia="Times New Roman" w:hAnsi="Times New Roman"/>
          <w:sz w:val="21"/>
          <w:szCs w:val="21"/>
          <w:color w:val="auto"/>
        </w:rPr>
        <w:t>Date: March 16, 2023</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Kevin Feeley</w:t>
      </w:r>
    </w:p>
    <w:p>
      <w:pPr>
        <w:spacing w:after="0" w:line="3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-151765</wp:posOffset>
            </wp:positionV>
            <wp:extent cx="29489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Chief Financial Officer</w:t>
      </w:r>
    </w:p>
    <w:p>
      <w:pPr>
        <w:ind w:left="6600"/>
        <w:spacing w:after="0"/>
        <w:rPr>
          <w:sz w:val="20"/>
          <w:szCs w:val="20"/>
          <w:color w:val="auto"/>
        </w:rPr>
      </w:pPr>
      <w:r>
        <w:rPr>
          <w:rFonts w:ascii="Times New Roman" w:cs="Times New Roman" w:eastAsia="Times New Roman" w:hAnsi="Times New Roman"/>
          <w:sz w:val="21"/>
          <w:szCs w:val="21"/>
          <w:color w:val="auto"/>
        </w:rPr>
        <w:t>(Principal Financial Officer)</w:t>
      </w:r>
    </w:p>
    <w:p>
      <w:pPr>
        <w:sectPr>
          <w:pgSz w:w="11900" w:h="16838" w:orient="portrait"/>
          <w:cols w:equalWidth="0" w:num="1">
            <w:col w:w="10700"/>
          </w:cols>
          <w:pgMar w:left="340" w:top="1348" w:right="85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70"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21"/>
          <w:szCs w:val="21"/>
          <w:color w:val="auto"/>
        </w:rPr>
        <w:t>In connection with the Annual Report of GeneDx Holdings Corp. (the “registrant”) on Form 10-K for the fiscal year ended December 31, 2022, as filed with the Securities and Exchange Commission (the “Report”), I, Katherine Stueland, Chief Executive Officer of the registrant, certify, pursuant to 18 U.S.C. §1350, as added by §906 of the Sarbanes-Oxley Act of 2002, that:</w:t>
      </w:r>
    </w:p>
    <w:p>
      <w:pPr>
        <w:spacing w:after="0" w:line="2" w:lineRule="exact"/>
        <w:rPr>
          <w:sz w:val="20"/>
          <w:szCs w:val="20"/>
          <w:color w:val="auto"/>
        </w:rPr>
      </w:pPr>
    </w:p>
    <w:p>
      <w:pPr>
        <w:ind w:left="620" w:hanging="304"/>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7"/>
          <w:szCs w:val="17"/>
          <w:color w:val="auto"/>
        </w:rPr>
      </w:pPr>
    </w:p>
    <w:p>
      <w:pPr>
        <w:ind w:left="620" w:right="160" w:hanging="304"/>
        <w:spacing w:after="0" w:line="301"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To my knowledge, the information contained in the Report fairly presents, in all material respects, the financial condition and results of operations of the registrant as of and for the period covered by the Report.</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73"/>
        </w:trPr>
        <w:tc>
          <w:tcPr>
            <w:tcW w:w="3860" w:type="dxa"/>
            <w:vAlign w:val="bottom"/>
          </w:tcPr>
          <w:p>
            <w:pPr>
              <w:spacing w:after="0"/>
              <w:rPr>
                <w:sz w:val="20"/>
                <w:szCs w:val="20"/>
                <w:color w:val="auto"/>
              </w:rPr>
            </w:pPr>
            <w:r>
              <w:rPr>
                <w:rFonts w:ascii="Times New Roman" w:cs="Times New Roman" w:eastAsia="Times New Roman" w:hAnsi="Times New Roman"/>
                <w:sz w:val="21"/>
                <w:szCs w:val="21"/>
                <w:color w:val="auto"/>
              </w:rPr>
              <w:t>Date: March 16, 2023</w:t>
            </w:r>
          </w:p>
        </w:tc>
        <w:tc>
          <w:tcPr>
            <w:tcW w:w="6940" w:type="dxa"/>
            <w:vAlign w:val="bottom"/>
            <w:gridSpan w:val="2"/>
          </w:tcPr>
          <w:p>
            <w:pPr>
              <w:ind w:left="2020"/>
              <w:spacing w:after="0"/>
              <w:rPr>
                <w:sz w:val="20"/>
                <w:szCs w:val="20"/>
                <w:color w:val="auto"/>
              </w:rPr>
            </w:pPr>
            <w:r>
              <w:rPr>
                <w:rFonts w:ascii="Times New Roman" w:cs="Times New Roman" w:eastAsia="Times New Roman" w:hAnsi="Times New Roman"/>
                <w:sz w:val="21"/>
                <w:szCs w:val="21"/>
                <w:color w:val="auto"/>
              </w:rPr>
              <w:t>By:  /s/ Katherine Stueland</w:t>
            </w:r>
          </w:p>
        </w:tc>
      </w:tr>
      <w:tr>
        <w:trPr>
          <w:trHeight w:val="266"/>
        </w:trPr>
        <w:tc>
          <w:tcPr>
            <w:tcW w:w="38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Katherine Stueland</w:t>
            </w:r>
          </w:p>
        </w:tc>
      </w:tr>
      <w:tr>
        <w:trPr>
          <w:trHeight w:val="236"/>
        </w:trPr>
        <w:tc>
          <w:tcPr>
            <w:tcW w:w="3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48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Chief Executive Officer</w:t>
            </w:r>
          </w:p>
        </w:tc>
      </w:tr>
      <w:tr>
        <w:trPr>
          <w:trHeight w:val="271"/>
        </w:trPr>
        <w:tc>
          <w:tcPr>
            <w:tcW w:w="38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(Principal Executive Officer)</w:t>
            </w:r>
          </w:p>
        </w:tc>
      </w:tr>
    </w:tbl>
    <w:p>
      <w:pPr>
        <w:sectPr>
          <w:pgSz w:w="11900" w:h="16838" w:orient="portrait"/>
          <w:cols w:equalWidth="0" w:num="1">
            <w:col w:w="11240"/>
          </w:cols>
          <w:pgMar w:left="320" w:top="915"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7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1"/>
          <w:szCs w:val="21"/>
          <w:color w:val="auto"/>
        </w:rPr>
        <w:t>In connection with the Annual Report of GeneDx Holdings Corp. (the “registrant”) on Form 10-K for the fiscal year ended December 31, 2022, as filed with the Securities and Exchange Commission (the “Report”), I, Kevin Feeley, Chief Financial Officer of the registrant, certify, pursuant to 18 U.S.C. §1350, as added by §906 of the Sarbanes-Oxley Act of 2002, that:</w:t>
      </w:r>
    </w:p>
    <w:p>
      <w:pPr>
        <w:spacing w:after="0" w:line="2" w:lineRule="exact"/>
        <w:rPr>
          <w:sz w:val="20"/>
          <w:szCs w:val="20"/>
          <w:color w:val="auto"/>
        </w:rPr>
      </w:pPr>
    </w:p>
    <w:p>
      <w:pPr>
        <w:ind w:left="620" w:hanging="304"/>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7"/>
          <w:szCs w:val="17"/>
          <w:color w:val="auto"/>
        </w:rPr>
      </w:pPr>
    </w:p>
    <w:p>
      <w:pPr>
        <w:ind w:left="620" w:right="160" w:hanging="304"/>
        <w:spacing w:after="0" w:line="301"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To my knowledge, the information contained in the Report fairly presents, in all material respects, the financial condition and results of operations of the registrant as of and for the period covered by the Report.</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73"/>
        </w:trPr>
        <w:tc>
          <w:tcPr>
            <w:tcW w:w="3860" w:type="dxa"/>
            <w:vAlign w:val="bottom"/>
          </w:tcPr>
          <w:p>
            <w:pPr>
              <w:spacing w:after="0"/>
              <w:rPr>
                <w:sz w:val="20"/>
                <w:szCs w:val="20"/>
                <w:color w:val="auto"/>
              </w:rPr>
            </w:pPr>
            <w:r>
              <w:rPr>
                <w:rFonts w:ascii="Times New Roman" w:cs="Times New Roman" w:eastAsia="Times New Roman" w:hAnsi="Times New Roman"/>
                <w:sz w:val="21"/>
                <w:szCs w:val="21"/>
                <w:color w:val="auto"/>
              </w:rPr>
              <w:t>Date: March 16, 2023</w:t>
            </w:r>
          </w:p>
        </w:tc>
        <w:tc>
          <w:tcPr>
            <w:tcW w:w="6940" w:type="dxa"/>
            <w:vAlign w:val="bottom"/>
            <w:gridSpan w:val="2"/>
          </w:tcPr>
          <w:p>
            <w:pPr>
              <w:ind w:left="2020"/>
              <w:spacing w:after="0"/>
              <w:rPr>
                <w:sz w:val="20"/>
                <w:szCs w:val="20"/>
                <w:color w:val="auto"/>
              </w:rPr>
            </w:pPr>
            <w:r>
              <w:rPr>
                <w:rFonts w:ascii="Times New Roman" w:cs="Times New Roman" w:eastAsia="Times New Roman" w:hAnsi="Times New Roman"/>
                <w:sz w:val="21"/>
                <w:szCs w:val="21"/>
                <w:color w:val="auto"/>
              </w:rPr>
              <w:t>By:  /s/ Kevin Feeley</w:t>
            </w:r>
          </w:p>
        </w:tc>
      </w:tr>
      <w:tr>
        <w:trPr>
          <w:trHeight w:val="266"/>
        </w:trPr>
        <w:tc>
          <w:tcPr>
            <w:tcW w:w="38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Kevin Feeley</w:t>
            </w:r>
          </w:p>
        </w:tc>
      </w:tr>
      <w:tr>
        <w:trPr>
          <w:trHeight w:val="236"/>
        </w:trPr>
        <w:tc>
          <w:tcPr>
            <w:tcW w:w="3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48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Chief Financial Officer</w:t>
            </w:r>
          </w:p>
        </w:tc>
      </w:tr>
      <w:tr>
        <w:trPr>
          <w:trHeight w:val="271"/>
        </w:trPr>
        <w:tc>
          <w:tcPr>
            <w:tcW w:w="38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x"/>
      <w:numFmt w:val="bullet"/>
      <w:start w:val="1"/>
    </w:lvl>
  </w:abstractNum>
  <w:abstractNum w:abstractNumId="1">
    <w:nsid w:val="520EEDD1"/>
    <w:multiLevelType w:val="hybridMultilevel"/>
    <w:lvl w:ilvl="0">
      <w:lvlJc w:val="left"/>
      <w:lvlText w:val="o"/>
      <w:numFmt w:val="bullet"/>
      <w:start w:val="1"/>
    </w:lvl>
  </w:abstractNum>
  <w:abstractNum w:abstractNumId="2">
    <w:nsid w:val="374A3FE6"/>
    <w:multiLevelType w:val="hybridMultilevel"/>
    <w:lvl w:ilvl="0">
      <w:lvlJc w:val="left"/>
      <w:lvlText w:val="•"/>
      <w:numFmt w:val="bullet"/>
      <w:start w:val="1"/>
    </w:lvl>
    <w:lvl w:ilvl="1">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lvl w:ilvl="1">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1)"/>
      <w:numFmt w:val="decimal"/>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1)"/>
      <w:numFmt w:val="decimal"/>
      <w:start w:val="3"/>
    </w:lvl>
  </w:abstractNum>
  <w:abstractNum w:abstractNumId="42">
    <w:nsid w:val="5DC79EA8"/>
    <w:multiLevelType w:val="hybridMultilevel"/>
    <w:lvl w:ilvl="0">
      <w:lvlJc w:val="left"/>
      <w:lvlText w:val="(%1)"/>
      <w:numFmt w:val="decimal"/>
      <w:start w:val="1"/>
    </w:lvl>
  </w:abstractNum>
  <w:abstractNum w:abstractNumId="43">
    <w:nsid w:val="540A471C"/>
    <w:multiLevelType w:val="hybridMultilevel"/>
    <w:lvl w:ilvl="0">
      <w:lvlJc w:val="left"/>
      <w:lvlText w:val="(%1)"/>
      <w:numFmt w:val="lowerRoman"/>
      <w:start w:val="2"/>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1."/>
      <w:numFmt w:val="decimal"/>
      <w:start w:val="5"/>
    </w:lvl>
  </w:abstractNum>
  <w:abstractNum w:abstractNumId="52">
    <w:nsid w:val="1A32234B"/>
    <w:multiLevelType w:val="hybridMultilevel"/>
    <w:lvl w:ilvl="0">
      <w:lvlJc w:val="left"/>
      <w:lvlText w:val="%1."/>
      <w:numFmt w:val="decimal"/>
      <w:start w:val="6"/>
    </w:lvl>
  </w:abstractNum>
  <w:abstractNum w:abstractNumId="53">
    <w:nsid w:val="3B0FD379"/>
    <w:multiLevelType w:val="hybridMultilevel"/>
    <w:lvl w:ilvl="0">
      <w:lvlJc w:val="left"/>
      <w:lvlText w:val="%1."/>
      <w:numFmt w:val="decimal"/>
      <w:start w:val="9"/>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1)"/>
      <w:numFmt w:val="lowerLetter"/>
      <w:start w:val="1"/>
    </w:lvl>
    <w:lvl w:ilvl="1">
      <w:lvlJc w:val="left"/>
      <w:lvlText w:val="%2."/>
      <w:numFmt w:val="decimal"/>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1."/>
      <w:numFmt w:val="decimal"/>
      <w:start w:val="1"/>
    </w:lvl>
    <w:lvl w:ilvl="1">
      <w:lvlJc w:val="left"/>
      <w:lvlText w:val="%2"/>
      <w:numFmt w:val="upperLetter"/>
      <w:start w:val="1"/>
    </w:lvl>
  </w:abstractNum>
  <w:abstractNum w:abstractNumId="67">
    <w:nsid w:val="885E1B"/>
    <w:multiLevelType w:val="hybridMultilevel"/>
    <w:lvl w:ilvl="0">
      <w:lvlJc w:val="left"/>
      <w:lvlText w:val="%1"/>
      <w:numFmt w:val="decimal"/>
      <w:start w:val="1"/>
    </w:lvl>
    <w:lvl w:ilvl="1">
      <w:lvlJc w:val="left"/>
      <w:lvlText w:val="%2."/>
      <w:numFmt w:val="upperLetter"/>
      <w:start w:val="2"/>
    </w:lvl>
  </w:abstractNum>
  <w:abstractNum w:abstractNumId="68">
    <w:nsid w:val="76272110"/>
    <w:multiLevelType w:val="hybridMultilevel"/>
    <w:lvl w:ilvl="0">
      <w:lvlJc w:val="left"/>
      <w:lvlText w:val="%1."/>
      <w:numFmt w:val="decimal"/>
      <w:start w:val="2"/>
    </w:lvl>
    <w:lvl w:ilvl="1">
      <w:lvlJc w:val="left"/>
      <w:lvlText w:val="%2"/>
      <w:numFmt w:val="upperLetter"/>
      <w:start w:val="1"/>
    </w:lvl>
  </w:abstractNum>
  <w:abstractNum w:abstractNumId="69">
    <w:nsid w:val="4C04A8AF"/>
    <w:multiLevelType w:val="hybridMultilevel"/>
    <w:lvl w:ilvl="0">
      <w:lvlJc w:val="left"/>
      <w:lvlText w:val="%1."/>
      <w:numFmt w:val="decimal"/>
      <w:start w:val="3"/>
    </w:lvl>
    <w:lvl w:ilvl="1">
      <w:lvlJc w:val="left"/>
      <w:lvlText w:val="%2."/>
      <w:numFmt w:val="upperLetter"/>
      <w:start w:val="1"/>
    </w:lvl>
  </w:abstractNum>
  <w:abstractNum w:abstractNumId="70">
    <w:nsid w:val="1716703B"/>
    <w:multiLevelType w:val="hybridMultilevel"/>
    <w:lvl w:ilvl="0">
      <w:lvlJc w:val="left"/>
      <w:lvlText w:val="%1"/>
      <w:numFmt w:val="decimal"/>
      <w:start w:val="1"/>
    </w:lvl>
    <w:lvl w:ilvl="1">
      <w:lvlJc w:val="left"/>
      <w:lvlText w:val="%2."/>
      <w:numFmt w:val="upperLetter"/>
      <w:start w:val="3"/>
    </w:lvl>
  </w:abstractNum>
  <w:abstractNum w:abstractNumId="71">
    <w:nsid w:val="14E17E33"/>
    <w:multiLevelType w:val="hybridMultilevel"/>
    <w:lvl w:ilvl="0">
      <w:lvlJc w:val="left"/>
      <w:lvlText w:val="%1."/>
      <w:numFmt w:val="decimal"/>
      <w:start w:val="4"/>
    </w:lvl>
    <w:lvl w:ilvl="1">
      <w:lvlJc w:val="left"/>
      <w:lvlText w:val="%2."/>
      <w:numFmt w:val="upperLetter"/>
      <w:start w:val="1"/>
    </w:lvl>
  </w:abstractNum>
  <w:abstractNum w:abstractNumId="72">
    <w:nsid w:val="3222E7CD"/>
    <w:multiLevelType w:val="hybridMultilevel"/>
    <w:lvl w:ilvl="0">
      <w:lvlJc w:val="left"/>
      <w:lvlText w:val="%1."/>
      <w:numFmt w:val="decimal"/>
      <w:start w:val="5"/>
    </w:lvl>
  </w:abstractNum>
  <w:abstractNum w:abstractNumId="73">
    <w:nsid w:val="74DE0EE3"/>
    <w:multiLevelType w:val="hybridMultilevel"/>
    <w:lvl w:ilvl="0">
      <w:lvlJc w:val="left"/>
      <w:lvlText w:val="%1."/>
      <w:numFmt w:val="upperLetter"/>
      <w:start w:val="2"/>
    </w:lvl>
    <w:lvl w:ilvl="1">
      <w:lvlJc w:val="left"/>
      <w:lvlText w:val="(%2)"/>
      <w:numFmt w:val="lowerRoman"/>
      <w:start w:val="1"/>
    </w:lvl>
  </w:abstractNum>
  <w:abstractNum w:abstractNumId="74">
    <w:nsid w:val="68EBC550"/>
    <w:multiLevelType w:val="hybridMultilevel"/>
    <w:lvl w:ilvl="0">
      <w:lvlJc w:val="left"/>
      <w:lvlText w:val="%1."/>
      <w:numFmt w:val="upperLetter"/>
      <w:start w:val="5"/>
    </w:lvl>
    <w:lvl w:ilvl="1">
      <w:lvlJc w:val="left"/>
      <w:lvlText w:val="(%2)"/>
      <w:numFmt w:val="lowerRoman"/>
      <w:start w:val="1"/>
    </w:lvl>
  </w:abstractNum>
  <w:abstractNum w:abstractNumId="75">
    <w:nsid w:val="2DF6D648"/>
    <w:multiLevelType w:val="hybridMultilevel"/>
    <w:lvl w:ilvl="0">
      <w:lvlJc w:val="left"/>
      <w:lvlText w:val="(%1)"/>
      <w:numFmt w:val="upperLetter"/>
      <w:start w:val="1"/>
    </w:lvl>
  </w:abstractNum>
  <w:abstractNum w:abstractNumId="76">
    <w:nsid w:val="46B7D447"/>
    <w:multiLevelType w:val="hybridMultilevel"/>
    <w:lvl w:ilvl="0">
      <w:lvlJc w:val="left"/>
      <w:lvlText w:val="(%1)"/>
      <w:numFmt w:val="lowerRoman"/>
      <w:start w:val="2"/>
    </w:lvl>
  </w:abstractNum>
  <w:abstractNum w:abstractNumId="77">
    <w:nsid w:val="4A2AC315"/>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3"/>
    </w:lvl>
  </w:abstractNum>
  <w:abstractNum w:abstractNumId="78">
    <w:nsid w:val="39EE015C"/>
    <w:multiLevelType w:val="hybridMultilevel"/>
    <w:lvl w:ilvl="0">
      <w:lvlJc w:val="left"/>
      <w:lvlText w:val="%1"/>
      <w:numFmt w:val="lowerRoman"/>
      <w:start w:val="1"/>
    </w:lvl>
    <w:lvl w:ilvl="1">
      <w:lvlJc w:val="left"/>
      <w:lvlText w:val="%2."/>
      <w:numFmt w:val="upperLetter"/>
      <w:start w:val="6"/>
    </w:lvl>
    <w:lvl w:ilvl="2">
      <w:lvlJc w:val="left"/>
      <w:lvlText w:val="%3"/>
      <w:numFmt w:val="lowerRoman"/>
      <w:start w:val="1"/>
    </w:lvl>
  </w:abstractNum>
  <w:abstractNum w:abstractNumId="79">
    <w:nsid w:val="57FC4FBB"/>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80">
    <w:nsid w:val="CC1016F"/>
    <w:multiLevelType w:val="hybridMultilevel"/>
    <w:lvl w:ilvl="0">
      <w:lvlJc w:val="left"/>
      <w:lvlText w:val="%1."/>
      <w:numFmt w:val="decimal"/>
      <w:start w:val="6"/>
    </w:lvl>
  </w:abstractNum>
  <w:abstractNum w:abstractNumId="81">
    <w:nsid w:val="43F18422"/>
    <w:multiLevelType w:val="hybridMultilevel"/>
    <w:lvl w:ilvl="0">
      <w:lvlJc w:val="left"/>
      <w:lvlText w:val="%1."/>
      <w:numFmt w:val="decimal"/>
      <w:start w:val="7"/>
    </w:lvl>
  </w:abstractNum>
  <w:abstractNum w:abstractNumId="82">
    <w:nsid w:val="60EF0119"/>
    <w:multiLevelType w:val="hybridMultilevel"/>
    <w:lvl w:ilvl="0">
      <w:lvlJc w:val="left"/>
      <w:lvlText w:val="%1."/>
      <w:numFmt w:val="decimal"/>
      <w:start w:val="8"/>
    </w:lvl>
  </w:abstractNum>
  <w:abstractNum w:abstractNumId="83">
    <w:nsid w:val="26F324BA"/>
    <w:multiLevelType w:val="hybridMultilevel"/>
    <w:lvl w:ilvl="0">
      <w:lvlJc w:val="left"/>
      <w:lvlText w:val="%1."/>
      <w:numFmt w:val="decimal"/>
      <w:start w:val="9"/>
    </w:lvl>
    <w:lvl w:ilvl="1">
      <w:lvlJc w:val="left"/>
      <w:lvlText w:val="%2."/>
      <w:numFmt w:val="upperLetter"/>
      <w:start w:val="1"/>
    </w:lvl>
  </w:abstractNum>
  <w:abstractNum w:abstractNumId="84">
    <w:nsid w:val="7F01579B"/>
    <w:multiLevelType w:val="hybridMultilevel"/>
    <w:lvl w:ilvl="0">
      <w:lvlJc w:val="left"/>
      <w:lvlText w:val="%1."/>
      <w:numFmt w:val="decimal"/>
      <w:start w:val="11"/>
    </w:lvl>
  </w:abstractNum>
  <w:abstractNum w:abstractNumId="85">
    <w:nsid w:val="49DA307D"/>
    <w:multiLevelType w:val="hybridMultilevel"/>
    <w:lvl w:ilvl="0">
      <w:lvlJc w:val="left"/>
      <w:lvlText w:val="%1."/>
      <w:numFmt w:val="decimal"/>
      <w:start w:val="12"/>
    </w:lvl>
  </w:abstractNum>
  <w:abstractNum w:abstractNumId="86">
    <w:nsid w:val="7055A5F5"/>
    <w:multiLevelType w:val="hybridMultilevel"/>
    <w:lvl w:ilvl="0">
      <w:lvlJc w:val="left"/>
      <w:lvlText w:val="%1."/>
      <w:numFmt w:val="decimal"/>
      <w:start w:val="13"/>
    </w:lvl>
  </w:abstractNum>
  <w:abstractNum w:abstractNumId="87">
    <w:nsid w:val="5FB8370B"/>
    <w:multiLevelType w:val="hybridMultilevel"/>
    <w:lvl w:ilvl="0">
      <w:lvlJc w:val="left"/>
      <w:lvlText w:val="%1."/>
      <w:numFmt w:val="decimal"/>
      <w:start w:val="14"/>
    </w:lvl>
    <w:lvl w:ilvl="1">
      <w:lvlJc w:val="left"/>
      <w:lvlText w:val="%2."/>
      <w:numFmt w:val="upperLetter"/>
      <w:start w:val="1"/>
    </w:lvl>
  </w:abstractNum>
  <w:abstractNum w:abstractNumId="88">
    <w:nsid w:val="50801EE1"/>
    <w:multiLevelType w:val="hybridMultilevel"/>
    <w:lvl w:ilvl="0">
      <w:lvlJc w:val="left"/>
      <w:lvlText w:val="%1."/>
      <w:numFmt w:val="upperLetter"/>
      <w:start w:val="5"/>
    </w:lvl>
  </w:abstractNum>
  <w:abstractNum w:abstractNumId="89">
    <w:nsid w:val="488AC1A"/>
    <w:multiLevelType w:val="hybridMultilevel"/>
    <w:lvl w:ilvl="0">
      <w:lvlJc w:val="left"/>
      <w:lvlText w:val="%1."/>
      <w:numFmt w:val="decimal"/>
      <w:start w:val="1"/>
    </w:lvl>
  </w:abstractNum>
  <w:abstractNum w:abstractNumId="90">
    <w:nsid w:val="5FB8011C"/>
    <w:multiLevelType w:val="hybridMultilevel"/>
    <w:lvl w:ilvl="0">
      <w:lvlJc w:val="left"/>
      <w:lvlText w:val="%1."/>
      <w:numFmt w:val="decimal"/>
      <w:start w:val="3"/>
    </w:lvl>
  </w:abstractNum>
  <w:abstractNum w:abstractNumId="91">
    <w:nsid w:val="6AA78F7F"/>
    <w:multiLevelType w:val="hybridMultilevel"/>
    <w:lvl w:ilvl="0">
      <w:lvlJc w:val="left"/>
      <w:lvlText w:val="%1."/>
      <w:numFmt w:val="decimal"/>
      <w:start w:val="1"/>
    </w:lvl>
  </w:abstractNum>
  <w:abstractNum w:abstractNumId="92">
    <w:nsid w:val="7672BD23"/>
    <w:multiLevelType w:val="hybridMultilevel"/>
    <w:lvl w:ilvl="0">
      <w:lvlJc w:val="left"/>
      <w:lvlText w:val="%1."/>
      <w:numFmt w:val="decimal"/>
      <w:start w:val="2"/>
    </w:lvl>
    <w:lvl w:ilvl="1">
      <w:lvlJc w:val="left"/>
      <w:lvlText w:val="(%2)"/>
      <w:numFmt w:val="lowerLetter"/>
      <w:start w:val="1"/>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start w:val="4"/>
    </w:lvl>
  </w:abstractNum>
  <w:abstractNum w:abstractNumId="95">
    <w:nsid w:val="7D5E18F8"/>
    <w:multiLevelType w:val="hybridMultilevel"/>
    <w:lvl w:ilvl="0">
      <w:lvlJc w:val="left"/>
      <w:lvlText w:val="%1."/>
      <w:numFmt w:val="decimal"/>
      <w:start w:val="5"/>
    </w:lvl>
  </w:abstractNum>
  <w:abstractNum w:abstractNumId="96">
    <w:nsid w:val="5F3534A4"/>
    <w:multiLevelType w:val="hybridMultilevel"/>
    <w:lvl w:ilvl="0">
      <w:lvlJc w:val="left"/>
      <w:lvlText w:val="%1."/>
      <w:numFmt w:val="decimal"/>
      <w:start w:val="10"/>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1"/>
    </w:lvl>
    <w:lvl w:ilvl="1">
      <w:lvlJc w:val="left"/>
      <w:lvlText w:val="%2."/>
      <w:numFmt w:val="lowerLetter"/>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7"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165" Type="http://schemas.openxmlformats.org/officeDocument/2006/relationships/hyperlink" Target="https://www.sec.gov/Archives/edgar/data/0001818331/000162828021013404/sema4proxy.htm#i8b8880c1ddfa423593153735d1fc233d_1878" TargetMode="External"/><Relationship Id="rId166" Type="http://schemas.openxmlformats.org/officeDocument/2006/relationships/hyperlink" Target="https://www.sec.gov/Archives/edgar/data/0001818331/000181833122000010/exhibit21-mergeragreement2.htm" TargetMode="External"/><Relationship Id="rId167" Type="http://schemas.openxmlformats.org/officeDocument/2006/relationships/hyperlink" Target="https://www.sec.gov/Archives/edgar/data/1818331/000162828022011605/exhibit992closing8-k.htm" TargetMode="External"/><Relationship Id="rId168" Type="http://schemas.openxmlformats.org/officeDocument/2006/relationships/hyperlink" Target="https://www.sec.gov/Archives/edgar/data/0001818331/000162828021014760/exhibit31-super8xk.htm" TargetMode="External"/><Relationship Id="rId169" Type="http://schemas.openxmlformats.org/officeDocument/2006/relationships/hyperlink" Target="https://www.sec.gov/Archives/edgar/data/1818331/000181833123000006/sema4-certificateofamendme.htm" TargetMode="External"/><Relationship Id="rId170" Type="http://schemas.openxmlformats.org/officeDocument/2006/relationships/hyperlink" Target="https://www.sec.gov/Archives/edgar/data/1818331/000181833123000006/sema4-amendedandrestatedby.htm" TargetMode="External"/><Relationship Id="rId171" Type="http://schemas.openxmlformats.org/officeDocument/2006/relationships/hyperlink" Target="https://www.sec.gov/Archives/edgar/data/0001818331/000121390020023383/fs12020a1ex4-2_cmlifesci.htm" TargetMode="External"/><Relationship Id="rId172" Type="http://schemas.openxmlformats.org/officeDocument/2006/relationships/hyperlink" Target="https://www.sec.gov/Archives/edgar/data/0001818331/000121390020023383/fs12020a1ex4-3_cmlifesci.htm" TargetMode="External"/><Relationship Id="rId173" Type="http://schemas.openxmlformats.org/officeDocument/2006/relationships/hyperlink" Target="https://www.sec.gov/Archives/edgar/data/0001818331/000121390020025454/ea126481ex10-1_cmlife.htm" TargetMode="External"/><Relationship Id="rId174" Type="http://schemas.openxmlformats.org/officeDocument/2006/relationships/hyperlink" Target="https://www.sec.gov/Archives/edgar/data/0001818331/000162828021014760/exhibit102-super8xk.htm" TargetMode="External"/><Relationship Id="rId175" Type="http://schemas.openxmlformats.org/officeDocument/2006/relationships/hyperlink" Target="https://www.sec.gov/Archives/edgar/data/0001818331/000162828021014760/exhibit104-super8xk.htm" TargetMode="External"/><Relationship Id="rId176" Type="http://schemas.openxmlformats.org/officeDocument/2006/relationships/hyperlink" Target="https://www.sec.gov/Archives/edgar/data/0001818331/000162828021014760/exhibit105-super8xk.htm" TargetMode="External"/><Relationship Id="rId178" Type="http://schemas.openxmlformats.org/officeDocument/2006/relationships/hyperlink" Target="https://www.sec.gov/Archives/edgar/data/0001818331/000162828021014760/exhibit106-super8xk.htm" TargetMode="External"/><Relationship Id="rId179" Type="http://schemas.openxmlformats.org/officeDocument/2006/relationships/hyperlink" Target="https://www.sec.gov/Archives/edgar/data/0001818331/000162828021014760/exhibit107-super8xk.htm" TargetMode="External"/><Relationship Id="rId180" Type="http://schemas.openxmlformats.org/officeDocument/2006/relationships/hyperlink" Target="https://www.sec.gov/Archives/edgar/data/0001818331/000162828021014760/exhibit108-super8xk.htm" TargetMode="External"/><Relationship Id="rId181" Type="http://schemas.openxmlformats.org/officeDocument/2006/relationships/hyperlink" Target="https://www.sec.gov/Archives/edgar/data/0001818331/000162828021014760/exhibit109-super8xk.htm" TargetMode="External"/><Relationship Id="rId182" Type="http://schemas.openxmlformats.org/officeDocument/2006/relationships/hyperlink" Target="https://www.sec.gov/Archives/edgar/data/0001818331/000162828021014760/exhibit1010-super8xk.htm" TargetMode="External"/><Relationship Id="rId183" Type="http://schemas.openxmlformats.org/officeDocument/2006/relationships/hyperlink" Target="https://www.sec.gov/Archives/edgar/data/0001818331/000162828021014760/exhibit1017-super8xk.htm" TargetMode="External"/><Relationship Id="rId184" Type="http://schemas.openxmlformats.org/officeDocument/2006/relationships/hyperlink" Target="https://www.sec.gov/Archives/edgar/data/0001818331/000162828021014760/exhibit1018-super8xk.htm" TargetMode="External"/><Relationship Id="rId185" Type="http://schemas.openxmlformats.org/officeDocument/2006/relationships/hyperlink" Target="https://www.sec.gov/Archives/edgar/data/0001818331/000162828021014760/exhibit1019-super8xk.htm" TargetMode="External"/><Relationship Id="rId186" Type="http://schemas.openxmlformats.org/officeDocument/2006/relationships/hyperlink" Target="https://www.sec.gov/Archives/edgar/data/0001818331/000162828021014760/exhibit1020-super8xk.htm" TargetMode="External"/><Relationship Id="rId187" Type="http://schemas.openxmlformats.org/officeDocument/2006/relationships/hyperlink" Target="https://www.sec.gov/Archives/edgar/data/0001818331/000162828021014760/exhibit1021-super8xk.htm" TargetMode="External"/><Relationship Id="rId188" Type="http://schemas.openxmlformats.org/officeDocument/2006/relationships/hyperlink" Target="https://www.sec.gov/Archives/edgar/data/0001818331/000162828021014760/exhibit1022-super8xk.htm" TargetMode="External"/><Relationship Id="rId189" Type="http://schemas.openxmlformats.org/officeDocument/2006/relationships/hyperlink" Target="https://www.sec.gov/Archives/edgar/data/0001818331/000162828021014760/exhibit1023-super8xk.htm" TargetMode="External"/><Relationship Id="rId190" Type="http://schemas.openxmlformats.org/officeDocument/2006/relationships/hyperlink" Target="https://www.sec.gov/Archives/edgar/data/0001818331/000162828021014760/exhibit1024-super8xk.htm" TargetMode="External"/><Relationship Id="rId191" Type="http://schemas.openxmlformats.org/officeDocument/2006/relationships/hyperlink" Target="https://www.sec.gov/Archives/edgar/data/0001818331/000162828021014760/exhibit1025-super8xk.htm" TargetMode="External"/><Relationship Id="rId192" Type="http://schemas.openxmlformats.org/officeDocument/2006/relationships/hyperlink" Target="https://www.sec.gov/Archives/edgar/data/0001818331/000162828021014760/exhibit1026-super8xk.htm" TargetMode="External"/><Relationship Id="rId193" Type="http://schemas.openxmlformats.org/officeDocument/2006/relationships/hyperlink" Target="https://www.sec.gov/Archives/edgar/data/0001818331/000162828021014760/exhibit1027-super8xk.htm" TargetMode="External"/><Relationship Id="rId194" Type="http://schemas.openxmlformats.org/officeDocument/2006/relationships/hyperlink" Target="https://www.sec.gov/Archives/edgar/data/0001818331/000162828021019193/exhibit996-sx8.htm" TargetMode="External"/><Relationship Id="rId197" Type="http://schemas.openxmlformats.org/officeDocument/2006/relationships/hyperlink" Target="https://www.sec.gov/Archives/edgar/data/0001818331/000181833121000012/sema4-svbxxloanandsecurity.htm" TargetMode="External"/><Relationship Id="rId198" Type="http://schemas.openxmlformats.org/officeDocument/2006/relationships/hyperlink" Target="https://www.sec.gov/Archives/edgar/data/0001818331/000121390021008253/ea135116ex10-2_cmlife.htm" TargetMode="External"/><Relationship Id="rId199" Type="http://schemas.openxmlformats.org/officeDocument/2006/relationships/hyperlink" Target="https://www.sec.gov/Archives/edgar/data/0001818331/000121390021008253/ea135116ex10-1_cmlife.htm" TargetMode="External"/><Relationship Id="rId200" Type="http://schemas.openxmlformats.org/officeDocument/2006/relationships/hyperlink" Target="https://www.sec.gov/Archives/edgar/data/1818331/000181833122000010/exhibit102-formofsharehold.htm" TargetMode="External"/><Relationship Id="rId201" Type="http://schemas.openxmlformats.org/officeDocument/2006/relationships/hyperlink" Target="https://www.sec.gov/Archives/edgar/data/1818331/000181833122000010/exhibit103-formofstockhold.htm" TargetMode="External"/><Relationship Id="rId202" Type="http://schemas.openxmlformats.org/officeDocument/2006/relationships/hyperlink" Target="https://www.sec.gov/Archives/edgar/data/1818331/000181833122000010/exhibit104-formofpipeinves.htm" TargetMode="External"/><Relationship Id="rId203" Type="http://schemas.openxmlformats.org/officeDocument/2006/relationships/hyperlink" Target="https://www.sec.gov/Archives/edgar/data/1818331/000181833122000037/fw_15470948x3xsema4-execut.htm" TargetMode="External"/><Relationship Id="rId204" Type="http://schemas.openxmlformats.org/officeDocument/2006/relationships/hyperlink" Target="https://www.sec.gov/Archives/edgar/data/1818331/000162828022011605/exhibit101closing8-k.htm" TargetMode="External"/><Relationship Id="rId205" Type="http://schemas.openxmlformats.org/officeDocument/2006/relationships/hyperlink" Target="https://www.sec.gov/Archives/edgar/data/1818331/000162828022011605/exhibit102-closing8xk.htm" TargetMode="External"/><Relationship Id="rId206" Type="http://schemas.openxmlformats.org/officeDocument/2006/relationships/hyperlink" Target="https://www.sec.gov/Archives/edgar/data/1818331/000181833122000053/amendmentno1toeschadtaremp.htm" TargetMode="External"/><Relationship Id="rId207" Type="http://schemas.openxmlformats.org/officeDocument/2006/relationships/hyperlink" Target="https://www.sec.gov/Archives/edgar/data/1818331/000162828022023779/exhibit101-8xkx8262022.htm" TargetMode="External"/><Relationship Id="rId208" Type="http://schemas.openxmlformats.org/officeDocument/2006/relationships/hyperlink" Target="https://www.sec.gov/Archives/edgar/data/1818331/000181833122000069/sema4-agreementeschad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2023-03-16T18:47:06Z</dcterms:created>
  <dcterms:modified xsi:type="dcterms:W3CDTF">2023-03-16T18:47:06Z</dcterms:modified>
</cp:coreProperties>
</file>