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333-259815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333-260481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333-262338</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193040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5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259815</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260481</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262338</w:t>
      </w:r>
    </w:p>
    <w:p>
      <w:pPr>
        <w:spacing w:after="0" w:line="21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221615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6"/>
          <w:szCs w:val="36"/>
          <w:b w:val="1"/>
          <w:bCs w:val="1"/>
          <w:color w:val="auto"/>
        </w:rPr>
        <w:t>GENEDX HOLDINGS CORP.</w:t>
      </w:r>
    </w:p>
    <w:p>
      <w:pPr>
        <w:spacing w:after="0" w:line="5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366" w:lineRule="exact"/>
        <w:rPr>
          <w:sz w:val="24"/>
          <w:szCs w:val="24"/>
          <w:color w:val="auto"/>
        </w:rPr>
      </w:pPr>
    </w:p>
    <w:tbl>
      <w:tblPr>
        <w:tblLayout w:type="fixed"/>
        <w:tblInd w:w="2340" w:type="dxa"/>
        <w:tblCellMar>
          <w:top w:w="0" w:type="dxa"/>
          <w:left w:w="0" w:type="dxa"/>
          <w:bottom w:w="0" w:type="dxa"/>
          <w:right w:w="0" w:type="dxa"/>
        </w:tblCellMar>
      </w:tblPr>
      <w:tr>
        <w:trPr>
          <w:trHeight w:val="212"/>
        </w:trPr>
        <w:tc>
          <w:tcPr>
            <w:tcW w:w="414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262"/>
        </w:trPr>
        <w:tc>
          <w:tcPr>
            <w:tcW w:w="4140" w:type="dxa"/>
            <w:vAlign w:val="bottom"/>
          </w:tcPr>
          <w:p>
            <w:pPr>
              <w:jc w:val="center"/>
              <w:ind w:right="185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4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348"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GENEDX HOLDINGS CORP. AMENDED AND RESTATED 2021 EQUITY INCENTIVE PLAN</w:t>
      </w:r>
    </w:p>
    <w:p>
      <w:pPr>
        <w:spacing w:after="0" w:line="15"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GENEDX HOLDINGS CORP. 2021 EMPLOYEE STOCK PURCHASE PLAN</w:t>
      </w:r>
    </w:p>
    <w:p>
      <w:pPr>
        <w:spacing w:after="0" w:line="8"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MOUNT SINAI GENOMICS, INC. 2017 EQUITY INCENTIVE PLAN</w:t>
      </w:r>
    </w:p>
    <w:p>
      <w:pPr>
        <w:spacing w:after="0" w:line="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GENEDX HOLDINGS CORP. EARN-OUT RSU AWARDS</w:t>
      </w:r>
    </w:p>
    <w:p>
      <w:pPr>
        <w:spacing w:after="0" w:line="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197485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Katherine Stueland</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(888) 729-1206</w:t>
      </w:r>
    </w:p>
    <w:p>
      <w:pPr>
        <w:spacing w:after="0" w:line="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191770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 w:name="page2"/>
    <w:bookmarkEnd w:id="1"/>
    <w:p>
      <w:pPr>
        <w:spacing w:after="0" w:line="200" w:lineRule="exact"/>
        <w:rPr>
          <w:sz w:val="20"/>
          <w:szCs w:val="20"/>
          <w:color w:val="auto"/>
        </w:rPr>
      </w:pPr>
    </w:p>
    <w:p>
      <w:pPr>
        <w:spacing w:after="0" w:line="341"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27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Ethan Skerry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Kevin Feeley</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Per B. Chilstrom</w:t>
            </w:r>
          </w:p>
        </w:tc>
        <w:tc>
          <w:tcPr>
            <w:tcW w:w="52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Fenwick &amp; West LLP</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902 Broadway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333 Ludlow Street, North Tower, 6th Floor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New York, New York 10010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Stamford, Connecticut 06902</w:t>
            </w:r>
          </w:p>
        </w:tc>
      </w:tr>
      <w:tr>
        <w:trPr>
          <w:trHeight w:val="26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(212) 430-2600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(888) 729-1206</w:t>
            </w:r>
          </w:p>
        </w:tc>
      </w:tr>
    </w:tbl>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04" w:lineRule="exact"/>
        <w:rPr>
          <w:sz w:val="20"/>
          <w:szCs w:val="20"/>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0"/>
          <w:szCs w:val="20"/>
          <w:color w:val="auto"/>
        </w:rPr>
      </w:pPr>
    </w:p>
    <w:p>
      <w:pPr>
        <w:sectPr>
          <w:pgSz w:w="11900" w:h="16838" w:orient="portrait"/>
          <w:cols w:equalWidth="0" w:num="2">
            <w:col w:w="4420" w:space="720"/>
            <w:col w:w="6100"/>
          </w:cols>
          <w:pgMar w:left="320" w:top="1440" w:right="339" w:bottom="144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8" w:lineRule="exact"/>
        <w:rPr>
          <w:sz w:val="20"/>
          <w:szCs w:val="20"/>
          <w:color w:val="auto"/>
        </w:rPr>
      </w:pPr>
    </w:p>
    <w:p>
      <w:pPr>
        <w:sectPr>
          <w:pgSz w:w="11900" w:h="16838" w:orient="portrait"/>
          <w:cols w:equalWidth="0" w:num="2">
            <w:col w:w="4420" w:space="720"/>
            <w:col w:w="6100"/>
          </w:cols>
          <w:pgMar w:left="320" w:top="1440" w:right="339" w:bottom="1440" w:gutter="0" w:footer="0" w:header="0"/>
          <w:type w:val="continuous"/>
        </w:sectPr>
      </w:pPr>
    </w:p>
    <w:p>
      <w:pPr>
        <w:ind w:left="51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12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CERTAIN SHARES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 “Post-Effective Amendments”) relate to the following registration statements (collectively, the “Registration Statements”) previously filed by GeneDx Holdings Corp., a Delaware corporation (the “Registrant”):</w:t>
      </w:r>
    </w:p>
    <w:p>
      <w:pPr>
        <w:spacing w:after="0" w:line="189" w:lineRule="exact"/>
        <w:rPr>
          <w:sz w:val="20"/>
          <w:szCs w:val="20"/>
          <w:color w:val="auto"/>
        </w:rPr>
      </w:pPr>
    </w:p>
    <w:p>
      <w:pPr>
        <w:jc w:val="both"/>
        <w:ind w:left="1300" w:hanging="320"/>
        <w:spacing w:after="0" w:line="255"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Securities and Exchange Commission (the “SEC”) on September 27, 2021 (</w:t>
      </w:r>
      <w:hyperlink r:id="rId12">
        <w:r>
          <w:rPr>
            <w:rFonts w:ascii="Times New Roman" w:cs="Times New Roman" w:eastAsia="Times New Roman" w:hAnsi="Times New Roman"/>
            <w:sz w:val="18"/>
            <w:szCs w:val="18"/>
            <w:u w:val="single" w:color="auto"/>
            <w:color w:val="0000FF"/>
          </w:rPr>
          <w:t>Registration No. 333-259815</w:t>
        </w:r>
      </w:hyperlink>
      <w:r>
        <w:rPr>
          <w:rFonts w:ascii="Times New Roman" w:cs="Times New Roman" w:eastAsia="Times New Roman" w:hAnsi="Times New Roman"/>
          <w:sz w:val="18"/>
          <w:szCs w:val="18"/>
          <w:color w:val="auto"/>
        </w:rPr>
        <w:t>), which registered certain shares of the Company’s Class A common stock, par value $0.0001 per share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 on October 25, 2021 (</w:t>
      </w:r>
      <w:hyperlink r:id="rId13">
        <w:r>
          <w:rPr>
            <w:rFonts w:ascii="Times New Roman" w:cs="Times New Roman" w:eastAsia="Times New Roman" w:hAnsi="Times New Roman"/>
            <w:sz w:val="18"/>
            <w:szCs w:val="18"/>
            <w:u w:val="single" w:color="auto"/>
            <w:color w:val="0000FF"/>
          </w:rPr>
          <w:t>Registration No. 333-260481</w:t>
        </w:r>
      </w:hyperlink>
      <w:r>
        <w:rPr>
          <w:rFonts w:ascii="Times New Roman" w:cs="Times New Roman" w:eastAsia="Times New Roman" w:hAnsi="Times New Roman"/>
          <w:sz w:val="18"/>
          <w:szCs w:val="18"/>
          <w:color w:val="auto"/>
        </w:rPr>
        <w:t>), which registered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 and</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 on January 25, 2022 (</w:t>
      </w:r>
      <w:hyperlink r:id="rId14">
        <w:r>
          <w:rPr>
            <w:rFonts w:ascii="Times New Roman" w:cs="Times New Roman" w:eastAsia="Times New Roman" w:hAnsi="Times New Roman"/>
            <w:sz w:val="18"/>
            <w:szCs w:val="18"/>
            <w:u w:val="single" w:color="auto"/>
            <w:color w:val="0000FF"/>
          </w:rPr>
          <w:t>Registration No. 333-262338</w:t>
        </w:r>
      </w:hyperlink>
      <w:r>
        <w:rPr>
          <w:rFonts w:ascii="Times New Roman" w:cs="Times New Roman" w:eastAsia="Times New Roman" w:hAnsi="Times New Roman"/>
          <w:sz w:val="18"/>
          <w:szCs w:val="18"/>
          <w:color w:val="auto"/>
        </w:rPr>
        <w:t>), which registered certain shares of Class A Common Stock and also contained a reoffer prospectus (the “Reoffer Prospectus”) that may be used for resales by certain selling stockholders named therein (the “Selling Stockholders”) of certain shares of Class A Common Stock, including 1,921,064 shares of Class A Common Stock issuable to the Selling Stockholders upon the vesting of the Earn-Out RSUs that had been or may have been granted by the Registrant to the Selling Stockholders pursuant to the terms of the Merger Agreement.</w:t>
      </w:r>
    </w:p>
    <w:p>
      <w:pPr>
        <w:spacing w:after="0" w:line="210" w:lineRule="exact"/>
        <w:rPr>
          <w:rFonts w:ascii="Times New Roman" w:cs="Times New Roman" w:eastAsia="Times New Roman" w:hAnsi="Times New Roman"/>
          <w:sz w:val="18"/>
          <w:szCs w:val="18"/>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“Earn-Out Period” under the Earn-Out RSUs has expired in accordance with the terms thereof and, as a result, none of the 1,921,064 shares of Class A Common Stock (the “Earn-Out RSU Shares”) previously registered pursuant to the Registration Statements will be issued thereunder. In accordance with the undertakings made by the Company in the Registration Statements to remove from registration by means of a post-effective amendment any of the securities that remain unsold at the termination of the offering, the Post-Effective Amendments are being filed to remove from registration all of the Earn-Out RSU Shares previously registered for (i) offering and sale by Registrant pursuant to the Earn-Out RSUs and (ii) offering and resale by the Selling Stockholders pursuant to the Reoffer Prospectus, and the Registration Statements are hereby amended, as appropriate, to reflect the deregistration of such Earn-Out RSU Shares. No other securities registered for offering, sale and/or resale pursuant to the Registration Statements (including pursuant to the Reoffer Prospectus) are being deregistered hereby, and these Post-Effective Amendments shall not affect any awards or purchase rights granted or to be granted under the Company’s Amended and Restated 2021 Equity Incentive Plan, the Company’s 2021 Employee Stock Purchase Plan or the Mount Sinai Genomics, Inc. 2017 Equity Incentive Plan.</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Stamford, State of Connecticut, on the twentieth day of February, 2025.</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ind w:left="20"/>
        <w:spacing w:after="0" w:line="232" w:lineRule="auto"/>
        <w:tabs>
          <w:tab w:leader="none" w:pos="39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151765</wp:posOffset>
            </wp:positionV>
            <wp:extent cx="4629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of the Securities Act.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s://www.sec.gov/Archives/edgar/data/1818331/000162828021019193/s-8.htm" TargetMode="External"/><Relationship Id="rId13" Type="http://schemas.openxmlformats.org/officeDocument/2006/relationships/hyperlink" Target="https://www.sec.gov/Archives/edgar/data/1818331/000162828021020443/s-8filingx102521.htm" TargetMode="External"/><Relationship Id="rId14" Type="http://schemas.openxmlformats.org/officeDocument/2006/relationships/hyperlink" Target="https://www.sec.gov/Archives/edgar/data/1818331/000181833122000020/sema4-sx8filingx12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2025-02-20T07:16:16Z</dcterms:created>
  <dcterms:modified xsi:type="dcterms:W3CDTF">2025-02-20T07:16:16Z</dcterms:modified>
</cp:coreProperties>
</file>