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vMerge w:val="restart"/>
          </w:tcPr>
          <w:p>
            <w:pPr>
              <w:spacing w:after="0"/>
              <w:rPr>
                <w:rFonts w:ascii="Arial" w:cs="Arial" w:eastAsia="Arial" w:hAnsi="Arial"/>
                <w:sz w:val="21"/>
                <w:szCs w:val="21"/>
                <w:color w:val="0000EE"/>
                <w:w w:val="90"/>
              </w:rPr>
            </w:pPr>
            <w:hyperlink r:id="rId12">
              <w:r>
                <w:rPr>
                  <w:rFonts w:ascii="Arial" w:cs="Arial" w:eastAsia="Arial" w:hAnsi="Arial"/>
                  <w:sz w:val="21"/>
                  <w:szCs w:val="21"/>
                  <w:color w:val="0000EE"/>
                  <w:w w:val="90"/>
                </w:rPr>
                <w:t>Saad Kareem</w:t>
              </w:r>
            </w:hyperlink>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Sema4 Holdings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SMFR</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Arial" w:cs="Arial" w:eastAsia="Arial" w:hAnsi="Arial"/>
                <w:sz w:val="17"/>
                <w:szCs w:val="17"/>
                <w:color w:val="0000FF"/>
                <w:w w:val="97"/>
              </w:rPr>
              <w:t>C/O SEMA4 HOLDINGS CORP.</w:t>
            </w:r>
          </w:p>
        </w:tc>
        <w:tc>
          <w:tcPr>
            <w:tcW w:w="1240" w:type="dxa"/>
            <w:vAlign w:val="bottom"/>
          </w:tcPr>
          <w:p>
            <w:pPr>
              <w:spacing w:after="0"/>
              <w:rPr>
                <w:sz w:val="19"/>
                <w:szCs w:val="19"/>
                <w:color w:val="auto"/>
              </w:rPr>
            </w:pPr>
          </w:p>
        </w:tc>
        <w:tc>
          <w:tcPr>
            <w:tcW w:w="2100" w:type="dxa"/>
            <w:vAlign w:val="bottom"/>
            <w:gridSpan w:val="3"/>
          </w:tcPr>
          <w:p>
            <w:pPr>
              <w:ind w:left="160"/>
              <w:spacing w:after="0"/>
              <w:rPr>
                <w:sz w:val="20"/>
                <w:szCs w:val="20"/>
                <w:color w:val="auto"/>
              </w:rPr>
            </w:pPr>
            <w:r>
              <w:rPr>
                <w:rFonts w:ascii="Arial" w:cs="Arial" w:eastAsia="Arial" w:hAnsi="Arial"/>
                <w:sz w:val="17"/>
                <w:szCs w:val="17"/>
                <w:color w:val="0000FF"/>
              </w:rPr>
              <w:t>01/28/2022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85"/>
        <w:spacing w:after="0"/>
        <w:rPr>
          <w:sz w:val="20"/>
          <w:szCs w:val="20"/>
          <w:color w:val="auto"/>
        </w:rPr>
      </w:pPr>
      <w:r>
        <w:rPr>
          <w:rFonts w:ascii="Arial" w:cs="Arial" w:eastAsia="Arial" w:hAnsi="Arial"/>
          <w:sz w:val="17"/>
          <w:szCs w:val="17"/>
          <w:color w:val="0000FF"/>
        </w:rPr>
        <w:t>Chief Business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STAMFORD</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w w:val="96"/>
              </w:rPr>
              <w:t>CT</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06902</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01/28/2022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6,697</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2.841</w:t>
            </w:r>
            <w:r>
              <w:rPr>
                <w:rFonts w:ascii="Arial" w:cs="Arial" w:eastAsia="Arial" w:hAnsi="Arial"/>
                <w:sz w:val="22"/>
                <w:szCs w:val="22"/>
                <w:color w:val="008000"/>
                <w:w w:val="97"/>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52,544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represent shares sold by the Reporting Person to cover tax withholding obligations in connection with the vesting and settlement of restricted stock units ("RSUs"). The sales were to satisfy tax withholding obligations to be funded by a "sell to cover" transaction.</w:t>
      </w:r>
    </w:p>
    <w:p>
      <w:pPr>
        <w:spacing w:after="0" w:line="1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$2.84 to $2.88,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Daniel Clark,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02/02/2022</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2022-02-02T20:39:46Z</dcterms:created>
  <dcterms:modified xsi:type="dcterms:W3CDTF">2022-02-02T20:39:46Z</dcterms:modified>
</cp:coreProperties>
</file>