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2154</w:t>
      </w:r>
      <w:r>
        <w:rPr>
          <w:sz w:val="20"/>
          <w:szCs w:val="20"/>
          <w:color w:val="auto"/>
        </w:rPr>
        <w:tab/>
      </w:r>
      <w:r>
        <w:rPr>
          <w:rFonts w:ascii="Times New Roman" w:cs="Times New Roman" w:eastAsia="Times New Roman" w:hAnsi="Times New Roman"/>
          <w:sz w:val="21"/>
          <w:szCs w:val="21"/>
          <w:color w:val="auto"/>
        </w:rPr>
        <w:t>243600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28539026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2154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01/29/2025 1657</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130000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03/10/2025 2731</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03/13/2025 1078</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03/17/2025 10559</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03/26/2025 46551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4451200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04/09/2025 46594</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4175800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2,154 shares to be sold on behalf of the Reporting Person to cover tax withholding obligations in connection with the vesting of restricted stock units, and shares sold in the past 3 months by the Reporting Person, including: 1) 62,576 shares sold to cover tax withholding obligations in connection with the vesting and settlement of RSUs; and 2) 46,594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04/29/2025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2025-04-29T21:01:10Z</dcterms:created>
  <dcterms:modified xsi:type="dcterms:W3CDTF">2025-04-29T21:01:10Z</dcterms:modified>
</cp:coreProperties>
</file>