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RUCH JOSHUA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SEMA4 HOLDINGS CORP.</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LUDLOW ST, NORTH TOWER, 8TH FL.</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STAMFORD</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CT</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06902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Sema4 Holdings Corp.</w:t>
              </w:r>
            </w:hyperlink>
            <w:r>
              <w:rPr/>
              <w:t xml:space="preserve"> [ </w:t>
            </w:r>
            <w:r>
              <w:rPr>
                <w:rFonts w:ascii="Times;serif" w:hAnsi="Times;serif"/>
                <w:color w:val="0000FF"/>
                <w:sz w:val="24"/>
                <w:highlight w:val="white"/>
              </w:rPr>
              <w:t>SMFR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04/27/2022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04/27/2022</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12,836</w:t>
            </w:r>
          </w:p>
        </w:tc>
        <w:tc>
          <w:tcPr>
            <w:tcW w:w="4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7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12,836</w:t>
            </w:r>
          </w:p>
        </w:tc>
        <w:tc>
          <w:tcPr>
            <w:tcW w:w="10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194"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04/27/2022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12,836</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12,836</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RSUs will vest on the earlier of (i) the date of the next annual meeting of the Company's shareholders following the grant date and (i) the first anniversary of the grant date, in each case so long as the non-employee director continues to provide services to the Company through such vesting date.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Daniel Clark,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943431"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621</Words>
  <CharactersWithSpaces>3856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