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00"/>
        <w:spacing w:after="0"/>
        <w:rPr>
          <w:sz w:val="20"/>
          <w:szCs w:val="20"/>
          <w:color w:val="auto"/>
        </w:rPr>
      </w:pPr>
      <w:r>
        <w:rPr>
          <w:rFonts w:ascii="Arial" w:cs="Arial" w:eastAsia="Arial" w:hAnsi="Arial"/>
          <w:sz w:val="18"/>
          <w:szCs w:val="18"/>
          <w:color w:val="auto"/>
        </w:rPr>
        <w:t>As filed with the Securities and Exchange Commission on August 24, 2020.</w:t>
      </w:r>
    </w:p>
    <w:p>
      <w:pPr>
        <w:spacing w:after="0" w:line="82"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Registration No. 333-246251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54610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w:t>
      </w:r>
    </w:p>
    <w:p>
      <w:pPr>
        <w:jc w:val="center"/>
        <w:ind w:right="59"/>
        <w:spacing w:after="0" w:line="230" w:lineRule="auto"/>
        <w:rPr>
          <w:sz w:val="20"/>
          <w:szCs w:val="20"/>
          <w:color w:val="auto"/>
        </w:rPr>
      </w:pPr>
      <w:r>
        <w:rPr>
          <w:rFonts w:ascii="Arial" w:cs="Arial" w:eastAsia="Arial" w:hAnsi="Arial"/>
          <w:sz w:val="22"/>
          <w:szCs w:val="22"/>
          <w:b w:val="1"/>
          <w:bCs w:val="1"/>
          <w:color w:val="auto"/>
        </w:rPr>
        <w:t>REGISTRATION STATEMENT</w:t>
      </w:r>
    </w:p>
    <w:p>
      <w:pPr>
        <w:jc w:val="center"/>
        <w:ind w:right="5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7"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3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43"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85-1966622</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r>
        <w:trPr>
          <w:trHeight w:val="379"/>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 Corvex Management LP</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667 Madison Avenue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New York, New York 10065</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auto"/>
              </w:rPr>
              <w:t>(212) 474-6745</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left="460" w:right="479"/>
        <w:spacing w:after="0" w:line="246" w:lineRule="auto"/>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Chief Executive Officer</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Keith Meister, Chairman</w:t>
      </w:r>
    </w:p>
    <w:p>
      <w:pPr>
        <w:ind w:left="3320"/>
        <w:spacing w:after="0" w:line="234" w:lineRule="auto"/>
        <w:rPr>
          <w:sz w:val="20"/>
          <w:szCs w:val="20"/>
          <w:color w:val="auto"/>
        </w:rPr>
      </w:pPr>
      <w:r>
        <w:rPr>
          <w:rFonts w:ascii="Arial" w:cs="Arial" w:eastAsia="Arial" w:hAnsi="Arial"/>
          <w:sz w:val="18"/>
          <w:szCs w:val="18"/>
          <w:b w:val="1"/>
          <w:bCs w:val="1"/>
          <w:color w:val="auto"/>
        </w:rPr>
        <w:t>c/o Corvex Management LP</w:t>
      </w:r>
    </w:p>
    <w:p>
      <w:pPr>
        <w:ind w:left="3600"/>
        <w:spacing w:after="0" w:line="235" w:lineRule="auto"/>
        <w:rPr>
          <w:sz w:val="20"/>
          <w:szCs w:val="20"/>
          <w:color w:val="auto"/>
        </w:rPr>
      </w:pPr>
      <w:r>
        <w:rPr>
          <w:rFonts w:ascii="Arial" w:cs="Arial" w:eastAsia="Arial" w:hAnsi="Arial"/>
          <w:sz w:val="18"/>
          <w:szCs w:val="18"/>
          <w:b w:val="1"/>
          <w:bCs w:val="1"/>
          <w:color w:val="auto"/>
        </w:rPr>
        <w:t>667 Madison Avenue</w:t>
      </w:r>
    </w:p>
    <w:p>
      <w:pPr>
        <w:jc w:val="center"/>
        <w:spacing w:after="0" w:line="235" w:lineRule="auto"/>
        <w:rPr>
          <w:sz w:val="20"/>
          <w:szCs w:val="20"/>
          <w:color w:val="auto"/>
        </w:rPr>
      </w:pPr>
      <w:r>
        <w:rPr>
          <w:rFonts w:ascii="Arial" w:cs="Arial" w:eastAsia="Arial" w:hAnsi="Arial"/>
          <w:sz w:val="18"/>
          <w:szCs w:val="18"/>
          <w:b w:val="1"/>
          <w:bCs w:val="1"/>
          <w:color w:val="auto"/>
        </w:rPr>
        <w:t>New York, New York 10065</w:t>
      </w:r>
    </w:p>
    <w:p>
      <w:pPr>
        <w:jc w:val="center"/>
        <w:spacing w:after="0" w:line="235" w:lineRule="auto"/>
        <w:rPr>
          <w:sz w:val="20"/>
          <w:szCs w:val="20"/>
          <w:color w:val="auto"/>
        </w:rPr>
      </w:pPr>
      <w:r>
        <w:rPr>
          <w:rFonts w:ascii="Arial" w:cs="Arial" w:eastAsia="Arial" w:hAnsi="Arial"/>
          <w:sz w:val="18"/>
          <w:szCs w:val="18"/>
          <w:b w:val="1"/>
          <w:bCs w:val="1"/>
          <w:color w:val="auto"/>
        </w:rPr>
        <w:t>(212) 474-6745</w:t>
      </w:r>
    </w:p>
    <w:p>
      <w:pPr>
        <w:jc w:val="center"/>
        <w:spacing w:after="0" w:line="235" w:lineRule="auto"/>
        <w:rPr>
          <w:sz w:val="20"/>
          <w:szCs w:val="20"/>
          <w:color w:val="auto"/>
        </w:rPr>
      </w:pPr>
      <w:r>
        <w:rPr>
          <w:rFonts w:ascii="Arial" w:cs="Arial" w:eastAsia="Arial" w:hAnsi="Arial"/>
          <w:sz w:val="18"/>
          <w:szCs w:val="18"/>
          <w:b w:val="1"/>
          <w:bCs w:val="1"/>
          <w:color w:val="auto"/>
        </w:rPr>
        <w:t>(Name, address, including zip code, and telephone number, including area code, of agent for</w:t>
      </w:r>
    </w:p>
    <w:p>
      <w:pPr>
        <w:jc w:val="center"/>
        <w:spacing w:after="0" w:line="237" w:lineRule="auto"/>
        <w:rPr>
          <w:sz w:val="20"/>
          <w:szCs w:val="20"/>
          <w:color w:val="auto"/>
        </w:rPr>
      </w:pPr>
      <w:r>
        <w:rPr>
          <w:rFonts w:ascii="Arial" w:cs="Arial" w:eastAsia="Arial" w:hAnsi="Arial"/>
          <w:sz w:val="18"/>
          <w:szCs w:val="18"/>
          <w:b w:val="1"/>
          <w:bCs w:val="1"/>
          <w:color w:val="auto"/>
        </w:rPr>
        <w:t>service)</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86"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59"/>
              <w:spacing w:after="0"/>
              <w:rPr>
                <w:sz w:val="20"/>
                <w:szCs w:val="20"/>
                <w:color w:val="auto"/>
              </w:rPr>
            </w:pPr>
            <w:r>
              <w:rPr>
                <w:rFonts w:ascii="Arial" w:cs="Arial" w:eastAsia="Arial" w:hAnsi="Arial"/>
                <w:sz w:val="16"/>
                <w:szCs w:val="16"/>
                <w:b w:val="1"/>
                <w:bCs w:val="1"/>
                <w:color w:val="auto"/>
              </w:rPr>
              <w:t>Gregg A.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19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1" w:lineRule="exact"/>
        <w:rPr>
          <w:sz w:val="24"/>
          <w:szCs w:val="24"/>
          <w:color w:val="auto"/>
        </w:rPr>
      </w:pPr>
    </w:p>
    <w:p>
      <w:pPr>
        <w:ind w:left="460" w:right="999"/>
        <w:spacing w:after="0" w:line="269"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ind w:left="460" w:right="519"/>
        <w:spacing w:after="0" w:line="255"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1" w:lineRule="exact"/>
        <w:rPr>
          <w:sz w:val="24"/>
          <w:szCs w:val="24"/>
          <w:color w:val="auto"/>
        </w:rPr>
      </w:pPr>
    </w:p>
    <w:p>
      <w:pPr>
        <w:ind w:left="460" w:right="739"/>
        <w:spacing w:after="0" w:line="252"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12" w:lineRule="exact"/>
        <w:rPr>
          <w:sz w:val="24"/>
          <w:szCs w:val="24"/>
          <w:color w:val="auto"/>
        </w:rPr>
      </w:pPr>
    </w:p>
    <w:p>
      <w:pPr>
        <w:ind w:left="460" w:right="919"/>
        <w:spacing w:after="0" w:line="252"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3"/>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24"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55" w:right="1440" w:bottom="322"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Proposed</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Proposed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Amount Being</w:t>
            </w:r>
          </w:p>
        </w:tc>
        <w:tc>
          <w:tcPr>
            <w:tcW w:w="1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Offering Price</w:t>
            </w:r>
          </w:p>
        </w:tc>
        <w:tc>
          <w:tcPr>
            <w:tcW w:w="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c>
          <w:tcPr>
            <w:tcW w:w="10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1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Registration Fee</w:t>
            </w:r>
          </w:p>
        </w:tc>
      </w:tr>
      <w:tr>
        <w:trPr>
          <w:trHeight w:val="195"/>
        </w:trPr>
        <w:tc>
          <w:tcPr>
            <w:tcW w:w="3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w:t>
            </w: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r>
      <w:tr>
        <w:trPr>
          <w:trHeight w:val="203"/>
        </w:trPr>
        <w:tc>
          <w:tcPr>
            <w:tcW w:w="3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Class A common stock, $0.0001 par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0"/>
        </w:trPr>
        <w:tc>
          <w:tcPr>
            <w:tcW w:w="3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and one-third of one redeemable</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40,250,000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w:t>
            </w:r>
            <w:r>
              <w:rPr>
                <w:rFonts w:ascii="Arial" w:cs="Arial" w:eastAsia="Arial" w:hAnsi="Arial"/>
                <w:sz w:val="21"/>
                <w:szCs w:val="21"/>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Units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$ 402,500,000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52,244.50</w:t>
            </w:r>
          </w:p>
        </w:tc>
        <w:tc>
          <w:tcPr>
            <w:tcW w:w="120" w:type="dxa"/>
            <w:vAlign w:val="bottom"/>
            <w:shd w:val="clear" w:color="auto" w:fill="CCEEFF"/>
          </w:tcPr>
          <w:p>
            <w:pPr>
              <w:spacing w:after="0"/>
              <w:rPr>
                <w:sz w:val="21"/>
                <w:szCs w:val="21"/>
                <w:color w:val="auto"/>
              </w:rPr>
            </w:pPr>
          </w:p>
        </w:tc>
      </w:tr>
      <w:tr>
        <w:trPr>
          <w:trHeight w:val="199"/>
        </w:trPr>
        <w:tc>
          <w:tcPr>
            <w:tcW w:w="3400" w:type="dxa"/>
            <w:vAlign w:val="bottom"/>
            <w:gridSpan w:val="2"/>
          </w:tcPr>
          <w:p>
            <w:pPr>
              <w:spacing w:after="0" w:line="200" w:lineRule="exact"/>
              <w:rPr>
                <w:sz w:val="20"/>
                <w:szCs w:val="20"/>
                <w:color w:val="auto"/>
              </w:rPr>
            </w:pPr>
            <w:r>
              <w:rPr>
                <w:rFonts w:ascii="Arial" w:cs="Arial" w:eastAsia="Arial" w:hAnsi="Arial"/>
                <w:sz w:val="18"/>
                <w:szCs w:val="18"/>
                <w:color w:val="auto"/>
              </w:rPr>
              <w:t>Shares of Class A common stock</w:t>
            </w:r>
          </w:p>
        </w:tc>
        <w:tc>
          <w:tcPr>
            <w:tcW w:w="1040" w:type="dxa"/>
            <w:vAlign w:val="bottom"/>
          </w:tcPr>
          <w:p>
            <w:pPr>
              <w:jc w:val="center"/>
              <w:spacing w:after="0" w:line="200" w:lineRule="exact"/>
              <w:rPr>
                <w:sz w:val="20"/>
                <w:szCs w:val="20"/>
                <w:color w:val="auto"/>
              </w:rPr>
            </w:pPr>
            <w:r>
              <w:rPr>
                <w:rFonts w:ascii="Arial" w:cs="Arial" w:eastAsia="Arial" w:hAnsi="Arial"/>
                <w:sz w:val="18"/>
                <w:szCs w:val="18"/>
                <w:color w:val="auto"/>
                <w:w w:val="99"/>
              </w:rPr>
              <w:t>40,250,000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r>
              <w:rPr>
                <w:rFonts w:ascii="Arial" w:cs="Arial" w:eastAsia="Arial" w:hAnsi="Arial"/>
                <w:sz w:val="21"/>
                <w:szCs w:val="21"/>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0"/>
                <w:szCs w:val="10"/>
                <w:color w:val="auto"/>
              </w:rPr>
              <w:t>(4)</w:t>
            </w:r>
          </w:p>
        </w:tc>
      </w:tr>
      <w:tr>
        <w:trPr>
          <w:trHeight w:val="199"/>
        </w:trPr>
        <w:tc>
          <w:tcPr>
            <w:tcW w:w="3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Redeemable warrants included as part of</w:t>
            </w:r>
          </w:p>
        </w:tc>
        <w:tc>
          <w:tcPr>
            <w:tcW w:w="10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13,416,667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units</w:t>
            </w:r>
            <w:r>
              <w:rPr>
                <w:rFonts w:ascii="Arial" w:cs="Arial" w:eastAsia="Arial" w:hAnsi="Arial"/>
                <w:sz w:val="21"/>
                <w:szCs w:val="21"/>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0"/>
                <w:szCs w:val="10"/>
                <w:color w:val="auto"/>
              </w:rPr>
              <w:t>(4)</w:t>
            </w:r>
          </w:p>
        </w:tc>
      </w:tr>
      <w:tr>
        <w:trPr>
          <w:trHeight w:val="20"/>
        </w:trPr>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3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$ 402,500,000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52,244.50</w:t>
            </w:r>
            <w:r>
              <w:rPr>
                <w:rFonts w:ascii="Arial" w:cs="Arial" w:eastAsia="Arial" w:hAnsi="Arial"/>
                <w:sz w:val="10"/>
                <w:szCs w:val="10"/>
                <w:color w:val="auto"/>
              </w:rPr>
              <w:t>(5)</w:t>
            </w:r>
          </w:p>
        </w:tc>
      </w:tr>
      <w:tr>
        <w:trPr>
          <w:trHeight w:val="20"/>
        </w:trPr>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6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5,250,000 units, consisting of 5,250,000 shares of Class A common stock and 1,750,000 redeemable warrants, which may be issued upon exercise of a 45-day option granted to the underwriters to cover over-allotments, if any.</w:t>
      </w:r>
    </w:p>
    <w:p>
      <w:pPr>
        <w:ind w:left="880" w:right="57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80" w:hanging="426"/>
        <w:spacing w:after="0" w:line="216" w:lineRule="auto"/>
        <w:tabs>
          <w:tab w:leader="none" w:pos="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ind w:left="880" w:hanging="426"/>
        <w:spacing w:after="0"/>
        <w:tabs>
          <w:tab w:leader="none" w:pos="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35"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574040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76" w:lineRule="exact"/>
        <w:rPr>
          <w:sz w:val="20"/>
          <w:szCs w:val="20"/>
          <w:color w:val="auto"/>
        </w:rPr>
      </w:pPr>
    </w:p>
    <w:tbl>
      <w:tblPr>
        <w:tblLayout w:type="fixed"/>
        <w:tblInd w:w="42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880" w:type="dxa"/>
            <w:vAlign w:val="bottom"/>
          </w:tcPr>
          <w:p>
            <w:pPr>
              <w:jc w:val="right"/>
              <w:spacing w:after="0"/>
              <w:rPr>
                <w:sz w:val="20"/>
                <w:szCs w:val="20"/>
                <w:color w:val="auto"/>
              </w:rPr>
            </w:pPr>
            <w:r>
              <w:rPr>
                <w:rFonts w:ascii="Arial" w:cs="Arial" w:eastAsia="Arial" w:hAnsi="Arial"/>
                <w:sz w:val="18"/>
                <w:szCs w:val="18"/>
                <w:color w:val="EA0029"/>
              </w:rPr>
              <w:t>, 2020</w:t>
            </w:r>
          </w:p>
        </w:tc>
      </w:tr>
    </w:tbl>
    <w:p>
      <w:pPr>
        <w:ind w:left="460"/>
        <w:spacing w:after="0" w:line="237" w:lineRule="auto"/>
        <w:rPr>
          <w:sz w:val="20"/>
          <w:szCs w:val="20"/>
          <w:color w:val="auto"/>
        </w:rPr>
      </w:pPr>
      <w:r>
        <w:rPr>
          <w:rFonts w:ascii="Arial" w:cs="Arial" w:eastAsia="Arial" w:hAnsi="Arial"/>
          <w:sz w:val="18"/>
          <w:szCs w:val="18"/>
          <w:b w:val="1"/>
          <w:bCs w:val="1"/>
          <w:color w:val="auto"/>
        </w:rPr>
        <w:t>PRELIMINARY PROSPECTUS</w:t>
      </w:r>
    </w:p>
    <w:p>
      <w:pPr>
        <w:jc w:val="center"/>
        <w:spacing w:after="0"/>
        <w:rPr>
          <w:sz w:val="20"/>
          <w:szCs w:val="20"/>
          <w:color w:val="auto"/>
        </w:rPr>
      </w:pPr>
      <w:r>
        <w:rPr>
          <w:rFonts w:ascii="Arial" w:cs="Arial" w:eastAsia="Arial" w:hAnsi="Arial"/>
          <w:sz w:val="25"/>
          <w:szCs w:val="25"/>
          <w:b w:val="1"/>
          <w:bCs w:val="1"/>
          <w:color w:val="auto"/>
        </w:rPr>
        <w:t>$350,000,000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35,000,000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24" w:lineRule="exact"/>
        <w:rPr>
          <w:sz w:val="20"/>
          <w:szCs w:val="20"/>
          <w:color w:val="auto"/>
        </w:rPr>
      </w:pPr>
    </w:p>
    <w:p>
      <w:pPr>
        <w:ind w:left="460" w:right="619"/>
        <w:spacing w:after="0" w:line="244" w:lineRule="auto"/>
        <w:rPr>
          <w:sz w:val="20"/>
          <w:szCs w:val="20"/>
          <w:color w:val="auto"/>
        </w:rPr>
      </w:pPr>
      <w:r>
        <w:rPr>
          <w:rFonts w:ascii="Arial" w:cs="Arial" w:eastAsia="Arial" w:hAnsi="Arial"/>
          <w:sz w:val="14"/>
          <w:szCs w:val="14"/>
          <w:color w:val="auto"/>
        </w:rPr>
        <w:t>CM Life Sciences, Inc.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focus our efforts on the life sciences sector.</w:t>
      </w:r>
    </w:p>
    <w:p>
      <w:pPr>
        <w:spacing w:after="0" w:line="44" w:lineRule="exact"/>
        <w:rPr>
          <w:sz w:val="20"/>
          <w:szCs w:val="20"/>
          <w:color w:val="auto"/>
        </w:rPr>
      </w:pPr>
    </w:p>
    <w:p>
      <w:pPr>
        <w:ind w:left="460" w:right="519"/>
        <w:spacing w:after="0" w:line="243"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5,250,000 additional units to cover over-allotments, if any.</w:t>
      </w:r>
    </w:p>
    <w:p>
      <w:pPr>
        <w:spacing w:after="0" w:line="46"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shares of Class A common stock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43"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Our sponsor, CMLS Holdings LLC, and certain of our independent director nominees have severally committed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 Our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w:t>
      </w:r>
    </w:p>
    <w:p>
      <w:pPr>
        <w:spacing w:after="0" w:line="209" w:lineRule="exact"/>
        <w:rPr>
          <w:sz w:val="20"/>
          <w:szCs w:val="20"/>
          <w:color w:val="auto"/>
        </w:rPr>
      </w:pPr>
    </w:p>
    <w:p>
      <w:pPr>
        <w:ind w:left="460" w:right="499"/>
        <w:spacing w:after="0" w:line="247" w:lineRule="auto"/>
        <w:rPr>
          <w:sz w:val="20"/>
          <w:szCs w:val="20"/>
          <w:color w:val="auto"/>
        </w:rPr>
      </w:pPr>
      <w:r>
        <w:rPr>
          <w:rFonts w:ascii="Arial" w:cs="Arial" w:eastAsia="Arial" w:hAnsi="Arial"/>
          <w:sz w:val="14"/>
          <w:szCs w:val="14"/>
          <w:color w:val="auto"/>
        </w:rPr>
        <w:t>Our initial stockholders currently own an aggregate of 10,062,500 shares of Class B common stock (up to 1,312,500 shares of which are subject to forfeiture by our sponsor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9" w:lineRule="exact"/>
        <w:rPr>
          <w:sz w:val="20"/>
          <w:szCs w:val="20"/>
          <w:color w:val="auto"/>
        </w:rPr>
      </w:pPr>
    </w:p>
    <w:p>
      <w:pPr>
        <w:ind w:left="460" w:right="499"/>
        <w:spacing w:after="0" w:line="242" w:lineRule="auto"/>
        <w:rPr>
          <w:sz w:val="20"/>
          <w:szCs w:val="20"/>
          <w:color w:val="auto"/>
        </w:rPr>
      </w:pPr>
      <w:r>
        <w:rPr>
          <w:rFonts w:ascii="Arial" w:cs="Arial" w:eastAsia="Arial" w:hAnsi="Arial"/>
          <w:sz w:val="14"/>
          <w:szCs w:val="14"/>
          <w:color w:val="auto"/>
        </w:rPr>
        <w:t>We have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See “Summary — The Offering — Forward Purchase Agreements.”</w:t>
      </w:r>
    </w:p>
    <w:p>
      <w:pPr>
        <w:spacing w:after="0" w:line="212" w:lineRule="exact"/>
        <w:rPr>
          <w:sz w:val="20"/>
          <w:szCs w:val="20"/>
          <w:color w:val="auto"/>
        </w:rPr>
      </w:pPr>
    </w:p>
    <w:p>
      <w:pPr>
        <w:ind w:left="460" w:right="499"/>
        <w:spacing w:after="0" w:line="244" w:lineRule="auto"/>
        <w:rPr>
          <w:sz w:val="20"/>
          <w:szCs w:val="20"/>
          <w:color w:val="auto"/>
        </w:rPr>
      </w:pPr>
      <w:r>
        <w:rPr>
          <w:rFonts w:ascii="Arial" w:cs="Arial" w:eastAsia="Arial" w:hAnsi="Arial"/>
          <w:sz w:val="14"/>
          <w:szCs w:val="14"/>
          <w:color w:val="auto"/>
        </w:rPr>
        <w:t>Currently, there is no public market for our units, Class A common stock or warrants. We intend to apply to have our units listed on Nasdaq Capital Market, or Nasdaq, under the symbol “CMLFU” on or promptly after the date of this prospectus. We cannot guarantee that our securities will be approved for listing on Nasdaq. We expect the shares of Class A common stock and warrants comprising the units to begin separate trading on the 52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day following the date of this prospectus unless Jefferies LLC informs us of its decision to allow earlier separate trading, subject to our satisfaction of certain conditions. Once the securities comprising the units begin separate trading, we expect that the Class A common stock and warrants will be listed on Nasdaq under the symbols “CMLF” and “CMLFW,” respectively.</w:t>
      </w:r>
    </w:p>
    <w:p>
      <w:pPr>
        <w:spacing w:after="0" w:line="24"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31 for a discussion of information that should be considered in connection with an investment in our securities. Investors will not be entitled to protections normally afforded to investors in Rule 419 blank check offerings.</w:t>
      </w:r>
    </w:p>
    <w:p>
      <w:pPr>
        <w:spacing w:after="0" w:line="5"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6"/>
                <w:szCs w:val="16"/>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
        </w:trPr>
        <w:tc>
          <w:tcPr>
            <w:tcW w:w="40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350,000,000</w:t>
            </w:r>
          </w:p>
        </w:tc>
      </w:tr>
      <w:tr>
        <w:trPr>
          <w:trHeight w:val="284"/>
        </w:trPr>
        <w:tc>
          <w:tcPr>
            <w:tcW w:w="40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19,250,000</w:t>
            </w:r>
          </w:p>
        </w:tc>
      </w:tr>
      <w:tr>
        <w:trPr>
          <w:trHeight w:val="258"/>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330,750,000</w:t>
            </w:r>
          </w:p>
        </w:tc>
      </w:tr>
      <w:tr>
        <w:trPr>
          <w:trHeight w:val="26"/>
        </w:trPr>
        <w:tc>
          <w:tcPr>
            <w:tcW w:w="4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880" w:right="539" w:hanging="426"/>
        <w:spacing w:after="0"/>
        <w:tabs>
          <w:tab w:leader="none" w:pos="882" w:val="left"/>
        </w:tabs>
        <w:numPr>
          <w:ilvl w:val="0"/>
          <w:numId w:val="2"/>
        </w:numPr>
        <w:rPr>
          <w:rFonts w:ascii="Arial" w:cs="Arial" w:eastAsia="Arial" w:hAnsi="Arial"/>
          <w:sz w:val="12"/>
          <w:szCs w:val="12"/>
          <w:color w:val="auto"/>
        </w:rPr>
      </w:pPr>
      <w:r>
        <w:rPr>
          <w:rFonts w:ascii="Arial" w:cs="Arial" w:eastAsia="Arial" w:hAnsi="Arial"/>
          <w:sz w:val="12"/>
          <w:szCs w:val="12"/>
          <w:color w:val="auto"/>
        </w:rPr>
        <w:t>$0.20 per unit, or $7,000,000 in the aggregate (or $8,050,000 if the underwriters’ over-allotment option is exercised in full), is payable upon the closing of this offering. Includes $0.35 per unit, or $12,250,000 in the aggregate (or up to $14,087,500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5" w:lineRule="exact"/>
        <w:rPr>
          <w:sz w:val="20"/>
          <w:szCs w:val="20"/>
          <w:color w:val="auto"/>
        </w:rPr>
      </w:pPr>
    </w:p>
    <w:p>
      <w:pPr>
        <w:ind w:left="460" w:right="499"/>
        <w:spacing w:after="0" w:line="247"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$350.0 million, or $402.5 million if the underwriters’ over-allotment option is exercised in full ($10.00 per unit in any case), will be deposited into a trust account in the United States with Continental Stock Transfer &amp; Trust Company acting as trustee, after deducting $7,000,000 in underwriting discounts and commissions payable upon the closing of this offering (or $8,050,000 if the</w:t>
      </w:r>
    </w:p>
    <w:p>
      <w:pPr>
        <w:sectPr>
          <w:pgSz w:w="11900" w:h="16838" w:orient="portrait"/>
          <w:cols w:equalWidth="0" w:num="1">
            <w:col w:w="9019"/>
          </w:cols>
          <w:pgMar w:left="1440" w:top="293" w:right="1440" w:bottom="0" w:gutter="0" w:footer="0" w:header="0"/>
        </w:sectPr>
      </w:pPr>
    </w:p>
    <w:bookmarkStart w:id="3" w:name="page4"/>
    <w:bookmarkEnd w:id="3"/>
    <w:p>
      <w:pPr>
        <w:ind w:left="460" w:right="479"/>
        <w:spacing w:after="0" w:line="258" w:lineRule="auto"/>
        <w:rPr>
          <w:sz w:val="20"/>
          <w:szCs w:val="20"/>
          <w:color w:val="auto"/>
        </w:rPr>
      </w:pPr>
      <w:r>
        <w:rPr>
          <w:rFonts w:ascii="Arial" w:cs="Arial" w:eastAsia="Arial" w:hAnsi="Arial"/>
          <w:sz w:val="14"/>
          <w:szCs w:val="14"/>
          <w:color w:val="auto"/>
        </w:rPr>
        <w:t>underwriters’ over-allotment option is exercised in full) and an aggregate of $2.0 million to pay fees and expenses in connection with the closing of this offering and for working capital following the closing of this offering.</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w:t>
      </w:r>
    </w:p>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172"/>
        </w:trPr>
        <w:tc>
          <w:tcPr>
            <w:tcW w:w="1780" w:type="dxa"/>
            <w:vAlign w:val="bottom"/>
          </w:tcPr>
          <w:p>
            <w:pPr>
              <w:spacing w:after="0"/>
              <w:rPr>
                <w:sz w:val="20"/>
                <w:szCs w:val="20"/>
                <w:color w:val="auto"/>
              </w:rPr>
            </w:pPr>
            <w:r>
              <w:rPr>
                <w:rFonts w:ascii="Arial" w:cs="Arial" w:eastAsia="Arial" w:hAnsi="Arial"/>
                <w:sz w:val="14"/>
                <w:szCs w:val="14"/>
                <w:color w:val="auto"/>
              </w:rPr>
              <w:t>purchasers on or about</w:t>
            </w:r>
          </w:p>
        </w:tc>
        <w:tc>
          <w:tcPr>
            <w:tcW w:w="74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88"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63</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68</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70</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102</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Description of Securities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134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40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540115"/>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3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CM Life Sciences, Inc., a Delaware corporation;</w:t>
      </w:r>
    </w:p>
    <w:p>
      <w:pPr>
        <w:ind w:left="1200" w:right="5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second amended and restated certificate of incorporation, which will be adopted prior to the consummation of this offering;</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36" w:lineRule="exact"/>
        <w:rPr>
          <w:rFonts w:ascii="Arial" w:cs="Arial" w:eastAsia="Arial" w:hAnsi="Arial"/>
          <w:sz w:val="18"/>
          <w:szCs w:val="18"/>
          <w:color w:val="auto"/>
        </w:rPr>
      </w:pPr>
    </w:p>
    <w:p>
      <w:pPr>
        <w:ind w:left="1200" w:right="85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0" w:lineRule="exact"/>
        <w:rPr>
          <w:rFonts w:ascii="Arial" w:cs="Arial" w:eastAsia="Arial" w:hAnsi="Arial"/>
          <w:sz w:val="18"/>
          <w:szCs w:val="18"/>
          <w:color w:val="auto"/>
        </w:rPr>
      </w:pPr>
    </w:p>
    <w:p>
      <w:pPr>
        <w:ind w:left="1200" w:right="579" w:hanging="332"/>
        <w:spacing w:after="0" w:line="245"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the shares of Class A common stock that will be issued upon the automatic conversion of the shares of Class B common stock at the time of our initial business combination as described herein;</w:t>
      </w:r>
    </w:p>
    <w:p>
      <w:pPr>
        <w:spacing w:after="0" w:line="5" w:lineRule="exact"/>
        <w:rPr>
          <w:rFonts w:ascii="Arial" w:cs="Arial" w:eastAsia="Arial" w:hAnsi="Arial"/>
          <w:sz w:val="18"/>
          <w:szCs w:val="18"/>
          <w:color w:val="auto"/>
        </w:rPr>
      </w:pPr>
    </w:p>
    <w:p>
      <w:pPr>
        <w:ind w:left="1200" w:right="639" w:hanging="332"/>
        <w:spacing w:after="0" w:line="244"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agreements” are to the forward purchase agreements providing for the sale of forward purchase shares by us to Casdin Capital, Corvex Management or their respective affiliates in a private placement that would close concurrently with the closing of our initial business combination;</w:t>
      </w:r>
    </w:p>
    <w:p>
      <w:pPr>
        <w:ind w:left="1200" w:right="759" w:hanging="332"/>
        <w:spacing w:after="0" w:line="247"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shares” are to the shares of our Class A common stock that may be issued to Casdin Capital, Corvex Management or their respective affiliate pursuant to the forward purchase agreements;</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57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and certain of our independent director nominees (and/or one or more entities controlled by them) in a private placement simultaneously with the closing of this offering;</w:t>
      </w:r>
    </w:p>
    <w:p>
      <w:pPr>
        <w:spacing w:after="0" w:line="3" w:lineRule="exact"/>
        <w:rPr>
          <w:rFonts w:ascii="Arial" w:cs="Arial" w:eastAsia="Arial" w:hAnsi="Arial"/>
          <w:sz w:val="18"/>
          <w:szCs w:val="18"/>
          <w:color w:val="auto"/>
        </w:rPr>
      </w:pPr>
    </w:p>
    <w:p>
      <w:pPr>
        <w:jc w:val="both"/>
        <w:ind w:left="1200" w:right="1039" w:hanging="332"/>
        <w:spacing w:after="0" w:line="273" w:lineRule="auto"/>
        <w:tabs>
          <w:tab w:leader="none" w:pos="118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shares” are to shares of Class A common stock sold as part of the units in this offering (whether they are purchased in this offering or thereafter in the open market);</w:t>
      </w:r>
    </w:p>
    <w:p>
      <w:pPr>
        <w:ind w:left="1200" w:right="639" w:hanging="332"/>
        <w:spacing w:after="0" w:line="242"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ind w:left="1200" w:right="8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CMLS Holdings LLC, a Delaware limited liability company, which is controlled by C-LSH LLC (an entity affiliated with Eli Casdin) and M-LSH LLC (an entity affiliated with Keith Meister), the members of the sponsor.</w:t>
      </w:r>
    </w:p>
    <w:p>
      <w:pPr>
        <w:spacing w:after="0" w:line="130" w:lineRule="exact"/>
        <w:rPr>
          <w:sz w:val="20"/>
          <w:szCs w:val="20"/>
          <w:color w:val="auto"/>
        </w:rPr>
      </w:pPr>
    </w:p>
    <w:p>
      <w:pPr>
        <w:ind w:left="540" w:right="69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by our sponsor of 1,312,500 founder shares for no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53"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00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600440"/>
                    </a:xfrm>
                    <a:prstGeom prst="rect">
                      <a:avLst/>
                    </a:prstGeom>
                    <a:noFill/>
                  </pic:spPr>
                </pic:pic>
              </a:graphicData>
            </a:graphic>
          </wp:anchor>
        </w:drawing>
        <w:t>OUR FOUNDERS</w:t>
      </w:r>
    </w:p>
    <w:p>
      <w:pPr>
        <w:spacing w:after="0" w:line="126" w:lineRule="exact"/>
        <w:rPr>
          <w:sz w:val="20"/>
          <w:szCs w:val="20"/>
          <w:color w:val="auto"/>
        </w:rPr>
      </w:pPr>
    </w:p>
    <w:p>
      <w:pPr>
        <w:ind w:left="540" w:right="6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2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95"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97" w:lineRule="exact"/>
        <w:rPr>
          <w:sz w:val="20"/>
          <w:szCs w:val="20"/>
          <w:color w:val="auto"/>
        </w:rPr>
      </w:pPr>
    </w:p>
    <w:p>
      <w:pPr>
        <w:ind w:left="540" w:right="639"/>
        <w:spacing w:after="0" w:line="238"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w:t>
      </w:r>
    </w:p>
    <w:p>
      <w:pPr>
        <w:spacing w:after="0" w:line="94" w:lineRule="exact"/>
        <w:rPr>
          <w:sz w:val="20"/>
          <w:szCs w:val="20"/>
          <w:color w:val="auto"/>
        </w:rPr>
      </w:pPr>
    </w:p>
    <w:p>
      <w:pPr>
        <w:ind w:left="540" w:right="599"/>
        <w:spacing w:after="0" w:line="250" w:lineRule="auto"/>
        <w:rPr>
          <w:sz w:val="20"/>
          <w:szCs w:val="20"/>
          <w:color w:val="auto"/>
        </w:rPr>
      </w:pPr>
      <w:r>
        <w:rPr>
          <w:rFonts w:ascii="Arial" w:cs="Arial" w:eastAsia="Arial" w:hAnsi="Arial"/>
          <w:sz w:val="17"/>
          <w:szCs w:val="17"/>
          <w:color w:val="auto"/>
        </w:rPr>
        <w:t>Casdin Capital currently has $1.6 billion assets under management, 42 private portfolio companies and an active deal flow that brought it into conversation with hundreds of companies across the industry in the first few months of 2020 alone. In the 12 months ended June 30, 2020, Casdin Capital made 17 new investments in private companies and participated in 22 secondary offerings of companies in which it previously invested. In addition, six of its portfolio companies completed initial public offerings in that time period (Oric Pharmaceuticals, Inc. (Nasdaq: ORIC), Burning Rock Biotech Limited (Nasdaq: BNR), Black Diamond Therapeutics, Inc. (Nasdaq: BDTX), Revolution Medicines, Inc. (Nasdaq: RVMD), Generation Bio Co. (Nasdaq: GBIO) and Fulcrum Therapeutics, Inc. (Nasdaq: FULC)). 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us to spot new opportunities and potential challenges long before most investors understand the space.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26" w:lineRule="exact"/>
        <w:rPr>
          <w:sz w:val="20"/>
          <w:szCs w:val="20"/>
          <w:color w:val="auto"/>
        </w:rPr>
      </w:pPr>
    </w:p>
    <w:p>
      <w:pPr>
        <w:ind w:left="540" w:right="67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with $2.5 billion assets under management.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97" w:lineRule="exact"/>
        <w:rPr>
          <w:sz w:val="20"/>
          <w:szCs w:val="20"/>
          <w:color w:val="auto"/>
        </w:rPr>
      </w:pPr>
    </w:p>
    <w:p>
      <w:pPr>
        <w:ind w:left="540" w:right="779"/>
        <w:spacing w:after="0" w:line="236" w:lineRule="auto"/>
        <w:rPr>
          <w:sz w:val="20"/>
          <w:szCs w:val="20"/>
          <w:color w:val="auto"/>
        </w:rPr>
      </w:pPr>
      <w:r>
        <w:rPr>
          <w:rFonts w:ascii="Arial" w:cs="Arial" w:eastAsia="Arial" w:hAnsi="Arial"/>
          <w:sz w:val="18"/>
          <w:szCs w:val="18"/>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w:t>
      </w:r>
    </w:p>
    <w:p>
      <w:pPr>
        <w:sectPr>
          <w:pgSz w:w="11900" w:h="16838" w:orient="portrait"/>
          <w:cols w:equalWidth="0" w:num="1">
            <w:col w:w="9019"/>
          </w:cols>
          <w:pgMar w:left="1440" w:top="535"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7" w:name="page8"/>
    <w:bookmarkEnd w:id="7"/>
    <w:p>
      <w:pPr>
        <w:ind w:left="540" w:right="117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key stakeholders, leading industry experts and like-minded shareholders, and are known for maintaining productive, ongoing dialogues with boards, management teams, and advisors.</w:t>
      </w:r>
    </w:p>
    <w:p>
      <w:pPr>
        <w:spacing w:after="0" w:line="67"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99"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Prior to founding Corvex Management, Mr. Meister was Chief Executive Officer / Principal Executive Officer of Icahn Enterprises L.P. (NYSE: IEP), a diversified holding company, from 2003 through 2010. During his term as CEO/PEO, Icahn Enterprises grew from $1.5 billion to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 Mr. Meister also served as a director for XO Holdings, Inc., American Casino and Entertainment Properties LLC, Federal-Mogul Corporation and American Railcar Industries, Inc. during his tenure with Icahn Enterprises.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04"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78"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72" w:lineRule="exact"/>
        <w:rPr>
          <w:sz w:val="20"/>
          <w:szCs w:val="20"/>
          <w:color w:val="auto"/>
        </w:rPr>
      </w:pPr>
    </w:p>
    <w:p>
      <w:pPr>
        <w:ind w:left="540" w:right="619"/>
        <w:spacing w:after="0" w:line="238"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who will serve as a Director following completion of this offering, is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where he leads the team on its mission to bring genetic information into mainstream medicine to help improve healthcare for billions of people. He has also served as Invitae’s President and Chief Operating Officer, as part of the team that has propelled Invitae from early stage startup to a leader transforming the industry. Dr. George has long advanced the transformation of the genetics industry to increase access to help improve patient care. Before Invitae, he served as COO at Navigenics, Inc., an early pioneer in personalized genetics. Prior to that he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w:t>
      </w:r>
    </w:p>
    <w:p>
      <w:pPr>
        <w:sectPr>
          <w:pgSz w:w="11900" w:h="16838" w:orient="portrait"/>
          <w:cols w:equalWidth="0" w:num="1">
            <w:col w:w="9019"/>
          </w:cols>
          <w:pgMar w:left="1440" w:top="449"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8" w:name="page9"/>
    <w:bookmarkEnd w:id="8"/>
    <w:p>
      <w:pPr>
        <w:ind w:left="540" w:right="659"/>
        <w:spacing w:after="0" w:line="23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78" w:lineRule="exact"/>
        <w:rPr>
          <w:sz w:val="20"/>
          <w:szCs w:val="20"/>
          <w:color w:val="auto"/>
        </w:rPr>
      </w:pPr>
    </w:p>
    <w:p>
      <w:pPr>
        <w:ind w:left="540" w:right="619"/>
        <w:spacing w:after="0"/>
        <w:rPr>
          <w:sz w:val="20"/>
          <w:szCs w:val="20"/>
          <w:color w:val="auto"/>
        </w:rPr>
      </w:pPr>
      <w:r>
        <w:rPr>
          <w:rFonts w:ascii="Arial" w:cs="Arial" w:eastAsia="Arial" w:hAnsi="Arial"/>
          <w:sz w:val="18"/>
          <w:szCs w:val="18"/>
          <w:b w:val="1"/>
          <w:bCs w:val="1"/>
          <w:i w:val="1"/>
          <w:iCs w:val="1"/>
          <w:color w:val="auto"/>
        </w:rPr>
        <w:t xml:space="preserve">Emily Leproust, </w:t>
      </w:r>
      <w:r>
        <w:rPr>
          <w:rFonts w:ascii="Arial" w:cs="Arial" w:eastAsia="Arial" w:hAnsi="Arial"/>
          <w:sz w:val="18"/>
          <w:szCs w:val="18"/>
          <w:color w:val="auto"/>
        </w:rPr>
        <w:t>who will serve as a Director following completion of this offering, is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Twist Bioscience Corp. (Nasdaq: TWST), roles she has held since co-founding Twist in 2013. Since October 2018, she has also served as Chair of the board of directors for Twist. Prior to co-founding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w:t>
      </w:r>
    </w:p>
    <w:p>
      <w:pPr>
        <w:spacing w:after="0" w:line="77"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who will serve as a Director following completion of this offering, is the Co-Founder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Flatiron Health, Inc., a healthcare technology company focusing on accelerating oncology research and improving patient care acquired by Roche Holding AG in 2018, a role he has held since June 2012. Previously, Mr. Turner co-founded and served as Chief Executive Officer of Invite Media, Inc., an advertising technology company that built the industry’s first enterprise advertising platform for buying and optimizing online media in real time, from March 2007 until it was acquired by Google Inc. (Nasdaq: GOOGL) in June 2010, after which he remained at Google until June 2012. Mr. Turner has served on the Board of Directors of Clover Health, a privately-held healthcare insurance company aimed at improving patient care through data analytics, since May 2015. An active angel investor, Mr. Turner has invested in over 300 startups throughout the country, including Cedar Cares, Inc., Clover Health Inc., Color Genomics, Inc., Gravie, Inc., Imagen Technologies, Inc., Immuta, Inc., Klara Technologies, Inc., Oscar Insurance Corporation, Plaid, Inc., Ribbon Health, Inc., RigUp, Inc. and Quartet Health, Inc.. Mr. Turner received a B.S., cum laude, in Economics with concentrations in entrepreneurship and marketing from The Wharton School of the University of Pennsylvania.</w:t>
      </w:r>
    </w:p>
    <w:p>
      <w:pPr>
        <w:spacing w:after="0" w:line="102" w:lineRule="exact"/>
        <w:rPr>
          <w:sz w:val="20"/>
          <w:szCs w:val="20"/>
          <w:color w:val="auto"/>
        </w:rPr>
      </w:pPr>
    </w:p>
    <w:p>
      <w:pPr>
        <w:ind w:left="540" w:right="1159"/>
        <w:spacing w:after="0" w:line="238" w:lineRule="auto"/>
        <w:rPr>
          <w:sz w:val="20"/>
          <w:szCs w:val="20"/>
          <w:color w:val="auto"/>
        </w:rPr>
      </w:pPr>
      <w:r>
        <w:rPr>
          <w:rFonts w:ascii="Arial" w:cs="Arial" w:eastAsia="Arial" w:hAnsi="Arial"/>
          <w:sz w:val="18"/>
          <w:szCs w:val="18"/>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2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9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w:t>
      </w:r>
    </w:p>
    <w:p>
      <w:pPr>
        <w:sectPr>
          <w:pgSz w:w="11900" w:h="16838" w:orient="portrait"/>
          <w:cols w:equalWidth="0" w:num="1">
            <w:col w:w="9019"/>
          </w:cols>
          <w:pgMar w:left="1440" w:top="427"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9" w:name="page10"/>
    <w:bookmarkEnd w:id="9"/>
    <w:p>
      <w:pPr>
        <w:ind w:left="540" w:right="61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OPPORTUNITY</w:t>
      </w:r>
    </w:p>
    <w:p>
      <w:pPr>
        <w:spacing w:after="0" w:line="126"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00"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 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100" w:lineRule="exact"/>
        <w:rPr>
          <w:sz w:val="20"/>
          <w:szCs w:val="20"/>
          <w:color w:val="auto"/>
        </w:rPr>
      </w:pPr>
    </w:p>
    <w:p>
      <w:pPr>
        <w:jc w:val="both"/>
        <w:ind w:left="540" w:right="559"/>
        <w:spacing w:after="0" w:line="234"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w:t>
      </w:r>
    </w:p>
    <w:p>
      <w:pPr>
        <w:spacing w:after="0" w:line="2"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The momentum of research and development strategies of the biopharmaceutical industry makes this clear, with global R&amp;D expenditures projected by Statista to be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98" w:lineRule="exact"/>
        <w:rPr>
          <w:sz w:val="20"/>
          <w:szCs w:val="20"/>
          <w:color w:val="auto"/>
        </w:rPr>
      </w:pPr>
    </w:p>
    <w:p>
      <w:pPr>
        <w:ind w:left="540" w:right="659"/>
        <w:spacing w:after="0" w:line="238"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w:t>
      </w:r>
    </w:p>
    <w:p>
      <w:pPr>
        <w:sectPr>
          <w:pgSz w:w="11900" w:h="16838" w:orient="portrait"/>
          <w:cols w:equalWidth="0" w:num="1">
            <w:col w:w="9019"/>
          </w:cols>
          <w:pgMar w:left="1440" w:top="449"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0" w:name="page11"/>
    <w:bookmarkEnd w:id="10"/>
    <w:p>
      <w:pPr>
        <w:ind w:left="540" w:right="759"/>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03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703310"/>
                    </a:xfrm>
                    <a:prstGeom prst="rect">
                      <a:avLst/>
                    </a:prstGeom>
                    <a:noFill/>
                  </pic:spPr>
                </pic:pic>
              </a:graphicData>
            </a:graphic>
          </wp:anchor>
        </w:drawing>
        <w:t>industry has ripened. We will focus our search for business combination targets in three separate areas of the larger life sciences industry, including:</w:t>
      </w:r>
    </w:p>
    <w:p>
      <w:pPr>
        <w:spacing w:after="0" w:line="8" w:lineRule="exact"/>
        <w:rPr>
          <w:sz w:val="20"/>
          <w:szCs w:val="20"/>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30"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31"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97"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STRATEGY</w:t>
      </w:r>
    </w:p>
    <w:p>
      <w:pPr>
        <w:spacing w:after="0" w:line="126"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94"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98"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w:t>
      </w:r>
    </w:p>
    <w:p>
      <w:pPr>
        <w:sectPr>
          <w:pgSz w:w="11900" w:h="16838" w:orient="portrait"/>
          <w:cols w:equalWidth="0" w:num="1">
            <w:col w:w="9019"/>
          </w:cols>
          <w:pgMar w:left="1440" w:top="449"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1" w:name="page12"/>
    <w:bookmarkEnd w:id="11"/>
    <w:p>
      <w:pPr>
        <w:ind w:left="540" w:right="5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0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240395"/>
                    </a:xfrm>
                    <a:prstGeom prst="rect">
                      <a:avLst/>
                    </a:prstGeom>
                    <a:noFill/>
                  </pic:spPr>
                </pic:pic>
              </a:graphicData>
            </a:graphic>
          </wp:anchor>
        </w:drawing>
        <w:t>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99"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97" w:lineRule="exact"/>
        <w:rPr>
          <w:sz w:val="20"/>
          <w:szCs w:val="20"/>
          <w:color w:val="auto"/>
        </w:rPr>
      </w:pPr>
    </w:p>
    <w:p>
      <w:pPr>
        <w:ind w:left="540" w:right="619"/>
        <w:spacing w:after="0" w:line="234"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Capital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Casdin Capital has also fostered relationships with leading scientific and research institutions, such as Children’s Hospital of Philadelphia, Dana-Farber Cancer Institute, Massachusetts General Hospital, MD Anderson Cancer Center, Memorial Sloan Kettering Cancer Center, the New York Genome Center and Scripps Research. We expect that this deep understanding and these strong relationships, to which we will have access through members of our management team from Casdin Capital,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104" w:lineRule="exact"/>
        <w:rPr>
          <w:sz w:val="20"/>
          <w:szCs w:val="20"/>
          <w:color w:val="auto"/>
        </w:rPr>
      </w:pPr>
    </w:p>
    <w:p>
      <w:pPr>
        <w:ind w:left="540" w:right="599"/>
        <w:spacing w:after="0" w:line="235" w:lineRule="auto"/>
        <w:rPr>
          <w:sz w:val="20"/>
          <w:szCs w:val="20"/>
          <w:color w:val="auto"/>
        </w:rPr>
      </w:pPr>
      <w:r>
        <w:rPr>
          <w:rFonts w:ascii="Arial" w:cs="Arial" w:eastAsia="Arial" w:hAnsi="Arial"/>
          <w:sz w:val="18"/>
          <w:szCs w:val="18"/>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2" w:name="page13"/>
    <w:bookmarkEnd w:id="12"/>
    <w:p>
      <w:pPr>
        <w:jc w:val="both"/>
        <w:ind w:left="540" w:right="6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4" w:lineRule="exact"/>
        <w:rPr>
          <w:sz w:val="20"/>
          <w:szCs w:val="20"/>
          <w:color w:val="auto"/>
        </w:rPr>
      </w:pPr>
    </w:p>
    <w:p>
      <w:pPr>
        <w:ind w:left="1200" w:right="979" w:hanging="332"/>
        <w:spacing w:after="0" w:line="246" w:lineRule="auto"/>
        <w:tabs>
          <w:tab w:leader="none" w:pos="1189"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1"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0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6"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45"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ectPr>
          <w:pgSz w:w="11900" w:h="16838" w:orient="portrait"/>
          <w:cols w:equalWidth="0" w:num="1">
            <w:col w:w="9019"/>
          </w:cols>
          <w:pgMar w:left="1440" w:top="449"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54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754745"/>
                    </a:xfrm>
                    <a:prstGeom prst="rect">
                      <a:avLst/>
                    </a:prstGeom>
                    <a:noFill/>
                  </pic:spPr>
                </pic:pic>
              </a:graphicData>
            </a:graphic>
          </wp:anchor>
        </w:drawing>
        <w:t>SOURCING OF POTENTIAL INITIAL BUSINESS COMBINATION TARGETS</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37"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33"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6" w:lineRule="exact"/>
        <w:rPr>
          <w:sz w:val="20"/>
          <w:szCs w:val="20"/>
          <w:color w:val="auto"/>
        </w:rPr>
      </w:pPr>
    </w:p>
    <w:p>
      <w:pPr>
        <w:ind w:left="540" w:right="839"/>
        <w:spacing w:after="0" w:line="230" w:lineRule="auto"/>
        <w:rPr>
          <w:sz w:val="20"/>
          <w:szCs w:val="20"/>
          <w:color w:val="auto"/>
        </w:rPr>
      </w:pPr>
      <w:r>
        <w:rPr>
          <w:rFonts w:ascii="Arial" w:cs="Arial" w:eastAsia="Arial" w:hAnsi="Arial"/>
          <w:sz w:val="18"/>
          <w:szCs w:val="18"/>
          <w:color w:val="auto"/>
        </w:rPr>
        <w:t>Our executive offices are located at 667 Madison Avenue, 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Floor, New York, New York 10065, and our telephone number is (212) 474-6745.</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4" w:name="page15"/>
    <w:bookmarkEnd w:id="14"/>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239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2239645"/>
                    </a:xfrm>
                    <a:prstGeom prst="rect">
                      <a:avLst/>
                    </a:prstGeom>
                    <a:noFill/>
                  </pic:spPr>
                </pic:pic>
              </a:graphicData>
            </a:graphic>
          </wp:anchor>
        </w:drawing>
        <w:t>We will remain an emerging growth company until the earlier of (1) the last day of the fiscal year</w:t>
      </w:r>
    </w:p>
    <w:p>
      <w:pPr>
        <w:ind w:left="540" w:right="559" w:firstLine="4"/>
        <w:spacing w:after="0" w:line="237"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7"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03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003030"/>
                    </a:xfrm>
                    <a:prstGeom prst="rect">
                      <a:avLst/>
                    </a:prstGeom>
                    <a:noFill/>
                  </pic:spPr>
                </pic:pic>
              </a:graphicData>
            </a:graphic>
          </wp:anchor>
        </w:drawing>
        <w:t>THE OFFERING</w:t>
      </w:r>
    </w:p>
    <w:p>
      <w:pPr>
        <w:spacing w:after="0" w:line="153"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right="320" w:hanging="179"/>
        <w:spacing w:after="0"/>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hanging="179"/>
        <w:spacing w:after="0"/>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559"/>
        <w:spacing w:after="0"/>
        <w:rPr>
          <w:sz w:val="20"/>
          <w:szCs w:val="20"/>
          <w:color w:val="auto"/>
        </w:rPr>
      </w:pPr>
      <w:r>
        <w:rPr>
          <w:rFonts w:ascii="Arial" w:cs="Arial" w:eastAsia="Arial" w:hAnsi="Arial"/>
          <w:sz w:val="18"/>
          <w:szCs w:val="18"/>
          <w:color w:val="auto"/>
        </w:rPr>
        <w:t>35,000,000 units (or 40,250,000 units if the underwriter’s over-allotment option is exercised in full), at $10.00 per unit, each unit consisting of:</w:t>
      </w:r>
    </w:p>
    <w:p>
      <w:pPr>
        <w:spacing w:after="0" w:line="176" w:lineRule="exact"/>
        <w:rPr>
          <w:sz w:val="20"/>
          <w:szCs w:val="20"/>
          <w:color w:val="auto"/>
        </w:rPr>
      </w:pPr>
    </w:p>
    <w:p>
      <w:pPr>
        <w:ind w:left="420" w:hanging="205"/>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184" w:lineRule="exact"/>
        <w:rPr>
          <w:rFonts w:ascii="Arial" w:cs="Arial" w:eastAsia="Arial" w:hAnsi="Arial"/>
          <w:sz w:val="18"/>
          <w:szCs w:val="18"/>
          <w:color w:val="auto"/>
        </w:rPr>
      </w:pPr>
    </w:p>
    <w:p>
      <w:pPr>
        <w:ind w:right="1139" w:firstLine="215"/>
        <w:spacing w:after="0" w:line="453" w:lineRule="auto"/>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one-third of one redeemable warrant. Units: “CMLFU”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Class A common stock: “CMLF”</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“CMLFW”</w:t>
      </w:r>
    </w:p>
    <w:p>
      <w:pPr>
        <w:spacing w:after="0" w:line="200" w:lineRule="exact"/>
        <w:rPr>
          <w:sz w:val="20"/>
          <w:szCs w:val="20"/>
          <w:color w:val="auto"/>
        </w:rPr>
      </w:pPr>
    </w:p>
    <w:p>
      <w:pPr>
        <w:spacing w:after="0" w:line="390"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shares of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r>
        <w:rPr>
          <w:rFonts w:ascii="Arial" w:cs="Arial" w:eastAsia="Arial" w:hAnsi="Arial"/>
          <w:sz w:val="18"/>
          <w:szCs w:val="18"/>
          <w:i w:val="1"/>
          <w:iCs w:val="1"/>
          <w:color w:val="auto"/>
        </w:rPr>
        <w:t>.</w:t>
      </w:r>
      <w:r>
        <w:rPr>
          <w:rFonts w:ascii="Arial" w:cs="Arial" w:eastAsia="Arial" w:hAnsi="Arial"/>
          <w:sz w:val="18"/>
          <w:szCs w:val="18"/>
          <w:color w:val="auto"/>
        </w:rPr>
        <w:t xml:space="preserve"> Once the shares of Class A common stock and warrants commence separate trading, holders will have the option to continue to hold units or separate their units into the component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will need to have their brokers contact our transfer agent in order to separate the units into shares of Class A common stock and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No fractional warrants will be issued upon separation of the units and only whole warrants will trade</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unless you purchase at least three units, you will not be able to receive or trade a whole warrant.</w:t>
      </w:r>
    </w:p>
    <w:p>
      <w:pPr>
        <w:spacing w:after="0" w:line="200" w:lineRule="exact"/>
        <w:rPr>
          <w:sz w:val="20"/>
          <w:szCs w:val="20"/>
          <w:color w:val="auto"/>
        </w:rPr>
      </w:pPr>
    </w:p>
    <w:p>
      <w:pPr>
        <w:spacing w:after="0" w:line="387"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file the Current Report on Form 8-K promptly after the closing of this offering, which closing is anticipated to take place three business days from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40" w:space="260"/>
            <w:col w:w="4519"/>
          </w:cols>
          <w:pgMar w:left="1440" w:top="535"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6" w:name="page17"/>
    <w:bookmarkEnd w:id="16"/>
    <w:tbl>
      <w:tblPr>
        <w:tblLayout w:type="fixed"/>
        <w:tblInd w:w="540" w:type="dxa"/>
        <w:tblCellMar>
          <w:top w:w="0" w:type="dxa"/>
          <w:left w:w="0" w:type="dxa"/>
          <w:bottom w:w="0" w:type="dxa"/>
          <w:right w:w="0" w:type="dxa"/>
        </w:tblCellMar>
      </w:tblP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Units:</w:t>
            </w:r>
          </w:p>
        </w:tc>
        <w:tc>
          <w:tcPr>
            <w:tcW w:w="1300" w:type="dxa"/>
            <w:vAlign w:val="bottom"/>
          </w:tcPr>
          <w:p>
            <w:pPr>
              <w:spacing w:after="0"/>
              <w:rPr>
                <w:sz w:val="18"/>
                <w:szCs w:val="18"/>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rPr>
              <w:t>0</w:t>
            </w:r>
          </w:p>
        </w:tc>
      </w:tr>
      <w:tr>
        <w:trPr>
          <w:trHeight w:val="442"/>
        </w:trPr>
        <w:tc>
          <w:tcPr>
            <w:tcW w:w="342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w w:val="95"/>
              </w:rPr>
              <w:t>35,000,000</w:t>
            </w:r>
            <w:r>
              <w:rPr>
                <w:rFonts w:ascii="Arial" w:cs="Arial" w:eastAsia="Arial" w:hAnsi="Arial"/>
                <w:sz w:val="20"/>
                <w:szCs w:val="20"/>
                <w:color w:val="auto"/>
                <w:w w:val="95"/>
                <w:vertAlign w:val="superscript"/>
              </w:rPr>
              <w:t>(1)</w:t>
            </w:r>
          </w:p>
        </w:tc>
      </w:tr>
      <w:tr>
        <w:trPr>
          <w:trHeight w:val="341"/>
        </w:trPr>
        <w:tc>
          <w:tcPr>
            <w:tcW w:w="34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517"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114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6114415"/>
                    </a:xfrm>
                    <a:prstGeom prst="rect">
                      <a:avLst/>
                    </a:prstGeom>
                    <a:noFill/>
                  </pic:spPr>
                </pic:pic>
              </a:graphicData>
            </a:graphic>
          </wp:anchor>
        </w:drawing>
      </w:r>
    </w:p>
    <w:p>
      <w:pPr>
        <w:spacing w:after="0" w:line="175" w:lineRule="exact"/>
        <w:rPr>
          <w:sz w:val="20"/>
          <w:szCs w:val="20"/>
          <w:color w:val="auto"/>
        </w:rPr>
      </w:pPr>
    </w:p>
    <w:p>
      <w:pPr>
        <w:ind w:left="540" w:right="400"/>
        <w:spacing w:after="0" w:line="453" w:lineRule="auto"/>
        <w:rPr>
          <w:sz w:val="20"/>
          <w:szCs w:val="20"/>
          <w:color w:val="auto"/>
        </w:rPr>
      </w:pPr>
      <w:r>
        <w:rPr>
          <w:rFonts w:ascii="Arial" w:cs="Arial" w:eastAsia="Arial" w:hAnsi="Arial"/>
          <w:sz w:val="18"/>
          <w:szCs w:val="18"/>
          <w:color w:val="auto"/>
        </w:rPr>
        <w:t>Number outstanding before this offering Number outstanding after this offering Warrants:</w:t>
      </w:r>
    </w:p>
    <w:p>
      <w:pPr>
        <w:spacing w:after="0" w:line="2"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6" w:lineRule="exact"/>
        <w:rPr>
          <w:sz w:val="20"/>
          <w:szCs w:val="20"/>
          <w:color w:val="auto"/>
        </w:rPr>
      </w:pPr>
    </w:p>
    <w:p>
      <w:pPr>
        <w:jc w:val="center"/>
        <w:ind w:left="540" w:right="140"/>
        <w:spacing w:after="0" w:line="274"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10,062,500</w:t>
      </w:r>
      <w:r>
        <w:rPr>
          <w:rFonts w:ascii="Arial" w:cs="Arial" w:eastAsia="Arial" w:hAnsi="Arial"/>
          <w:sz w:val="20"/>
          <w:szCs w:val="20"/>
          <w:color w:val="auto"/>
          <w:vertAlign w:val="superscript"/>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43,750,000</w:t>
      </w:r>
      <w:r>
        <w:rPr>
          <w:rFonts w:ascii="Arial" w:cs="Arial" w:eastAsia="Arial" w:hAnsi="Arial"/>
          <w:sz w:val="20"/>
          <w:szCs w:val="20"/>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6,000,000</w:t>
      </w:r>
      <w:r>
        <w:rPr>
          <w:rFonts w:ascii="Arial" w:cs="Arial" w:eastAsia="Arial" w:hAnsi="Arial"/>
          <w:sz w:val="20"/>
          <w:szCs w:val="20"/>
          <w:color w:val="auto"/>
          <w:vertAlign w:val="superscript"/>
        </w:rPr>
        <w:t>(1)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17,666,667</w:t>
      </w:r>
      <w:r>
        <w:rPr>
          <w:rFonts w:ascii="Arial" w:cs="Arial" w:eastAsia="Arial" w:hAnsi="Arial"/>
          <w:sz w:val="20"/>
          <w:szCs w:val="20"/>
          <w:color w:val="auto"/>
          <w:vertAlign w:val="superscript"/>
        </w:rPr>
        <w:t>(1)</w:t>
      </w:r>
    </w:p>
    <w:p>
      <w:pPr>
        <w:spacing w:after="0" w:line="162"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Each whole warrant offered in this offering is exercisable to purchase one share of Class A common stock. Only whole warrants are exercisable. No fractional warrants will be issued upon separation of the units and only whole warrants will trade.</w:t>
      </w:r>
    </w:p>
    <w:p>
      <w:pPr>
        <w:spacing w:after="0" w:line="17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structured each unit to contain one-third of one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361" w:lineRule="exact"/>
        <w:rPr>
          <w:sz w:val="20"/>
          <w:szCs w:val="20"/>
          <w:color w:val="auto"/>
        </w:rPr>
      </w:pPr>
    </w:p>
    <w:p>
      <w:pPr>
        <w:sectPr>
          <w:pgSz w:w="11900" w:h="16838" w:orient="portrait"/>
          <w:cols w:equalWidth="0" w:num="2">
            <w:col w:w="4100" w:space="120"/>
            <w:col w:w="4799"/>
          </w:cols>
          <w:pgMar w:left="1440" w:top="517" w:right="1440" w:bottom="1440" w:gutter="0" w:footer="0" w:header="0"/>
          <w:type w:val="continuous"/>
        </w:sectPr>
      </w:pPr>
    </w:p>
    <w:p>
      <w:pPr>
        <w:ind w:left="980" w:right="719" w:hanging="436"/>
        <w:spacing w:after="0" w:line="216" w:lineRule="auto"/>
        <w:tabs>
          <w:tab w:leader="none" w:pos="975"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by our sponsor of 1,312,500 founder shares for no consideration.</w:t>
      </w:r>
    </w:p>
    <w:p>
      <w:pPr>
        <w:ind w:left="980" w:right="619" w:hanging="436"/>
        <w:spacing w:after="0" w:line="216" w:lineRule="auto"/>
        <w:tabs>
          <w:tab w:leader="none" w:pos="98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1,312,500 founder shares that will be forfeited by our sponsor depending on the extent to which the underwriters’ over-allotment option is exercised.</w:t>
      </w:r>
    </w:p>
    <w:p>
      <w:pPr>
        <w:ind w:left="980" w:right="659" w:hanging="436"/>
        <w:spacing w:after="0" w:line="234" w:lineRule="auto"/>
        <w:tabs>
          <w:tab w:leader="none" w:pos="982"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hanging="436"/>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35,000,000 public shares and 8,750,000 founder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Exercise price</w:t>
      </w:r>
      <w:r>
        <w:rPr>
          <w:sz w:val="20"/>
          <w:szCs w:val="20"/>
          <w:color w:val="auto"/>
        </w:rPr>
        <w:tab/>
      </w:r>
      <w:r>
        <w:rPr>
          <w:rFonts w:ascii="Arial" w:cs="Arial" w:eastAsia="Arial" w:hAnsi="Arial"/>
          <w:sz w:val="18"/>
          <w:szCs w:val="18"/>
          <w:color w:val="auto"/>
        </w:rPr>
        <w:t>$11.50 per share, subject to adjustments as described</w:t>
      </w:r>
    </w:p>
    <w:p>
      <w:pPr>
        <w:ind w:left="3720" w:right="579"/>
        <w:spacing w:after="0" w:line="235" w:lineRule="auto"/>
        <w:rPr>
          <w:sz w:val="20"/>
          <w:szCs w:val="20"/>
          <w:color w:val="auto"/>
        </w:rPr>
      </w:pPr>
      <w:r>
        <w:rPr>
          <w:rFonts w:ascii="Arial" w:cs="Arial" w:eastAsia="Arial" w:hAnsi="Arial"/>
          <w:sz w:val="18"/>
          <w:szCs w:val="18"/>
          <w:color w:val="auto"/>
        </w:rPr>
        <w:t>herein. 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adjacent to “Redemption of warrants when the price per share of Class A common stock equals or exceeds $18.00” will be adjusted (to the nearest cent) to be equal to 180% of the higher of the Market Value and the Newly Issued Price, and the $10.00 per share redemption trigger price described adjacent to the caption “Redemption of warrants when the price per share of Class A common Stock equals or exceeds $10.00” will be adjusted (to the nearest cent) to be equal to the higher of the Market Value and the Newly Issued Price.</w:t>
      </w:r>
    </w:p>
    <w:p>
      <w:pPr>
        <w:spacing w:after="0" w:line="18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8"/>
          <w:szCs w:val="18"/>
          <w:color w:val="auto"/>
        </w:rPr>
        <w:t>The warrants will become exercisable on the later of:</w:t>
      </w:r>
    </w:p>
    <w:p>
      <w:pPr>
        <w:spacing w:after="0" w:line="99"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30 days after the completion of our initial business</w:t>
      </w:r>
    </w:p>
    <w:p>
      <w:pPr>
        <w:ind w:left="4160"/>
        <w:spacing w:after="0"/>
        <w:rPr>
          <w:sz w:val="20"/>
          <w:szCs w:val="20"/>
          <w:color w:val="auto"/>
        </w:rPr>
      </w:pPr>
      <w:r>
        <w:rPr>
          <w:rFonts w:ascii="Arial" w:cs="Arial" w:eastAsia="Arial" w:hAnsi="Arial"/>
          <w:sz w:val="18"/>
          <w:szCs w:val="18"/>
          <w:color w:val="auto"/>
        </w:rPr>
        <w:t>combination, and</w:t>
      </w:r>
    </w:p>
    <w:p>
      <w:pPr>
        <w:spacing w:after="0" w:line="10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 months from the closing of this offering;</w:t>
      </w:r>
    </w:p>
    <w:p>
      <w:pPr>
        <w:spacing w:after="0" w:line="13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provided in each case that we have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76" w:lineRule="exact"/>
        <w:rPr>
          <w:sz w:val="20"/>
          <w:szCs w:val="20"/>
          <w:color w:val="auto"/>
        </w:rPr>
      </w:pPr>
    </w:p>
    <w:p>
      <w:pPr>
        <w:ind w:left="3720" w:right="579"/>
        <w:spacing w:after="0" w:line="236" w:lineRule="auto"/>
        <w:rPr>
          <w:sz w:val="20"/>
          <w:szCs w:val="20"/>
          <w:color w:val="auto"/>
        </w:rPr>
      </w:pPr>
      <w:r>
        <w:rPr>
          <w:rFonts w:ascii="Arial" w:cs="Arial" w:eastAsia="Arial" w:hAnsi="Arial"/>
          <w:sz w:val="18"/>
          <w:szCs w:val="18"/>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w:t>
      </w:r>
    </w:p>
    <w:p>
      <w:pPr>
        <w:sectPr>
          <w:pgSz w:w="11900" w:h="16838" w:orient="portrait"/>
          <w:cols w:equalWidth="0" w:num="1">
            <w:col w:w="9019"/>
          </w:cols>
          <w:pgMar w:left="1440" w:top="512" w:right="1440" w:bottom="107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076"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179"/>
        <w:spacing w:after="0" w:line="261" w:lineRule="auto"/>
        <w:rPr>
          <w:sz w:val="20"/>
          <w:szCs w:val="20"/>
          <w:color w:val="auto"/>
        </w:rPr>
      </w:pPr>
      <w:r>
        <w:rPr>
          <w:rFonts w:ascii="Arial" w:cs="Arial" w:eastAsia="Arial" w:hAnsi="Arial"/>
          <w:sz w:val="17"/>
          <w:szCs w:val="17"/>
          <w:color w:val="auto"/>
        </w:rPr>
        <w:t>Redemption of warrants when the price per share of Class A common stock equals or exceeds $18.00</w:t>
      </w:r>
    </w:p>
    <w:p>
      <w:pPr>
        <w:spacing w:after="0" w:line="20" w:lineRule="exact"/>
        <w:rPr>
          <w:sz w:val="20"/>
          <w:szCs w:val="20"/>
          <w:color w:val="auto"/>
        </w:rPr>
      </w:pPr>
      <w:r>
        <w:rPr>
          <w:sz w:val="20"/>
          <w:szCs w:val="20"/>
          <w:color w:val="auto"/>
        </w:rPr>
        <w:br w:type="column"/>
      </w:r>
    </w:p>
    <w:p>
      <w:pPr>
        <w:ind w:right="599"/>
        <w:spacing w:after="0" w:line="234" w:lineRule="auto"/>
        <w:rPr>
          <w:sz w:val="20"/>
          <w:szCs w:val="20"/>
          <w:color w:val="auto"/>
        </w:rPr>
      </w:pPr>
      <w:r>
        <w:rPr>
          <w:rFonts w:ascii="Arial" w:cs="Arial" w:eastAsia="Arial" w:hAnsi="Arial"/>
          <w:sz w:val="18"/>
          <w:szCs w:val="18"/>
          <w:color w:val="auto"/>
        </w:rPr>
        <w:t>agreement. If a registration statement covering the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-3072130</wp:posOffset>
            </wp:positionV>
            <wp:extent cx="5147310" cy="9063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9063355"/>
                    </a:xfrm>
                    <a:prstGeom prst="rect">
                      <a:avLst/>
                    </a:prstGeom>
                    <a:noFill/>
                  </pic:spPr>
                </pic:pic>
              </a:graphicData>
            </a:graphic>
          </wp:anchor>
        </w:drawing>
      </w:r>
    </w:p>
    <w:p>
      <w:pPr>
        <w:spacing w:after="0" w:line="162" w:lineRule="exact"/>
        <w:rPr>
          <w:sz w:val="20"/>
          <w:szCs w:val="20"/>
          <w:color w:val="auto"/>
        </w:rPr>
      </w:pPr>
    </w:p>
    <w:p>
      <w:pPr>
        <w:ind w:right="659"/>
        <w:spacing w:after="0" w:line="238"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380" w:lineRule="exact"/>
        <w:rPr>
          <w:sz w:val="20"/>
          <w:szCs w:val="20"/>
          <w:color w:val="auto"/>
        </w:rPr>
      </w:pPr>
    </w:p>
    <w:p>
      <w:pPr>
        <w:ind w:right="779"/>
        <w:spacing w:after="0"/>
        <w:rPr>
          <w:sz w:val="20"/>
          <w:szCs w:val="20"/>
          <w:color w:val="auto"/>
        </w:rPr>
      </w:pPr>
      <w:r>
        <w:rPr>
          <w:rFonts w:ascii="Arial" w:cs="Arial" w:eastAsia="Arial" w:hAnsi="Arial"/>
          <w:sz w:val="18"/>
          <w:szCs w:val="18"/>
          <w:color w:val="auto"/>
        </w:rPr>
        <w:t>Once the warrants become exercisable, we may redeem the outstanding warrants for cash (except as described herein with respect to the private placement warrants):</w:t>
      </w:r>
    </w:p>
    <w:p>
      <w:pPr>
        <w:spacing w:after="0" w:line="176" w:lineRule="exact"/>
        <w:rPr>
          <w:sz w:val="20"/>
          <w:szCs w:val="20"/>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440" w:right="899" w:hanging="214"/>
        <w:spacing w:after="0"/>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5"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30-trading day period ending on the third trading day prior to the date on which we send the notice of redemption to the warrant holders.</w:t>
      </w:r>
    </w:p>
    <w:p>
      <w:pPr>
        <w:spacing w:after="0" w:line="179" w:lineRule="exact"/>
        <w:rPr>
          <w:sz w:val="20"/>
          <w:szCs w:val="20"/>
          <w:color w:val="auto"/>
        </w:rPr>
      </w:pPr>
    </w:p>
    <w:p>
      <w:pPr>
        <w:ind w:right="559"/>
        <w:spacing w:after="0" w:line="236"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laws. Except as described below, none of the private placement warrants will be redeemable by us so long as they are held by the initial purchasers or their permitted transferees.</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720" w:hanging="179"/>
        <w:spacing w:after="0" w:line="261" w:lineRule="auto"/>
        <w:rPr>
          <w:sz w:val="20"/>
          <w:szCs w:val="20"/>
          <w:color w:val="auto"/>
        </w:rPr>
      </w:pPr>
      <w:r>
        <w:rPr>
          <w:rFonts w:ascii="Arial" w:cs="Arial" w:eastAsia="Arial" w:hAnsi="Arial"/>
          <w:sz w:val="17"/>
          <w:szCs w:val="17"/>
          <w:color w:val="auto"/>
        </w:rPr>
        <w:t>Redemption of warrants when the price per share of Class A common stock equals or exceeds $10.00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-765175</wp:posOffset>
            </wp:positionV>
            <wp:extent cx="5147310" cy="894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943340"/>
                    </a:xfrm>
                    <a:prstGeom prst="rect">
                      <a:avLst/>
                    </a:prstGeom>
                    <a:noFill/>
                  </pic:spPr>
                </pic:pic>
              </a:graphicData>
            </a:graphic>
          </wp:anchor>
        </w:drawing>
      </w:r>
    </w:p>
    <w:p>
      <w:pPr>
        <w:spacing w:after="0" w:line="150" w:lineRule="exact"/>
        <w:rPr>
          <w:sz w:val="20"/>
          <w:szCs w:val="20"/>
          <w:color w:val="auto"/>
        </w:rPr>
      </w:pPr>
    </w:p>
    <w:p>
      <w:pPr>
        <w:ind w:left="440" w:hanging="21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set forth under “Description of Securities — Warrants — Public Stockholders’ Warrants” based on the redemption date and the “fair market value” (as defined below) of our Class A common stock except as otherwise described in “Description of Securities — Warrants — Public Stockholders’ Warrants”;</w:t>
      </w:r>
    </w:p>
    <w:p>
      <w:pPr>
        <w:spacing w:after="0" w:line="176"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“Description of Securities — Warrants — Public Stockholders’ Warrants — Anti-dilution Adjustments”) for any 20 trading days within the 30-trading day period ending three trading days before we send notice of redemption to the warrant holders; and</w:t>
      </w:r>
    </w:p>
    <w:p>
      <w:pPr>
        <w:spacing w:after="0" w:line="178"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The “fair market value” of our Class A common stock shall mean the volume weighted average price of our Class A common stock during the 10 trading days immediately following the date on which the notice of redemption is sent to the holders of warrants. This redemption feature differs from the typical warrant redemption features used in other blank check offerings. We will provide our warrant holders with the final fair market value no later than one business day after the 10 trading day period described above ends. In no event will the warrants be exercisable in connection with this redemption feature for more than 0.361 shares of Class A common stock per warrant (subject to adjustment).</w:t>
      </w:r>
    </w:p>
    <w:p>
      <w:pPr>
        <w:spacing w:after="0" w:line="177"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the number of shares of Class A common stock to be issued to the holder. Please see the section entitled “Description of Securities — Warrants — Public Stockholders’ Warrants” for additional information.</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0066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10066020"/>
                    </a:xfrm>
                    <a:prstGeom prst="rect">
                      <a:avLst/>
                    </a:prstGeom>
                    <a:noFill/>
                  </pic:spPr>
                </pic:pic>
              </a:graphicData>
            </a:graphic>
          </wp:anchor>
        </w:drawing>
        <w:t>Forward purchase agreements</w:t>
      </w:r>
      <w:r>
        <w:rPr>
          <w:sz w:val="20"/>
          <w:szCs w:val="20"/>
          <w:color w:val="auto"/>
        </w:rPr>
        <w:tab/>
      </w:r>
      <w:r>
        <w:rPr>
          <w:rFonts w:ascii="Arial" w:cs="Arial" w:eastAsia="Arial" w:hAnsi="Arial"/>
          <w:sz w:val="17"/>
          <w:szCs w:val="17"/>
          <w:color w:val="auto"/>
        </w:rPr>
        <w:t>We have entered into separate forward purchase</w:t>
      </w:r>
    </w:p>
    <w:p>
      <w:pPr>
        <w:ind w:left="3720" w:right="559"/>
        <w:spacing w:after="0" w:line="235" w:lineRule="auto"/>
        <w:rPr>
          <w:sz w:val="20"/>
          <w:szCs w:val="20"/>
          <w:color w:val="auto"/>
        </w:rPr>
      </w:pPr>
      <w:r>
        <w:rPr>
          <w:rFonts w:ascii="Arial" w:cs="Arial" w:eastAsia="Arial" w:hAnsi="Arial"/>
          <w:sz w:val="18"/>
          <w:szCs w:val="18"/>
          <w:color w:val="auto"/>
        </w:rPr>
        <w:t>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76"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8"/>
          <w:szCs w:val="18"/>
          <w:color w:val="auto"/>
        </w:rPr>
        <w:t>During the period ended July 16, 2020, our sponsor paid</w:t>
      </w:r>
    </w:p>
    <w:p>
      <w:pPr>
        <w:ind w:left="3720" w:right="659"/>
        <w:spacing w:after="0" w:line="238" w:lineRule="auto"/>
        <w:rPr>
          <w:sz w:val="20"/>
          <w:szCs w:val="20"/>
          <w:color w:val="auto"/>
        </w:rPr>
      </w:pPr>
      <w:r>
        <w:rPr>
          <w:rFonts w:ascii="Arial" w:cs="Arial" w:eastAsia="Arial" w:hAnsi="Arial"/>
          <w:sz w:val="18"/>
          <w:szCs w:val="18"/>
          <w:color w:val="auto"/>
        </w:rPr>
        <w:t>$25,000, or approximately $0.002 per share, to cover certain of our offering costs in consideration of 10,062,500 founder shares. In August 2020, our sponsor transferred 25,000 founder shares to each of Mr. Islam, Dr. Leproust and Mr. Turner.</w:t>
      </w:r>
    </w:p>
    <w:p>
      <w:pPr>
        <w:spacing w:after="0" w:line="121" w:lineRule="exact"/>
        <w:rPr>
          <w:sz w:val="20"/>
          <w:szCs w:val="20"/>
          <w:color w:val="auto"/>
        </w:rPr>
      </w:pPr>
    </w:p>
    <w:p>
      <w:pPr>
        <w:ind w:left="3720" w:right="599"/>
        <w:spacing w:after="0" w:line="236" w:lineRule="auto"/>
        <w:rPr>
          <w:sz w:val="20"/>
          <w:szCs w:val="20"/>
          <w:color w:val="auto"/>
        </w:rPr>
      </w:pPr>
      <w:r>
        <w:rPr>
          <w:rFonts w:ascii="Arial" w:cs="Arial" w:eastAsia="Arial" w:hAnsi="Arial"/>
          <w:sz w:val="18"/>
          <w:szCs w:val="18"/>
          <w:color w:val="auto"/>
        </w:rPr>
        <w:t>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w:t>
      </w:r>
    </w:p>
    <w:p>
      <w:pPr>
        <w:sectPr>
          <w:pgSz w:w="11900" w:h="16838" w:orient="portrait"/>
          <w:cols w:equalWidth="0" w:num="1">
            <w:col w:w="9019"/>
          </w:cols>
          <w:pgMar w:left="1440" w:top="512" w:right="144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0" w:gutter="0" w:footer="0" w:header="0"/>
          <w:type w:val="continuous"/>
        </w:sectPr>
      </w:pPr>
    </w:p>
    <w:bookmarkStart w:id="21" w:name="page22"/>
    <w:bookmarkEnd w:id="21"/>
    <w:p>
      <w:pPr>
        <w:ind w:left="3720" w:right="6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852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852025"/>
                    </a:xfrm>
                    <a:prstGeom prst="rect">
                      <a:avLst/>
                    </a:prstGeom>
                    <a:noFill/>
                  </pic:spPr>
                </pic:pic>
              </a:graphicData>
            </a:graphic>
          </wp:anchor>
        </w:drawing>
        <w:t>Up to 1,312,500 of the founder shares will be forfeited by our sponsor depending on the extent to which the underwriters’ over-allotment option is not exercised. If we increase or decrease the size of the offering pursuant to Rule 462(b) under the Securities Act, we will effect a stock dividend or share contribution back to capital or other appropriate mechanism, as applicable, with respect to our Class B common stock immediately prior to the consummation of the offering in such amount as to maintain the ownership of founder shares by our initial stockholders, on an as-converted basis, at 20.0% of our issued and outstanding common stock upon the consummation of this offering.</w:t>
      </w:r>
    </w:p>
    <w:p>
      <w:pPr>
        <w:spacing w:after="0" w:line="176" w:lineRule="exact"/>
        <w:rPr>
          <w:sz w:val="20"/>
          <w:szCs w:val="20"/>
          <w:color w:val="auto"/>
        </w:rPr>
      </w:pPr>
    </w:p>
    <w:p>
      <w:pPr>
        <w:ind w:left="3720" w:right="759"/>
        <w:spacing w:after="0"/>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w:t>
      </w:r>
    </w:p>
    <w:p>
      <w:pPr>
        <w:spacing w:after="0" w:line="176" w:lineRule="exact"/>
        <w:rPr>
          <w:sz w:val="20"/>
          <w:szCs w:val="20"/>
          <w:color w:val="auto"/>
        </w:rPr>
      </w:pPr>
    </w:p>
    <w:p>
      <w:pPr>
        <w:ind w:left="4160" w:right="979" w:hanging="214"/>
        <w:spacing w:after="0" w:line="246"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69" w:lineRule="exact"/>
        <w:rPr>
          <w:rFonts w:ascii="Arial" w:cs="Arial" w:eastAsia="Arial" w:hAnsi="Arial"/>
          <w:sz w:val="18"/>
          <w:szCs w:val="18"/>
          <w:color w:val="auto"/>
        </w:rPr>
      </w:pPr>
    </w:p>
    <w:p>
      <w:pPr>
        <w:ind w:left="4160" w:hanging="214"/>
        <w:spacing w:after="0"/>
        <w:tabs>
          <w:tab w:leader="none" w:pos="4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34"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initial stockholders, sponsor, officers and directors have entered into a letter agreement with us, pursuant to which they have agreed to (i) waive their redemption rights with respect to any founder shares and public shares they hold in connection with the completion of our initial business combination,</w:t>
      </w:r>
    </w:p>
    <w:p>
      <w:pPr>
        <w:spacing w:after="0" w:line="4" w:lineRule="exact"/>
        <w:rPr>
          <w:rFonts w:ascii="Arial" w:cs="Arial" w:eastAsia="Arial" w:hAnsi="Arial"/>
          <w:sz w:val="18"/>
          <w:szCs w:val="18"/>
          <w:color w:val="auto"/>
        </w:rPr>
      </w:pPr>
    </w:p>
    <w:p>
      <w:pPr>
        <w:ind w:left="4160" w:right="579"/>
        <w:spacing w:after="0" w:line="235" w:lineRule="auto"/>
        <w:rPr>
          <w:rFonts w:ascii="Arial" w:cs="Arial" w:eastAsia="Arial" w:hAnsi="Arial"/>
          <w:sz w:val="18"/>
          <w:szCs w:val="18"/>
          <w:color w:val="auto"/>
        </w:rPr>
      </w:pPr>
      <w:r>
        <w:rPr>
          <w:rFonts w:ascii="Arial" w:cs="Arial" w:eastAsia="Arial" w:hAnsi="Arial"/>
          <w:sz w:val="18"/>
          <w:szCs w:val="18"/>
          <w:color w:val="auto"/>
        </w:rPr>
        <w:t>(ii)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they hold if we fail to complete our initial business combination within 24 months from the closing of this offering 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and any public shares purchased during or after this offering in favor of our initial business combination.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182" w:lineRule="exact"/>
        <w:rPr>
          <w:rFonts w:ascii="Arial" w:cs="Arial" w:eastAsia="Arial" w:hAnsi="Arial"/>
          <w:sz w:val="18"/>
          <w:szCs w:val="18"/>
          <w:color w:val="auto"/>
        </w:rPr>
      </w:pPr>
    </w:p>
    <w:p>
      <w:pPr>
        <w:ind w:left="4160" w:right="599" w:hanging="214"/>
        <w:spacing w:after="0" w:line="237"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ectPr>
          <w:pgSz w:w="11900" w:h="16838" w:orient="portrait"/>
          <w:cols w:equalWidth="0" w:num="1">
            <w:col w:w="9019"/>
          </w:cols>
          <w:pgMar w:left="1440" w:top="517" w:right="1440" w:bottom="252"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252" w:gutter="0" w:footer="0" w:header="0"/>
          <w:type w:val="continuous"/>
        </w:sectPr>
      </w:pPr>
    </w:p>
    <w:bookmarkStart w:id="22" w:name="page23"/>
    <w:bookmarkEnd w:id="22"/>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63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763000"/>
                    </a:xfrm>
                    <a:prstGeom prst="rect">
                      <a:avLst/>
                    </a:prstGeom>
                    <a:noFill/>
                  </pic:spPr>
                </pic:pic>
              </a:graphicData>
            </a:graphic>
          </wp:anchor>
        </w:drawing>
        <w:t>Transfer restrictions on founder</w:t>
      </w:r>
      <w:r>
        <w:rPr>
          <w:sz w:val="20"/>
          <w:szCs w:val="20"/>
          <w:color w:val="auto"/>
        </w:rPr>
        <w:tab/>
      </w:r>
      <w:r>
        <w:rPr>
          <w:rFonts w:ascii="Arial" w:cs="Arial" w:eastAsia="Arial" w:hAnsi="Arial"/>
          <w:sz w:val="18"/>
          <w:szCs w:val="18"/>
          <w:color w:val="auto"/>
        </w:rPr>
        <w:t>Our initial stockholders have agreed not to transfer, assign</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or sell any of their founder shares until the earlier to occur</w:t>
      </w:r>
    </w:p>
    <w:p>
      <w:pPr>
        <w:spacing w:after="0" w:line="1" w:lineRule="exact"/>
        <w:rPr>
          <w:sz w:val="20"/>
          <w:szCs w:val="20"/>
          <w:color w:val="auto"/>
        </w:rPr>
      </w:pPr>
    </w:p>
    <w:p>
      <w:pPr>
        <w:ind w:left="3720" w:right="559"/>
        <w:spacing w:after="0" w:line="235" w:lineRule="auto"/>
        <w:rPr>
          <w:sz w:val="20"/>
          <w:szCs w:val="20"/>
          <w:color w:val="auto"/>
        </w:rPr>
      </w:pPr>
      <w:r>
        <w:rPr>
          <w:rFonts w:ascii="Arial" w:cs="Arial" w:eastAsia="Arial" w:hAnsi="Arial"/>
          <w:sz w:val="18"/>
          <w:szCs w:val="18"/>
          <w:color w:val="auto"/>
        </w:rPr>
        <w:t>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Private Placement Warrants and Forward Purchase Shares”. Any permitted transferees will be subject to the same restrictions and other agreements of our initial stockholders with respect to any founder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stockholders having the right to exchange their shares for cash, securities or other property, the founder shares will be released from the lock-up.</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Founder shares conversion and</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anti-dilution rights</w:t>
      </w:r>
      <w:r>
        <w:rPr>
          <w:sz w:val="20"/>
          <w:szCs w:val="20"/>
          <w:color w:val="auto"/>
        </w:rPr>
        <w:tab/>
      </w:r>
      <w:r>
        <w:rPr>
          <w:rFonts w:ascii="Arial" w:cs="Arial" w:eastAsia="Arial" w:hAnsi="Arial"/>
          <w:sz w:val="18"/>
          <w:szCs w:val="18"/>
          <w:color w:val="auto"/>
        </w:rPr>
        <w:t>The founder shares will automatically convert into shares</w:t>
      </w:r>
    </w:p>
    <w:p>
      <w:pPr>
        <w:spacing w:after="0" w:line="1"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869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869170"/>
                    </a:xfrm>
                    <a:prstGeom prst="rect">
                      <a:avLst/>
                    </a:prstGeom>
                    <a:noFill/>
                  </pic:spPr>
                </pic:pic>
              </a:graphicData>
            </a:graphic>
          </wp:anchor>
        </w:drawing>
        <w:t>Voting Rights</w:t>
      </w:r>
      <w:r>
        <w:rPr>
          <w:sz w:val="20"/>
          <w:szCs w:val="20"/>
          <w:color w:val="auto"/>
        </w:rPr>
        <w:tab/>
      </w:r>
      <w:r>
        <w:rPr>
          <w:rFonts w:ascii="Arial" w:cs="Arial" w:eastAsia="Arial" w:hAnsi="Arial"/>
          <w:sz w:val="17"/>
          <w:szCs w:val="17"/>
          <w:color w:val="auto"/>
        </w:rPr>
        <w:t>Holders of record of our Class A common stock and</w:t>
      </w:r>
    </w:p>
    <w:p>
      <w:pPr>
        <w:ind w:left="3720" w:right="599"/>
        <w:spacing w:after="0" w:line="238" w:lineRule="auto"/>
        <w:rPr>
          <w:sz w:val="20"/>
          <w:szCs w:val="20"/>
          <w:color w:val="auto"/>
        </w:rPr>
      </w:pPr>
      <w:r>
        <w:rPr>
          <w:rFonts w:ascii="Arial" w:cs="Arial" w:eastAsia="Arial" w:hAnsi="Arial"/>
          <w:sz w:val="18"/>
          <w:szCs w:val="18"/>
          <w:color w:val="auto"/>
        </w:rPr>
        <w:t>holders of record of our Class B common stock will vote together as a single class on all matters submitted to a vote of our stockholders, with each share of common stock entitling the holder to one vote except as required by law.</w:t>
      </w:r>
    </w:p>
    <w:p>
      <w:pPr>
        <w:spacing w:after="0" w:line="17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8"/>
          <w:szCs w:val="18"/>
          <w:color w:val="auto"/>
        </w:rPr>
        <w:t>Our sponsor and certain of our independent director</w:t>
      </w:r>
    </w:p>
    <w:p>
      <w:pPr>
        <w:ind w:left="3720" w:right="579"/>
        <w:spacing w:after="0" w:line="235" w:lineRule="auto"/>
        <w:rPr>
          <w:sz w:val="20"/>
          <w:szCs w:val="20"/>
          <w:color w:val="auto"/>
        </w:rPr>
      </w:pPr>
      <w:r>
        <w:rPr>
          <w:rFonts w:ascii="Arial" w:cs="Arial" w:eastAsia="Arial" w:hAnsi="Arial"/>
          <w:sz w:val="18"/>
          <w:szCs w:val="18"/>
          <w:color w:val="auto"/>
        </w:rPr>
        <w:t>nominees have severally committed, pursuant to a written agreement,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 Our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 A portion of the purchase price of the private placement warrants will be added to the proceeds from this offering to be held in the trust account such that at the time of closing of this offering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will be non-redeemable (except as described above under “Redemption of warrants when the price per share of Class A common stock equals or exceeds $10.00)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this offering.</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Transfer restrictions on private</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placement warrants</w:t>
      </w:r>
      <w:r>
        <w:rPr>
          <w:sz w:val="20"/>
          <w:szCs w:val="20"/>
          <w:color w:val="auto"/>
        </w:rPr>
        <w:tab/>
      </w:r>
      <w:r>
        <w:rPr>
          <w:rFonts w:ascii="Arial" w:cs="Arial" w:eastAsia="Arial" w:hAnsi="Arial"/>
          <w:sz w:val="18"/>
          <w:szCs w:val="18"/>
          <w:color w:val="auto"/>
        </w:rPr>
        <w:t>The private placement warrants (including the Class A</w:t>
      </w:r>
    </w:p>
    <w:p>
      <w:pPr>
        <w:spacing w:after="0" w:line="1"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common stock issuable upon exercise of the private placement warrants) will not be transferable, assignable or salable until 30 days after the completion of our initial business combination, except as described herein under “Principal Stockholders — Transfers of Founder Shares, Private Placement Warrants and Forward Purchase Shares”.</w:t>
      </w:r>
    </w:p>
    <w:p>
      <w:pPr>
        <w:spacing w:after="0" w:line="17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Proceeds to be held in trust account</w:t>
      </w:r>
      <w:r>
        <w:rPr>
          <w:sz w:val="20"/>
          <w:szCs w:val="20"/>
          <w:color w:val="auto"/>
        </w:rPr>
        <w:tab/>
      </w:r>
      <w:r>
        <w:rPr>
          <w:rFonts w:ascii="Arial" w:cs="Arial" w:eastAsia="Arial" w:hAnsi="Arial"/>
          <w:sz w:val="18"/>
          <w:szCs w:val="18"/>
          <w:color w:val="auto"/>
        </w:rPr>
        <w:t>Nasdaq rules provide that at least 90% of the gross</w:t>
      </w:r>
    </w:p>
    <w:p>
      <w:pPr>
        <w:ind w:left="37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3720"/>
        <w:spacing w:after="0" w:line="235" w:lineRule="auto"/>
        <w:rPr>
          <w:sz w:val="20"/>
          <w:szCs w:val="20"/>
          <w:color w:val="auto"/>
        </w:rPr>
      </w:pPr>
      <w:r>
        <w:rPr>
          <w:rFonts w:ascii="Arial" w:cs="Arial" w:eastAsia="Arial" w:hAnsi="Arial"/>
          <w:sz w:val="18"/>
          <w:szCs w:val="18"/>
          <w:color w:val="auto"/>
        </w:rPr>
        <w:t>placement warrants be deposited in a trust account. Of the</w:t>
      </w:r>
    </w:p>
    <w:p>
      <w:pPr>
        <w:ind w:left="3720"/>
        <w:spacing w:after="0" w:line="235" w:lineRule="auto"/>
        <w:rPr>
          <w:sz w:val="20"/>
          <w:szCs w:val="20"/>
          <w:color w:val="auto"/>
        </w:rPr>
      </w:pPr>
      <w:r>
        <w:rPr>
          <w:rFonts w:ascii="Arial" w:cs="Arial" w:eastAsia="Arial" w:hAnsi="Arial"/>
          <w:sz w:val="18"/>
          <w:szCs w:val="18"/>
          <w:color w:val="auto"/>
        </w:rPr>
        <w:t>proceeds we will receive from this offering and the sale of</w:t>
      </w:r>
    </w:p>
    <w:p>
      <w:pPr>
        <w:ind w:left="3720"/>
        <w:spacing w:after="0" w:line="235" w:lineRule="auto"/>
        <w:rPr>
          <w:sz w:val="20"/>
          <w:szCs w:val="20"/>
          <w:color w:val="auto"/>
        </w:rPr>
      </w:pPr>
      <w:r>
        <w:rPr>
          <w:rFonts w:ascii="Arial" w:cs="Arial" w:eastAsia="Arial" w:hAnsi="Arial"/>
          <w:sz w:val="18"/>
          <w:szCs w:val="18"/>
          <w:color w:val="auto"/>
        </w:rPr>
        <w:t>the private placement warrants described in this</w:t>
      </w:r>
    </w:p>
    <w:p>
      <w:pPr>
        <w:ind w:left="3720"/>
        <w:spacing w:after="0" w:line="235" w:lineRule="auto"/>
        <w:rPr>
          <w:sz w:val="20"/>
          <w:szCs w:val="20"/>
          <w:color w:val="auto"/>
        </w:rPr>
      </w:pPr>
      <w:r>
        <w:rPr>
          <w:rFonts w:ascii="Arial" w:cs="Arial" w:eastAsia="Arial" w:hAnsi="Arial"/>
          <w:sz w:val="18"/>
          <w:szCs w:val="18"/>
          <w:color w:val="auto"/>
        </w:rPr>
        <w:t>prospectus, $350.0 million, or $402.5 million if the</w:t>
      </w:r>
    </w:p>
    <w:p>
      <w:pPr>
        <w:ind w:left="37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3720"/>
        <w:spacing w:after="0" w:line="235" w:lineRule="auto"/>
        <w:rPr>
          <w:sz w:val="20"/>
          <w:szCs w:val="20"/>
          <w:color w:val="auto"/>
        </w:rPr>
      </w:pPr>
      <w:r>
        <w:rPr>
          <w:rFonts w:ascii="Arial" w:cs="Arial" w:eastAsia="Arial" w:hAnsi="Arial"/>
          <w:sz w:val="18"/>
          <w:szCs w:val="18"/>
          <w:color w:val="auto"/>
        </w:rPr>
        <w:t>($10.00 per unit in either case), will be deposited into a</w:t>
      </w:r>
    </w:p>
    <w:p>
      <w:pPr>
        <w:ind w:left="3720"/>
        <w:spacing w:after="0" w:line="235" w:lineRule="auto"/>
        <w:rPr>
          <w:sz w:val="20"/>
          <w:szCs w:val="20"/>
          <w:color w:val="auto"/>
        </w:rPr>
      </w:pPr>
      <w:r>
        <w:rPr>
          <w:rFonts w:ascii="Arial" w:cs="Arial" w:eastAsia="Arial" w:hAnsi="Arial"/>
          <w:sz w:val="18"/>
          <w:szCs w:val="18"/>
          <w:color w:val="auto"/>
        </w:rPr>
        <w:t>segregated trust account located in the United States at JP</w:t>
      </w:r>
    </w:p>
    <w:p>
      <w:pPr>
        <w:ind w:left="3720"/>
        <w:spacing w:after="0" w:line="235" w:lineRule="auto"/>
        <w:rPr>
          <w:sz w:val="20"/>
          <w:szCs w:val="20"/>
          <w:color w:val="auto"/>
        </w:rPr>
      </w:pPr>
      <w:r>
        <w:rPr>
          <w:rFonts w:ascii="Arial" w:cs="Arial" w:eastAsia="Arial" w:hAnsi="Arial"/>
          <w:sz w:val="18"/>
          <w:szCs w:val="18"/>
          <w:color w:val="auto"/>
        </w:rPr>
        <w:t>Morgan Chase Bank, N.A. with Continental Stock</w:t>
      </w:r>
    </w:p>
    <w:p>
      <w:pPr>
        <w:ind w:left="3720"/>
        <w:spacing w:after="0" w:line="235" w:lineRule="auto"/>
        <w:rPr>
          <w:sz w:val="20"/>
          <w:szCs w:val="20"/>
          <w:color w:val="auto"/>
        </w:rPr>
      </w:pPr>
      <w:r>
        <w:rPr>
          <w:rFonts w:ascii="Arial" w:cs="Arial" w:eastAsia="Arial" w:hAnsi="Arial"/>
          <w:sz w:val="18"/>
          <w:szCs w:val="18"/>
          <w:color w:val="auto"/>
        </w:rPr>
        <w:t>Transfer &amp; Trust Company acting as trustee, after</w:t>
      </w:r>
    </w:p>
    <w:p>
      <w:pPr>
        <w:ind w:left="3720"/>
        <w:spacing w:after="0" w:line="234" w:lineRule="auto"/>
        <w:rPr>
          <w:sz w:val="20"/>
          <w:szCs w:val="20"/>
          <w:color w:val="auto"/>
        </w:rPr>
      </w:pPr>
      <w:r>
        <w:rPr>
          <w:rFonts w:ascii="Arial" w:cs="Arial" w:eastAsia="Arial" w:hAnsi="Arial"/>
          <w:sz w:val="18"/>
          <w:szCs w:val="18"/>
          <w:color w:val="auto"/>
        </w:rPr>
        <w:t>deducting $7,000,000 in underwriting discounts and</w:t>
      </w:r>
    </w:p>
    <w:p>
      <w:pPr>
        <w:ind w:left="3720"/>
        <w:spacing w:after="0" w:line="235" w:lineRule="auto"/>
        <w:rPr>
          <w:sz w:val="20"/>
          <w:szCs w:val="20"/>
          <w:color w:val="auto"/>
        </w:rPr>
      </w:pPr>
      <w:r>
        <w:rPr>
          <w:rFonts w:ascii="Arial" w:cs="Arial" w:eastAsia="Arial" w:hAnsi="Arial"/>
          <w:sz w:val="18"/>
          <w:szCs w:val="18"/>
          <w:color w:val="auto"/>
        </w:rPr>
        <w:t>commissions payable upon the closing of this offering (or</w:t>
      </w:r>
    </w:p>
    <w:p>
      <w:pPr>
        <w:ind w:left="3720"/>
        <w:spacing w:after="0" w:line="235" w:lineRule="auto"/>
        <w:rPr>
          <w:sz w:val="20"/>
          <w:szCs w:val="20"/>
          <w:color w:val="auto"/>
        </w:rPr>
      </w:pPr>
      <w:r>
        <w:rPr>
          <w:rFonts w:ascii="Arial" w:cs="Arial" w:eastAsia="Arial" w:hAnsi="Arial"/>
          <w:sz w:val="18"/>
          <w:szCs w:val="18"/>
          <w:color w:val="auto"/>
        </w:rPr>
        <w:t>$8,050,000 if the underwriters’ over-allotment option is</w:t>
      </w:r>
    </w:p>
    <w:p>
      <w:pPr>
        <w:ind w:left="3720"/>
        <w:spacing w:after="0" w:line="235" w:lineRule="auto"/>
        <w:rPr>
          <w:sz w:val="20"/>
          <w:szCs w:val="20"/>
          <w:color w:val="auto"/>
        </w:rPr>
      </w:pPr>
      <w:r>
        <w:rPr>
          <w:rFonts w:ascii="Arial" w:cs="Arial" w:eastAsia="Arial" w:hAnsi="Arial"/>
          <w:sz w:val="18"/>
          <w:szCs w:val="18"/>
          <w:color w:val="auto"/>
        </w:rPr>
        <w:t>exercised in full) and an aggregate of $2.0 million to pay</w:t>
      </w:r>
    </w:p>
    <w:p>
      <w:pPr>
        <w:ind w:left="3720"/>
        <w:spacing w:after="0" w:line="235" w:lineRule="auto"/>
        <w:rPr>
          <w:sz w:val="20"/>
          <w:szCs w:val="20"/>
          <w:color w:val="auto"/>
        </w:rPr>
      </w:pPr>
      <w:r>
        <w:rPr>
          <w:rFonts w:ascii="Arial" w:cs="Arial" w:eastAsia="Arial" w:hAnsi="Arial"/>
          <w:sz w:val="18"/>
          <w:szCs w:val="18"/>
          <w:color w:val="auto"/>
        </w:rPr>
        <w:t>fees and expenses in connection with the closing of this</w:t>
      </w:r>
    </w:p>
    <w:p>
      <w:pPr>
        <w:ind w:left="3720"/>
        <w:spacing w:after="0" w:line="234" w:lineRule="auto"/>
        <w:rPr>
          <w:sz w:val="20"/>
          <w:szCs w:val="20"/>
          <w:color w:val="auto"/>
        </w:rPr>
      </w:pPr>
      <w:r>
        <w:rPr>
          <w:rFonts w:ascii="Arial" w:cs="Arial" w:eastAsia="Arial" w:hAnsi="Arial"/>
          <w:sz w:val="18"/>
          <w:szCs w:val="18"/>
          <w:color w:val="auto"/>
        </w:rPr>
        <w:t>offering and for working capital following the closing of this</w:t>
      </w:r>
    </w:p>
    <w:p>
      <w:pPr>
        <w:ind w:left="3720"/>
        <w:spacing w:after="0" w:line="235" w:lineRule="auto"/>
        <w:rPr>
          <w:sz w:val="20"/>
          <w:szCs w:val="20"/>
          <w:color w:val="auto"/>
        </w:rPr>
      </w:pPr>
      <w:r>
        <w:rPr>
          <w:rFonts w:ascii="Arial" w:cs="Arial" w:eastAsia="Arial" w:hAnsi="Arial"/>
          <w:sz w:val="18"/>
          <w:szCs w:val="18"/>
          <w:color w:val="auto"/>
        </w:rPr>
        <w:t>offering. The proceeds to be placed in the trust account</w:t>
      </w:r>
    </w:p>
    <w:p>
      <w:pPr>
        <w:ind w:left="3720"/>
        <w:spacing w:after="0" w:line="235" w:lineRule="auto"/>
        <w:rPr>
          <w:sz w:val="20"/>
          <w:szCs w:val="20"/>
          <w:color w:val="auto"/>
        </w:rPr>
      </w:pPr>
      <w:r>
        <w:rPr>
          <w:rFonts w:ascii="Arial" w:cs="Arial" w:eastAsia="Arial" w:hAnsi="Arial"/>
          <w:sz w:val="18"/>
          <w:szCs w:val="18"/>
          <w:color w:val="auto"/>
        </w:rPr>
        <w:t>include $12,250,000 (or up to $14,087,500 if the</w:t>
      </w:r>
    </w:p>
    <w:p>
      <w:pPr>
        <w:ind w:left="3720"/>
        <w:spacing w:after="0" w:line="235" w:lineRule="auto"/>
        <w:rPr>
          <w:sz w:val="20"/>
          <w:szCs w:val="20"/>
          <w:color w:val="auto"/>
        </w:rPr>
      </w:pPr>
      <w:r>
        <w:rPr>
          <w:rFonts w:ascii="Arial" w:cs="Arial" w:eastAsia="Arial" w:hAnsi="Arial"/>
          <w:sz w:val="18"/>
          <w:szCs w:val="18"/>
          <w:color w:val="auto"/>
        </w:rPr>
        <w:t>underwriters’ over-allotment option is exercised in full) in</w:t>
      </w:r>
    </w:p>
    <w:p>
      <w:pPr>
        <w:ind w:left="3720"/>
        <w:spacing w:after="0"/>
        <w:rPr>
          <w:sz w:val="20"/>
          <w:szCs w:val="20"/>
          <w:color w:val="auto"/>
        </w:rPr>
      </w:pPr>
      <w:r>
        <w:rPr>
          <w:rFonts w:ascii="Arial" w:cs="Arial" w:eastAsia="Arial" w:hAnsi="Arial"/>
          <w:sz w:val="18"/>
          <w:szCs w:val="18"/>
          <w:color w:val="auto"/>
        </w:rPr>
        <w:t>deferred underwriting commissions.</w:t>
      </w:r>
    </w:p>
    <w:p>
      <w:pPr>
        <w:sectPr>
          <w:pgSz w:w="11900" w:h="16838" w:orient="portrait"/>
          <w:cols w:equalWidth="0" w:num="1">
            <w:col w:w="9019"/>
          </w:cols>
          <w:pgMar w:left="1440" w:top="512" w:right="1440" w:bottom="225"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225" w:gutter="0" w:footer="0" w:header="0"/>
          <w:type w:val="continuous"/>
        </w:sectPr>
      </w:pPr>
    </w:p>
    <w:bookmarkStart w:id="24" w:name="page25"/>
    <w:bookmarkEnd w:id="24"/>
    <w:p>
      <w:pPr>
        <w:ind w:left="4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warrants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$350,000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177" w:lineRule="exact"/>
        <w:rPr>
          <w:rFonts w:ascii="Arial" w:cs="Arial" w:eastAsia="Arial" w:hAnsi="Arial"/>
          <w:sz w:val="18"/>
          <w:szCs w:val="18"/>
          <w:color w:val="auto"/>
        </w:rPr>
      </w:pPr>
    </w:p>
    <w:p>
      <w:pPr>
        <w:ind w:left="4440" w:right="579" w:hanging="211"/>
        <w:spacing w:after="0" w:line="236"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warrants, at a price of $1.50 per warrant, at the option of the lender.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-3327400</wp:posOffset>
            </wp:positionV>
            <wp:extent cx="5147310" cy="79571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7957185"/>
                    </a:xfrm>
                    <a:prstGeom prst="rect">
                      <a:avLst/>
                    </a:prstGeom>
                    <a:noFill/>
                  </pic:spPr>
                </pic:pic>
              </a:graphicData>
            </a:graphic>
          </wp:anchor>
        </w:drawing>
      </w:r>
    </w:p>
    <w:p>
      <w:pPr>
        <w:spacing w:after="0" w:line="16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jc w:val="right"/>
        <w:ind w:left="540"/>
        <w:spacing w:after="0" w:line="246"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-5386705</wp:posOffset>
            </wp:positionV>
            <wp:extent cx="5147310" cy="8471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7314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731456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20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08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208770"/>
                    </a:xfrm>
                    <a:prstGeom prst="rect">
                      <a:avLst/>
                    </a:prstGeom>
                    <a:noFill/>
                  </pic:spPr>
                </pic:pic>
              </a:graphicData>
            </a:graphic>
          </wp:anchor>
        </w:drawing>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599"/>
        <w:spacing w:after="0" w:line="235"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85"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If we provide our public stockholders with the opportunity to</w:t>
      </w:r>
    </w:p>
    <w:p>
      <w:pPr>
        <w:ind w:left="3720"/>
        <w:spacing w:after="0" w:line="234" w:lineRule="auto"/>
        <w:rPr>
          <w:sz w:val="20"/>
          <w:szCs w:val="20"/>
          <w:color w:val="auto"/>
        </w:rPr>
      </w:pPr>
      <w:r>
        <w:rPr>
          <w:rFonts w:ascii="Arial" w:cs="Arial" w:eastAsia="Arial" w:hAnsi="Arial"/>
          <w:sz w:val="18"/>
          <w:szCs w:val="18"/>
          <w:color w:val="auto"/>
        </w:rPr>
        <w:t>redeem their public shares in connection with a stockholder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meeting, we will:</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conduct the redemptions in conjunction with a proxy</w:t>
      </w:r>
    </w:p>
    <w:p>
      <w:pPr>
        <w:ind w:left="4160"/>
        <w:spacing w:after="0" w:line="234" w:lineRule="auto"/>
        <w:rPr>
          <w:sz w:val="20"/>
          <w:szCs w:val="20"/>
          <w:color w:val="auto"/>
        </w:rPr>
      </w:pPr>
      <w:r>
        <w:rPr>
          <w:rFonts w:ascii="Arial" w:cs="Arial" w:eastAsia="Arial" w:hAnsi="Arial"/>
          <w:sz w:val="18"/>
          <w:szCs w:val="18"/>
          <w:color w:val="auto"/>
        </w:rPr>
        <w:t>solicitation pursuant to Regulation 14A of the</w:t>
      </w:r>
    </w:p>
    <w:p>
      <w:pPr>
        <w:ind w:left="4160"/>
        <w:spacing w:after="0" w:line="235" w:lineRule="auto"/>
        <w:rPr>
          <w:sz w:val="20"/>
          <w:szCs w:val="20"/>
          <w:color w:val="auto"/>
        </w:rPr>
      </w:pPr>
      <w:r>
        <w:rPr>
          <w:rFonts w:ascii="Arial" w:cs="Arial" w:eastAsia="Arial" w:hAnsi="Arial"/>
          <w:sz w:val="18"/>
          <w:szCs w:val="18"/>
          <w:color w:val="auto"/>
        </w:rPr>
        <w:t>Exchange Act, which regulates the solicitation of</w:t>
      </w:r>
    </w:p>
    <w:p>
      <w:pPr>
        <w:ind w:left="4160"/>
        <w:spacing w:after="0" w:line="235" w:lineRule="auto"/>
        <w:rPr>
          <w:sz w:val="20"/>
          <w:szCs w:val="20"/>
          <w:color w:val="auto"/>
        </w:rPr>
      </w:pPr>
      <w:r>
        <w:rPr>
          <w:rFonts w:ascii="Arial" w:cs="Arial" w:eastAsia="Arial" w:hAnsi="Arial"/>
          <w:sz w:val="18"/>
          <w:szCs w:val="18"/>
          <w:color w:val="auto"/>
        </w:rPr>
        <w:t>proxies, and not pursuant to the tender offer rules,</w:t>
      </w:r>
    </w:p>
    <w:p>
      <w:pPr>
        <w:ind w:left="416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9" w:name="page30"/>
    <w:bookmarkEnd w:id="29"/>
    <w:p>
      <w:pPr>
        <w:ind w:left="3720" w:right="67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78" w:lineRule="exact"/>
        <w:rPr>
          <w:sz w:val="20"/>
          <w:szCs w:val="20"/>
          <w:color w:val="auto"/>
        </w:rPr>
      </w:pPr>
    </w:p>
    <w:p>
      <w:pPr>
        <w:ind w:left="3720" w:right="719"/>
        <w:spacing w:after="0"/>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177"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w:t>
      </w:r>
    </w:p>
    <w:p>
      <w:pPr>
        <w:sectPr>
          <w:pgSz w:w="11900" w:h="16838" w:orient="portrait"/>
          <w:cols w:equalWidth="0" w:num="1">
            <w:col w:w="9019"/>
          </w:cols>
          <w:pgMar w:left="1440" w:top="517" w:right="1440" w:bottom="1076"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076"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579"/>
        <w:spacing w:after="0" w:line="236" w:lineRule="auto"/>
        <w:rPr>
          <w:sz w:val="20"/>
          <w:szCs w:val="20"/>
          <w:color w:val="auto"/>
        </w:rPr>
      </w:pPr>
      <w:r>
        <w:rPr>
          <w:rFonts w:ascii="Arial" w:cs="Arial" w:eastAsia="Arial" w:hAnsi="Arial"/>
          <w:sz w:val="18"/>
          <w:szCs w:val="18"/>
          <w:color w:val="auto"/>
        </w:rPr>
        <w:t>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-1918970</wp:posOffset>
            </wp:positionV>
            <wp:extent cx="514731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731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384" w:lineRule="exact"/>
        <w:rPr>
          <w:sz w:val="20"/>
          <w:szCs w:val="20"/>
          <w:color w:val="auto"/>
        </w:rPr>
      </w:pPr>
    </w:p>
    <w:p>
      <w:pPr>
        <w:ind w:right="619"/>
        <w:spacing w:after="0" w:line="250"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w:t>
      </w:r>
    </w:p>
    <w:p>
      <w:pPr>
        <w:sectPr>
          <w:pgSz w:w="11900" w:h="16838" w:orient="portrait"/>
          <w:cols w:equalWidth="0" w:num="2">
            <w:col w:w="4020" w:space="280"/>
            <w:col w:w="4719"/>
          </w:cols>
          <w:pgMar w:left="1440" w:top="517" w:right="1440" w:bottom="0" w:gutter="0" w:footer="0" w:header="0"/>
        </w:sectPr>
      </w:pPr>
    </w:p>
    <w:bookmarkStart w:id="31" w:name="page32"/>
    <w:bookmarkEnd w:id="31"/>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2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121920"/>
                    </a:xfrm>
                    <a:prstGeom prst="rect">
                      <a:avLst/>
                    </a:prstGeom>
                    <a:noFill/>
                  </pic:spPr>
                </pic:pic>
              </a:graphicData>
            </a:graphic>
          </wp:anchor>
        </w:drawing>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right="599"/>
        <w:spacing w:after="0" w:line="237" w:lineRule="auto"/>
        <w:rPr>
          <w:sz w:val="20"/>
          <w:szCs w:val="20"/>
          <w:color w:val="auto"/>
        </w:rPr>
      </w:pPr>
      <w:r>
        <w:rPr>
          <w:rFonts w:ascii="Arial" w:cs="Arial" w:eastAsia="Arial" w:hAnsi="Arial"/>
          <w:sz w:val="18"/>
          <w:szCs w:val="18"/>
          <w:color w:val="auto"/>
        </w:rPr>
        <w:t>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-1147445</wp:posOffset>
            </wp:positionV>
            <wp:extent cx="5147310" cy="9474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947483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9" w:lineRule="exact"/>
        <w:rPr>
          <w:sz w:val="20"/>
          <w:szCs w:val="20"/>
          <w:color w:val="auto"/>
        </w:rPr>
      </w:pPr>
    </w:p>
    <w:p>
      <w:pPr>
        <w:ind w:right="599" w:firstLine="10"/>
        <w:spacing w:after="0" w:line="236"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9"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181"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w:t>
      </w:r>
    </w:p>
    <w:p>
      <w:pPr>
        <w:spacing w:after="0" w:line="200" w:lineRule="exact"/>
        <w:rPr>
          <w:sz w:val="20"/>
          <w:szCs w:val="20"/>
          <w:color w:val="auto"/>
        </w:rPr>
      </w:pPr>
    </w:p>
    <w:p>
      <w:pPr>
        <w:sectPr>
          <w:pgSz w:w="11900" w:h="16838" w:orient="portrait"/>
          <w:cols w:equalWidth="0" w:num="2">
            <w:col w:w="3200" w:space="520"/>
            <w:col w:w="5299"/>
          </w:cols>
          <w:pgMar w:left="1440" w:top="517" w:right="1440" w:bottom="846"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846" w:gutter="0" w:footer="0" w:header="0"/>
          <w:type w:val="continuous"/>
        </w:sectPr>
      </w:pPr>
    </w:p>
    <w:bookmarkStart w:id="33" w:name="page34"/>
    <w:bookmarkEnd w:id="33"/>
    <w:p>
      <w:pPr>
        <w:ind w:left="3720" w:right="6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94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8694420"/>
                    </a:xfrm>
                    <a:prstGeom prst="rect">
                      <a:avLst/>
                    </a:prstGeom>
                    <a:noFill/>
                  </pic:spPr>
                </pic:pic>
              </a:graphicData>
            </a:graphic>
          </wp:anchor>
        </w:drawing>
        <w:t>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above under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stockholder approval of such proposal, and in connection therewith, provide our public stockholders with the redemption rights described above upon stockholder approval of such amendment.</w:t>
      </w:r>
    </w:p>
    <w:p>
      <w:pPr>
        <w:spacing w:after="0" w:line="18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8"/>
          <w:szCs w:val="18"/>
          <w:color w:val="auto"/>
        </w:rPr>
        <w:t>There will be no finder’s fees, reimbursement, consulting</w:t>
      </w:r>
    </w:p>
    <w:p>
      <w:pPr>
        <w:ind w:left="3720" w:right="559"/>
        <w:spacing w:after="0" w:line="236" w:lineRule="auto"/>
        <w:rPr>
          <w:sz w:val="20"/>
          <w:szCs w:val="20"/>
          <w:color w:val="auto"/>
        </w:rPr>
      </w:pPr>
      <w:r>
        <w:rPr>
          <w:rFonts w:ascii="Arial" w:cs="Arial" w:eastAsia="Arial" w:hAnsi="Arial"/>
          <w:sz w:val="18"/>
          <w:szCs w:val="18"/>
          <w:color w:val="auto"/>
        </w:rPr>
        <w:t>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and, if made prior to our initial business combination will be made from funds held outside the trust account.</w:t>
      </w:r>
    </w:p>
    <w:p>
      <w:pPr>
        <w:spacing w:after="0" w:line="17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tab/>
        <w:t>Repayment of up to an aggregate of $300,000 in</w:t>
      </w:r>
    </w:p>
    <w:p>
      <w:pPr>
        <w:ind w:left="4160"/>
        <w:spacing w:after="0" w:line="234" w:lineRule="auto"/>
        <w:rPr>
          <w:sz w:val="20"/>
          <w:szCs w:val="20"/>
          <w:color w:val="auto"/>
        </w:rPr>
      </w:pPr>
      <w:r>
        <w:rPr>
          <w:rFonts w:ascii="Arial" w:cs="Arial" w:eastAsia="Arial" w:hAnsi="Arial"/>
          <w:sz w:val="18"/>
          <w:szCs w:val="18"/>
          <w:color w:val="auto"/>
        </w:rPr>
        <w:t>loans made to us by our sponsor to cover offering-</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related and organizational expenses;</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Reimbursement for any out-of-pocket expenses</w:t>
      </w:r>
    </w:p>
    <w:p>
      <w:pPr>
        <w:ind w:left="4160"/>
        <w:spacing w:after="0" w:line="234" w:lineRule="auto"/>
        <w:rPr>
          <w:sz w:val="20"/>
          <w:szCs w:val="20"/>
          <w:color w:val="auto"/>
        </w:rPr>
      </w:pPr>
      <w:r>
        <w:rPr>
          <w:rFonts w:ascii="Arial" w:cs="Arial" w:eastAsia="Arial" w:hAnsi="Arial"/>
          <w:sz w:val="18"/>
          <w:szCs w:val="18"/>
          <w:color w:val="auto"/>
        </w:rPr>
        <w:t>related to identifying, investigating, negotiating and</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completing an initial business combination; and</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Repayment of loans which may be made by our</w:t>
      </w:r>
    </w:p>
    <w:p>
      <w:pPr>
        <w:ind w:left="4160"/>
        <w:spacing w:after="0" w:line="234" w:lineRule="auto"/>
        <w:rPr>
          <w:sz w:val="20"/>
          <w:szCs w:val="20"/>
          <w:color w:val="auto"/>
        </w:rPr>
      </w:pPr>
      <w:r>
        <w:rPr>
          <w:rFonts w:ascii="Arial" w:cs="Arial" w:eastAsia="Arial" w:hAnsi="Arial"/>
          <w:sz w:val="18"/>
          <w:szCs w:val="18"/>
          <w:color w:val="auto"/>
        </w:rPr>
        <w:t>sponsor or an affiliate of our sponsor or certain of our</w:t>
      </w:r>
    </w:p>
    <w:p>
      <w:pPr>
        <w:ind w:left="4160"/>
        <w:spacing w:after="0" w:line="235" w:lineRule="auto"/>
        <w:rPr>
          <w:sz w:val="20"/>
          <w:szCs w:val="20"/>
          <w:color w:val="auto"/>
        </w:rPr>
      </w:pPr>
      <w:r>
        <w:rPr>
          <w:rFonts w:ascii="Arial" w:cs="Arial" w:eastAsia="Arial" w:hAnsi="Arial"/>
          <w:sz w:val="18"/>
          <w:szCs w:val="18"/>
          <w:color w:val="auto"/>
        </w:rPr>
        <w:t>officers and directors to finance transaction costs in</w:t>
      </w:r>
    </w:p>
    <w:p>
      <w:pPr>
        <w:ind w:left="4160"/>
        <w:spacing w:after="0" w:line="235" w:lineRule="auto"/>
        <w:rPr>
          <w:sz w:val="20"/>
          <w:szCs w:val="20"/>
          <w:color w:val="auto"/>
        </w:rPr>
      </w:pPr>
      <w:r>
        <w:rPr>
          <w:rFonts w:ascii="Arial" w:cs="Arial" w:eastAsia="Arial" w:hAnsi="Arial"/>
          <w:sz w:val="18"/>
          <w:szCs w:val="18"/>
          <w:color w:val="auto"/>
        </w:rPr>
        <w:t>connection with an intended initial business</w:t>
      </w:r>
    </w:p>
    <w:p>
      <w:pPr>
        <w:ind w:left="4160"/>
        <w:spacing w:after="0" w:line="235" w:lineRule="auto"/>
        <w:rPr>
          <w:sz w:val="20"/>
          <w:szCs w:val="20"/>
          <w:color w:val="auto"/>
        </w:rPr>
      </w:pPr>
      <w:r>
        <w:rPr>
          <w:rFonts w:ascii="Arial" w:cs="Arial" w:eastAsia="Arial" w:hAnsi="Arial"/>
          <w:sz w:val="18"/>
          <w:szCs w:val="18"/>
          <w:color w:val="auto"/>
        </w:rPr>
        <w:t>combination. Up to $1,500,000 of such loans may be</w:t>
      </w:r>
    </w:p>
    <w:p>
      <w:pPr>
        <w:ind w:left="4160"/>
        <w:spacing w:after="0" w:line="235" w:lineRule="auto"/>
        <w:rPr>
          <w:sz w:val="20"/>
          <w:szCs w:val="20"/>
          <w:color w:val="auto"/>
        </w:rPr>
      </w:pPr>
      <w:r>
        <w:rPr>
          <w:rFonts w:ascii="Arial" w:cs="Arial" w:eastAsia="Arial" w:hAnsi="Arial"/>
          <w:sz w:val="18"/>
          <w:szCs w:val="18"/>
          <w:color w:val="auto"/>
        </w:rPr>
        <w:t>convertible into warrants of the post-business</w:t>
      </w:r>
    </w:p>
    <w:p>
      <w:pPr>
        <w:ind w:left="4160"/>
        <w:spacing w:after="0" w:line="234" w:lineRule="auto"/>
        <w:rPr>
          <w:sz w:val="20"/>
          <w:szCs w:val="20"/>
          <w:color w:val="auto"/>
        </w:rPr>
      </w:pPr>
      <w:r>
        <w:rPr>
          <w:rFonts w:ascii="Arial" w:cs="Arial" w:eastAsia="Arial" w:hAnsi="Arial"/>
          <w:sz w:val="18"/>
          <w:szCs w:val="18"/>
          <w:color w:val="auto"/>
        </w:rPr>
        <w:t>combination entity at a price of $1.50 per warrant at</w:t>
      </w:r>
    </w:p>
    <w:p>
      <w:pPr>
        <w:ind w:left="4160"/>
        <w:spacing w:after="0" w:line="235" w:lineRule="auto"/>
        <w:rPr>
          <w:sz w:val="20"/>
          <w:szCs w:val="20"/>
          <w:color w:val="auto"/>
        </w:rPr>
      </w:pPr>
      <w:r>
        <w:rPr>
          <w:rFonts w:ascii="Arial" w:cs="Arial" w:eastAsia="Arial" w:hAnsi="Arial"/>
          <w:sz w:val="18"/>
          <w:szCs w:val="18"/>
          <w:color w:val="auto"/>
        </w:rPr>
        <w:t>the option of the lender. The warrants would be</w:t>
      </w:r>
    </w:p>
    <w:p>
      <w:pPr>
        <w:ind w:left="4160"/>
        <w:spacing w:after="0" w:line="235" w:lineRule="auto"/>
        <w:rPr>
          <w:sz w:val="20"/>
          <w:szCs w:val="20"/>
          <w:color w:val="auto"/>
        </w:rPr>
      </w:pPr>
      <w:r>
        <w:rPr>
          <w:rFonts w:ascii="Arial" w:cs="Arial" w:eastAsia="Arial" w:hAnsi="Arial"/>
          <w:sz w:val="18"/>
          <w:szCs w:val="18"/>
          <w:color w:val="auto"/>
        </w:rPr>
        <w:t>identical to the private placement warrants. Except for</w:t>
      </w:r>
    </w:p>
    <w:p>
      <w:pPr>
        <w:ind w:left="4160"/>
        <w:spacing w:after="0" w:line="235" w:lineRule="auto"/>
        <w:rPr>
          <w:sz w:val="20"/>
          <w:szCs w:val="20"/>
          <w:color w:val="auto"/>
        </w:rPr>
      </w:pPr>
      <w:r>
        <w:rPr>
          <w:rFonts w:ascii="Arial" w:cs="Arial" w:eastAsia="Arial" w:hAnsi="Arial"/>
          <w:sz w:val="18"/>
          <w:szCs w:val="18"/>
          <w:color w:val="auto"/>
        </w:rPr>
        <w:t>the foregoing, the terms of such loans, if any, have</w:t>
      </w:r>
    </w:p>
    <w:p>
      <w:pPr>
        <w:ind w:left="4160"/>
        <w:spacing w:after="0" w:line="235" w:lineRule="auto"/>
        <w:rPr>
          <w:sz w:val="20"/>
          <w:szCs w:val="20"/>
          <w:color w:val="auto"/>
        </w:rPr>
      </w:pPr>
      <w:r>
        <w:rPr>
          <w:rFonts w:ascii="Arial" w:cs="Arial" w:eastAsia="Arial" w:hAnsi="Arial"/>
          <w:sz w:val="18"/>
          <w:szCs w:val="18"/>
          <w:color w:val="auto"/>
        </w:rPr>
        <w:t>not been determined and no written agreements exist</w:t>
      </w:r>
    </w:p>
    <w:p>
      <w:pPr>
        <w:ind w:left="4160"/>
        <w:spacing w:after="0"/>
        <w:rPr>
          <w:sz w:val="20"/>
          <w:szCs w:val="20"/>
          <w:color w:val="auto"/>
        </w:rPr>
      </w:pPr>
      <w:r>
        <w:rPr>
          <w:rFonts w:ascii="Arial" w:cs="Arial" w:eastAsia="Arial" w:hAnsi="Arial"/>
          <w:sz w:val="18"/>
          <w:szCs w:val="18"/>
          <w:color w:val="auto"/>
        </w:rPr>
        <w:t>with respect to such loans.</w:t>
      </w:r>
    </w:p>
    <w:p>
      <w:pPr>
        <w:spacing w:after="0" w:line="180"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Audit Committee</w:t>
      </w:r>
      <w:r>
        <w:rPr>
          <w:sz w:val="20"/>
          <w:szCs w:val="20"/>
          <w:color w:val="auto"/>
        </w:rPr>
        <w:tab/>
      </w:r>
      <w:r>
        <w:rPr>
          <w:rFonts w:ascii="Arial" w:cs="Arial" w:eastAsia="Arial" w:hAnsi="Arial"/>
          <w:sz w:val="18"/>
          <w:szCs w:val="18"/>
          <w:color w:val="auto"/>
        </w:rPr>
        <w:t>We will establish and maintain an audit committee. Among</w:t>
      </w:r>
    </w:p>
    <w:p>
      <w:pPr>
        <w:ind w:left="3720" w:right="619"/>
        <w:spacing w:after="0" w:line="251" w:lineRule="auto"/>
        <w:rPr>
          <w:sz w:val="20"/>
          <w:szCs w:val="20"/>
          <w:color w:val="auto"/>
        </w:rPr>
      </w:pPr>
      <w:r>
        <w:rPr>
          <w:rFonts w:ascii="Arial" w:cs="Arial" w:eastAsia="Arial" w:hAnsi="Arial"/>
          <w:sz w:val="17"/>
          <w:szCs w:val="17"/>
          <w:color w:val="auto"/>
        </w:rPr>
        <w:t>its responsibilities, the audit committee will review on a quarterly basis all payments that were made to our sponsor, officers or directors, or our or their respective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4"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w:t>
      </w:r>
    </w:p>
    <w:p>
      <w:pPr>
        <w:spacing w:after="0" w:line="6" w:lineRule="exact"/>
        <w:rPr>
          <w:sz w:val="20"/>
          <w:szCs w:val="20"/>
          <w:color w:val="auto"/>
        </w:rPr>
      </w:pPr>
    </w:p>
    <w:p>
      <w:pPr>
        <w:ind w:left="540" w:right="799"/>
        <w:spacing w:after="0" w:line="246" w:lineRule="auto"/>
        <w:rPr>
          <w:sz w:val="20"/>
          <w:szCs w:val="20"/>
          <w:color w:val="auto"/>
        </w:rPr>
      </w:pPr>
      <w:r>
        <w:rPr>
          <w:rFonts w:ascii="Arial" w:cs="Arial" w:eastAsia="Arial" w:hAnsi="Arial"/>
          <w:sz w:val="18"/>
          <w:szCs w:val="18"/>
          <w:color w:val="auto"/>
        </w:rPr>
        <w:t>Rule 419.” You should carefully consider these and the other risks set forth in the section entitled “Risk Factors” in this prospectus.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jc w:val="both"/>
        <w:ind w:left="460" w:right="519"/>
        <w:spacing w:after="0" w:line="247"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82"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Our initial stockholders and management team also may from time to time purchase Class A common stock prior to the completion of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ind w:left="460" w:right="619"/>
        <w:spacing w:after="0" w:line="238" w:lineRule="auto"/>
        <w:rPr>
          <w:sz w:val="20"/>
          <w:szCs w:val="20"/>
          <w:color w:val="auto"/>
        </w:rPr>
      </w:pPr>
      <w:r>
        <w:rPr>
          <w:rFonts w:ascii="Arial" w:cs="Arial" w:eastAsia="Arial" w:hAnsi="Arial"/>
          <w:sz w:val="18"/>
          <w:szCs w:val="18"/>
          <w:color w:val="auto"/>
        </w:rPr>
        <w:t>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3"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8" w:name="page39"/>
    <w:bookmarkEnd w:id="38"/>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33"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2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9" w:name="page40"/>
    <w:bookmarkEnd w:id="39"/>
    <w:p>
      <w:pPr>
        <w:ind w:left="460" w:right="499"/>
        <w:spacing w:after="0" w:line="236" w:lineRule="auto"/>
        <w:rPr>
          <w:sz w:val="20"/>
          <w:szCs w:val="20"/>
          <w:color w:val="auto"/>
        </w:rPr>
      </w:pPr>
      <w:r>
        <w:rPr>
          <w:rFonts w:ascii="Arial" w:cs="Arial" w:eastAsia="Arial" w:hAnsi="Arial"/>
          <w:sz w:val="18"/>
          <w:szCs w:val="18"/>
          <w:color w:val="auto"/>
        </w:rPr>
        <w:t>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6" w:lineRule="exact"/>
        <w:rPr>
          <w:sz w:val="20"/>
          <w:szCs w:val="20"/>
          <w:color w:val="auto"/>
        </w:rPr>
      </w:pPr>
    </w:p>
    <w:p>
      <w:pPr>
        <w:ind w:left="460" w:right="579"/>
        <w:spacing w:after="0" w:line="244"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1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4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w:t>
      </w:r>
    </w:p>
    <w:p>
      <w:pPr>
        <w:sectPr>
          <w:pgSz w:w="11900" w:h="16838" w:orient="portrait"/>
          <w:cols w:equalWidth="0" w:num="1">
            <w:col w:w="9019"/>
          </w:cols>
          <w:pgMar w:left="1440" w:top="28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0" w:name="page41"/>
    <w:bookmarkEnd w:id="40"/>
    <w:p>
      <w:pPr>
        <w:ind w:left="460" w:right="459"/>
        <w:spacing w:after="0" w:line="236" w:lineRule="auto"/>
        <w:rPr>
          <w:sz w:val="20"/>
          <w:szCs w:val="20"/>
          <w:color w:val="auto"/>
        </w:rPr>
      </w:pPr>
      <w:r>
        <w:rPr>
          <w:rFonts w:ascii="Arial" w:cs="Arial" w:eastAsia="Arial" w:hAnsi="Arial"/>
          <w:sz w:val="18"/>
          <w:szCs w:val="18"/>
          <w:color w:val="auto"/>
        </w:rPr>
        <w:t>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4"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460" w:right="579"/>
        <w:spacing w:after="0" w:line="301"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We have applied to have our units listed on Nasdaq on or promptly after the date of this prospectus and our Class A common stock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33"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6"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36" w:lineRule="exact"/>
        <w:rPr>
          <w:rFonts w:ascii="Arial" w:cs="Arial" w:eastAsia="Arial" w:hAnsi="Arial"/>
          <w:sz w:val="18"/>
          <w:szCs w:val="18"/>
          <w:color w:val="auto"/>
        </w:rPr>
      </w:pPr>
    </w:p>
    <w:p>
      <w:pPr>
        <w:ind w:left="1100" w:right="459" w:hanging="322"/>
        <w:spacing w:after="0"/>
        <w:tabs>
          <w:tab w:leader="none" w:pos="10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1" w:name="page42"/>
    <w:bookmarkEnd w:id="41"/>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92"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08"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42" w:name="page43"/>
    <w:bookmarkEnd w:id="42"/>
    <w:p>
      <w:pPr>
        <w:ind w:left="460" w:right="579"/>
        <w:spacing w:after="0" w:line="242"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3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72"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1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ind w:left="460" w:right="579"/>
        <w:spacing w:after="0" w:line="236" w:lineRule="auto"/>
        <w:rPr>
          <w:sz w:val="20"/>
          <w:szCs w:val="20"/>
          <w:color w:val="auto"/>
        </w:rPr>
      </w:pPr>
      <w:r>
        <w:rPr>
          <w:rFonts w:ascii="Arial" w:cs="Arial" w:eastAsia="Arial" w:hAnsi="Arial"/>
          <w:sz w:val="18"/>
          <w:szCs w:val="18"/>
          <w:color w:val="auto"/>
        </w:rPr>
        <w:t>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$ 10.00 per public share, or possibly less, on our redemption of our public shares, and our warrants will expire worthless.</w:t>
      </w:r>
    </w:p>
    <w:p>
      <w:pPr>
        <w:spacing w:after="0" w:line="186"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4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4" w:name="page45"/>
    <w:bookmarkEnd w:id="44"/>
    <w:p>
      <w:pPr>
        <w:ind w:left="460" w:right="479"/>
        <w:spacing w:after="0" w:line="249" w:lineRule="auto"/>
        <w:rPr>
          <w:sz w:val="20"/>
          <w:szCs w:val="20"/>
          <w:color w:val="auto"/>
        </w:rPr>
      </w:pPr>
      <w:r>
        <w:rPr>
          <w:rFonts w:ascii="Arial" w:cs="Arial" w:eastAsia="Arial" w:hAnsi="Arial"/>
          <w:sz w:val="17"/>
          <w:szCs w:val="17"/>
          <w:color w:val="auto"/>
        </w:rPr>
        <w:t>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88"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5" w:name="page46"/>
    <w:bookmarkEnd w:id="45"/>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6"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1" w:lineRule="exact"/>
        <w:rPr>
          <w:sz w:val="20"/>
          <w:szCs w:val="20"/>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21" w:lineRule="exact"/>
        <w:rPr>
          <w:sz w:val="20"/>
          <w:szCs w:val="20"/>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29"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6"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w:t>
      </w:r>
    </w:p>
    <w:p>
      <w:pPr>
        <w:sectPr>
          <w:pgSz w:w="11900" w:h="16838" w:orient="portrait"/>
          <w:cols w:equalWidth="0" w:num="1">
            <w:col w:w="9019"/>
          </w:cols>
          <w:pgMar w:left="1440" w:top="333"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6" w:name="page47"/>
    <w:bookmarkEnd w:id="46"/>
    <w:p>
      <w:pPr>
        <w:ind w:left="460" w:right="659"/>
        <w:spacing w:after="0" w:line="234" w:lineRule="auto"/>
        <w:rPr>
          <w:sz w:val="20"/>
          <w:szCs w:val="20"/>
          <w:color w:val="auto"/>
        </w:rPr>
      </w:pPr>
      <w:r>
        <w:rPr>
          <w:rFonts w:ascii="Arial" w:cs="Arial" w:eastAsia="Arial" w:hAnsi="Arial"/>
          <w:sz w:val="18"/>
          <w:szCs w:val="18"/>
          <w:color w:val="auto"/>
        </w:rPr>
        <w:t>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3" w:lineRule="exact"/>
        <w:rPr>
          <w:sz w:val="20"/>
          <w:szCs w:val="20"/>
          <w:color w:val="auto"/>
        </w:rPr>
      </w:pPr>
    </w:p>
    <w:p>
      <w:pPr>
        <w:ind w:left="460" w:right="499" w:hanging="6"/>
        <w:spacing w:after="0" w:line="235"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9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7" w:name="page48"/>
    <w:bookmarkEnd w:id="47"/>
    <w:p>
      <w:pPr>
        <w:ind w:left="460" w:right="659"/>
        <w:spacing w:after="0" w:line="236" w:lineRule="auto"/>
        <w:rPr>
          <w:sz w:val="20"/>
          <w:szCs w:val="20"/>
          <w:color w:val="auto"/>
        </w:rPr>
      </w:pPr>
      <w:r>
        <w:rPr>
          <w:rFonts w:ascii="Arial" w:cs="Arial" w:eastAsia="Arial" w:hAnsi="Arial"/>
          <w:sz w:val="18"/>
          <w:szCs w:val="18"/>
          <w:color w:val="auto"/>
        </w:rPr>
        <w:t>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84"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108"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2" w:lineRule="exact"/>
        <w:rPr>
          <w:sz w:val="20"/>
          <w:szCs w:val="20"/>
          <w:color w:val="auto"/>
        </w:rPr>
      </w:pPr>
    </w:p>
    <w:p>
      <w:pPr>
        <w:ind w:left="460" w:right="599"/>
        <w:spacing w:after="0" w:line="257"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21"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8" w:name="page49"/>
    <w:bookmarkEnd w:id="48"/>
    <w:p>
      <w:pPr>
        <w:ind w:left="460" w:right="579"/>
        <w:spacing w:after="0" w:line="237" w:lineRule="auto"/>
        <w:rPr>
          <w:sz w:val="20"/>
          <w:szCs w:val="20"/>
          <w:color w:val="auto"/>
        </w:rPr>
      </w:pPr>
      <w:r>
        <w:rPr>
          <w:rFonts w:ascii="Arial" w:cs="Arial" w:eastAsia="Arial" w:hAnsi="Arial"/>
          <w:sz w:val="18"/>
          <w:szCs w:val="18"/>
          <w:color w:val="auto"/>
        </w:rPr>
        <w:t>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2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3"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23"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and (ii) if we have so elected and the shares of Class A common stock is at the time of any exercise of a warrant not listed on a national securities exchange such that they satisfy the definition of “covered securities” under Section 18(b)(1) of the Securities Act. If you exercise your public warrants on a cashless basis under the circumstances described in clauses (i) and (ii) in the preceding sentence,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91" w:lineRule="exact"/>
        <w:rPr>
          <w:sz w:val="20"/>
          <w:szCs w:val="20"/>
          <w:color w:val="auto"/>
        </w:rPr>
      </w:pPr>
    </w:p>
    <w:p>
      <w:pPr>
        <w:ind w:left="460" w:right="639"/>
        <w:spacing w:after="0" w:line="244"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holders of our private placement warrants and their permitted transferees and holders of our forward purchase shares and their permitted transferees may make it more difficult to complete our initial business combination, and the future exercise of such rights may adversely affect the market price of our shares of Class A common stock.</w:t>
      </w:r>
    </w:p>
    <w:p>
      <w:pPr>
        <w:spacing w:after="0" w:line="131"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holders of our forward purchase shares and their permitted transferees can demand that we register their forward purchase shares and holders of warrants that may be issued upon conversion of working capital loans may demand that we register such warrants or the Class A common stock issuable upon conversion of such warrants. The registration rights will be exercisable with respect to the founder shares, the forward purchase shares,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warrants or holders of our working capital loans or holders of our forward purchase shares or their respective permitted transferees are registered.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9" w:name="page50"/>
    <w:bookmarkEnd w:id="49"/>
    <w:p>
      <w:pPr>
        <w:ind w:left="460" w:right="61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108"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779"/>
        <w:spacing w:after="0"/>
        <w:rPr>
          <w:sz w:val="20"/>
          <w:szCs w:val="20"/>
          <w:color w:val="auto"/>
        </w:rPr>
      </w:pPr>
      <w:r>
        <w:rPr>
          <w:rFonts w:ascii="Arial" w:cs="Arial" w:eastAsia="Arial" w:hAnsi="Arial"/>
          <w:sz w:val="18"/>
          <w:szCs w:val="18"/>
          <w:b w:val="1"/>
          <w:b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39"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In connection with the consummation of this offering, 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w:t>
      </w:r>
    </w:p>
    <w:p>
      <w:pPr>
        <w:sectPr>
          <w:pgSz w:w="11900" w:h="16838" w:orient="portrait"/>
          <w:cols w:equalWidth="0" w:num="1">
            <w:col w:w="9019"/>
          </w:cols>
          <w:pgMar w:left="1440" w:top="333"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0" w:name="page51"/>
    <w:bookmarkEnd w:id="50"/>
    <w:p>
      <w:pPr>
        <w:ind w:left="460" w:right="559"/>
        <w:spacing w:after="0" w:line="237" w:lineRule="auto"/>
        <w:rPr>
          <w:sz w:val="20"/>
          <w:szCs w:val="20"/>
          <w:color w:val="auto"/>
        </w:rPr>
      </w:pPr>
      <w:r>
        <w:rPr>
          <w:rFonts w:ascii="Arial" w:cs="Arial" w:eastAsia="Arial" w:hAnsi="Arial"/>
          <w:sz w:val="18"/>
          <w:szCs w:val="18"/>
          <w:color w:val="auto"/>
        </w:rPr>
        <w:t>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191"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sectors or geographic regions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1" w:name="page52"/>
    <w:bookmarkEnd w:id="51"/>
    <w:p>
      <w:pPr>
        <w:ind w:left="460" w:right="719"/>
        <w:spacing w:after="0" w:line="238" w:lineRule="auto"/>
        <w:rPr>
          <w:sz w:val="20"/>
          <w:szCs w:val="20"/>
          <w:color w:val="auto"/>
        </w:rPr>
      </w:pPr>
      <w:r>
        <w:rPr>
          <w:rFonts w:ascii="Arial" w:cs="Arial" w:eastAsia="Arial" w:hAnsi="Arial"/>
          <w:sz w:val="18"/>
          <w:szCs w:val="18"/>
          <w:color w:val="auto"/>
        </w:rPr>
        <w:t>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3" w:lineRule="exact"/>
        <w:rPr>
          <w:sz w:val="20"/>
          <w:szCs w:val="20"/>
          <w:color w:val="auto"/>
        </w:rPr>
      </w:pPr>
    </w:p>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1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39"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Our amended and restated certificate of incorporation authorizes the issuance of up to 380,000,000 shares of Class A common stock, par value $ 0.0001 per share, 20,000,000 shares of Class B common stock, par value $0.0001 per share, and 1,000,000 shares of preferred stock, par value $0.0001 per share. Immediately after this offering, there will be 345,000,000 and 11,250,000 (assuming in each case that the underwriters have not exercised their over-allotment option and the forfeiture by our sponsor of 1,312,500 shares of Class B common stock) authorized but unissued shares of Class A common stock and Class B common stock, respectively, available for issuance which amount does not take into account shares reserved for issuance upon exercise of outstanding warrants or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25" w:lineRule="exact"/>
        <w:rPr>
          <w:sz w:val="20"/>
          <w:szCs w:val="20"/>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499" w:hanging="322"/>
        <w:spacing w:after="0" w:line="238"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15"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2" w:name="page53"/>
    <w:bookmarkEnd w:id="52"/>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191"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2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5"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3" w:name="page54"/>
    <w:bookmarkEnd w:id="53"/>
    <w:p>
      <w:pPr>
        <w:ind w:left="460" w:right="479"/>
        <w:spacing w:after="0" w:line="237" w:lineRule="auto"/>
        <w:rPr>
          <w:sz w:val="20"/>
          <w:szCs w:val="20"/>
          <w:color w:val="auto"/>
        </w:rPr>
      </w:pPr>
      <w:r>
        <w:rPr>
          <w:rFonts w:ascii="Arial" w:cs="Arial" w:eastAsia="Arial" w:hAnsi="Arial"/>
          <w:sz w:val="18"/>
          <w:szCs w:val="18"/>
          <w:color w:val="auto"/>
        </w:rPr>
        <w:t>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3"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80" w:lineRule="exact"/>
        <w:rPr>
          <w:sz w:val="20"/>
          <w:szCs w:val="20"/>
          <w:color w:val="auto"/>
        </w:rPr>
      </w:pPr>
    </w:p>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4" w:name="page55"/>
    <w:bookmarkEnd w:id="54"/>
    <w:p>
      <w:pPr>
        <w:ind w:left="460" w:right="479"/>
        <w:spacing w:after="0" w:line="237" w:lineRule="auto"/>
        <w:rPr>
          <w:sz w:val="20"/>
          <w:szCs w:val="20"/>
          <w:color w:val="auto"/>
        </w:rPr>
      </w:pPr>
      <w:r>
        <w:rPr>
          <w:rFonts w:ascii="Arial" w:cs="Arial" w:eastAsia="Arial" w:hAnsi="Arial"/>
          <w:sz w:val="18"/>
          <w:szCs w:val="18"/>
          <w:color w:val="auto"/>
        </w:rPr>
        <w:t>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1"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5" w:name="page56"/>
    <w:bookmarkEnd w:id="55"/>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2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We would pursue such a transaction if we determined that such affiliated entity met our criteria for a business combination as set forth in “Proposed Business — Acquisition Strategy”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1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In August 2020, our sponsor transferred 25,000 founder shares to each of Mr. Islam, Dr. Leproust and Mr. Turner.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by our sponsor depending on the extent to which the underwriters’ over-allotment is exercised. The founder shares will be worthless if we do not complete an initial business combination. In addition, our sponsor and certain of our independent director nominees have severally committed to purchase an aggregate of 6,000,000 private placement warrants (or 6,700,000 warrants if the underwriters’ over-allotment option is exercised in full), each exercisable for one share of Class A common stock at $11.50 per share, for an aggregate purchase price of $9,000,000 (or $10,050,000 if the underwriters’ over-allotment option is exercised in full),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90" w:lineRule="exact"/>
        <w:rPr>
          <w:sz w:val="20"/>
          <w:szCs w:val="20"/>
          <w:color w:val="auto"/>
        </w:rPr>
      </w:pPr>
    </w:p>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6" w:name="page57"/>
    <w:bookmarkEnd w:id="56"/>
    <w:p>
      <w:pPr>
        <w:jc w:val="both"/>
        <w:ind w:left="460" w:right="619"/>
        <w:spacing w:after="0"/>
        <w:rPr>
          <w:sz w:val="20"/>
          <w:szCs w:val="20"/>
          <w:color w:val="auto"/>
        </w:rPr>
      </w:pPr>
      <w:r>
        <w:rPr>
          <w:rFonts w:ascii="Arial" w:cs="Arial" w:eastAsia="Arial" w:hAnsi="Arial"/>
          <w:sz w:val="18"/>
          <w:szCs w:val="18"/>
          <w:color w:val="auto"/>
        </w:rPr>
        <w:t>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3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ind w:left="1100" w:right="759" w:hanging="322"/>
        <w:spacing w:after="0" w:line="259" w:lineRule="auto"/>
        <w:tabs>
          <w:tab w:leader="none" w:pos="10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net proceeds from this offering and the private placement of warrants will provide us with $337,750,000 (or $388,412,500 if the underwriters’ over-allotment option is exercised in full) that we may use to complete our initial business combination (after taking into account the $12,250,000, or up to $14,087,500 if the over-allotment option is exercised in full, of deferred underwriting commissions being held in the trust account). The proceeds from the sale of forward purchase shares will be up to $150,000,000.</w:t>
      </w:r>
    </w:p>
    <w:p>
      <w:pPr>
        <w:spacing w:after="0" w:line="137"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29" w:lineRule="exact"/>
        <w:rPr>
          <w:sz w:val="20"/>
          <w:szCs w:val="20"/>
          <w:color w:val="auto"/>
        </w:rPr>
      </w:pPr>
    </w:p>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7" w:name="page58"/>
    <w:bookmarkEnd w:id="57"/>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2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8" w:name="page59"/>
    <w:bookmarkEnd w:id="58"/>
    <w:p>
      <w:pPr>
        <w:ind w:left="460" w:right="479"/>
        <w:spacing w:after="0" w:line="237" w:lineRule="auto"/>
        <w:rPr>
          <w:sz w:val="20"/>
          <w:szCs w:val="20"/>
          <w:color w:val="auto"/>
        </w:rPr>
      </w:pPr>
      <w:r>
        <w:rPr>
          <w:rFonts w:ascii="Arial" w:cs="Arial" w:eastAsia="Arial" w:hAnsi="Arial"/>
          <w:sz w:val="18"/>
          <w:szCs w:val="18"/>
          <w:color w:val="auto"/>
        </w:rPr>
        <w:t>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1"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2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0"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9" w:name="page60"/>
    <w:bookmarkEnd w:id="59"/>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our sponsor and certain of our independent director nominees.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not selected any specific business combination target but may target businesses with enterprise values that are greater than we could acquire with the net proceeds of this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0" w:name="page61"/>
    <w:bookmarkEnd w:id="60"/>
    <w:p>
      <w:pPr>
        <w:ind w:left="460" w:right="539"/>
        <w:spacing w:after="0" w:line="237" w:lineRule="auto"/>
        <w:rPr>
          <w:sz w:val="20"/>
          <w:szCs w:val="20"/>
          <w:color w:val="auto"/>
        </w:rPr>
      </w:pPr>
      <w:r>
        <w:rPr>
          <w:rFonts w:ascii="Arial" w:cs="Arial" w:eastAsia="Arial" w:hAnsi="Arial"/>
          <w:sz w:val="18"/>
          <w:szCs w:val="18"/>
          <w:color w:val="auto"/>
        </w:rPr>
        <w:t>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3"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190"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10,062,500 founder shares, or approximately $0.002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95.2% or $9.52 per share, assuming no exercise of the underwriters’ over-allotment option), the difference between the pro forma net tangible book value per share after this offering of $ 0.48 and the initial offering price of $10.00 per unit.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131"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1" w:name="page62"/>
    <w:bookmarkEnd w:id="61"/>
    <w:p>
      <w:pPr>
        <w:ind w:left="460" w:right="499"/>
        <w:spacing w:after="0" w:line="236" w:lineRule="auto"/>
        <w:rPr>
          <w:sz w:val="20"/>
          <w:szCs w:val="20"/>
          <w:color w:val="auto"/>
        </w:rPr>
      </w:pPr>
      <w:r>
        <w:rPr>
          <w:rFonts w:ascii="Arial" w:cs="Arial" w:eastAsia="Arial" w:hAnsi="Arial"/>
          <w:sz w:val="18"/>
          <w:szCs w:val="18"/>
          <w:color w:val="auto"/>
        </w:rPr>
        <w:t>and the warrant agreement set forth in this prospectus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81" w:lineRule="exact"/>
        <w:rPr>
          <w:sz w:val="20"/>
          <w:szCs w:val="20"/>
          <w:color w:val="auto"/>
        </w:rPr>
      </w:pPr>
    </w:p>
    <w:p>
      <w:pPr>
        <w:ind w:left="460" w:right="519"/>
        <w:spacing w:after="0" w:line="244" w:lineRule="auto"/>
        <w:rPr>
          <w:sz w:val="20"/>
          <w:szCs w:val="20"/>
          <w:color w:val="auto"/>
        </w:rPr>
      </w:pPr>
      <w:r>
        <w:rPr>
          <w:rFonts w:ascii="Arial" w:cs="Arial" w:eastAsia="Arial" w:hAnsi="Arial"/>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17" w:lineRule="exact"/>
        <w:rPr>
          <w:sz w:val="20"/>
          <w:szCs w:val="20"/>
          <w:color w:val="auto"/>
        </w:rPr>
      </w:pPr>
    </w:p>
    <w:p>
      <w:pPr>
        <w:ind w:left="460" w:right="579"/>
        <w:spacing w:after="0" w:line="234"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w:t>
      </w:r>
    </w:p>
    <w:p>
      <w:pPr>
        <w:spacing w:after="0" w:line="2"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1" w:lineRule="exact"/>
        <w:rPr>
          <w:sz w:val="20"/>
          <w:szCs w:val="20"/>
          <w:color w:val="auto"/>
        </w:rPr>
      </w:pPr>
    </w:p>
    <w:p>
      <w:pPr>
        <w:ind w:left="460" w:right="1799"/>
        <w:spacing w:after="0" w:line="271"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5"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We have the ability to redeem the outstanding public warrants at any time after they become exercisable and prior to their expiration, at a price of $0.01 per warrant, provided that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w:t>
      </w:r>
    </w:p>
    <w:p>
      <w:pPr>
        <w:spacing w:after="0" w:line="8" w:lineRule="exact"/>
        <w:rPr>
          <w:sz w:val="20"/>
          <w:szCs w:val="20"/>
          <w:color w:val="auto"/>
        </w:rPr>
      </w:pPr>
    </w:p>
    <w:p>
      <w:pPr>
        <w:ind w:left="460" w:right="1119" w:hanging="6"/>
        <w:spacing w:after="0" w:line="274" w:lineRule="auto"/>
        <w:tabs>
          <w:tab w:leader="none" w:pos="67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exercise your warrants and pay the exercise price therefor at a time when it may be disadvantageous for you to do so, (ii) sell your warrants at the then-current market price when</w:t>
      </w:r>
    </w:p>
    <w:p>
      <w:pPr>
        <w:sectPr>
          <w:pgSz w:w="11900" w:h="16838" w:orient="portrait"/>
          <w:cols w:equalWidth="0" w:num="1">
            <w:col w:w="9019"/>
          </w:cols>
          <w:pgMar w:left="1440" w:top="287"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2" w:name="page63"/>
    <w:bookmarkEnd w:id="62"/>
    <w:p>
      <w:pPr>
        <w:ind w:left="460" w:right="499"/>
        <w:spacing w:after="0" w:line="237" w:lineRule="auto"/>
        <w:rPr>
          <w:sz w:val="20"/>
          <w:szCs w:val="20"/>
          <w:color w:val="auto"/>
        </w:rPr>
      </w:pPr>
      <w:r>
        <w:rPr>
          <w:rFonts w:ascii="Arial" w:cs="Arial" w:eastAsia="Arial" w:hAnsi="Arial"/>
          <w:sz w:val="18"/>
          <w:szCs w:val="18"/>
          <w:color w:val="auto"/>
        </w:rPr>
        <w:t>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(except as described below under “Description of Securities — Redeemable Warrants — Public Stockholders’ Warrants — Redemption of warrants when the price per share of Class A common stock equals or exceeds $10.00”) so long as they are held by the initial purchasers of the private placement warrants or their permitted transferees.</w:t>
      </w:r>
    </w:p>
    <w:p>
      <w:pPr>
        <w:spacing w:after="0" w:line="122"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common stock equals or exceeds $ 10.00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including that (i) 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and</w:t>
      </w:r>
    </w:p>
    <w:p>
      <w:pPr>
        <w:spacing w:after="0" w:line="7" w:lineRule="exact"/>
        <w:rPr>
          <w:sz w:val="20"/>
          <w:szCs w:val="20"/>
          <w:color w:val="auto"/>
        </w:rPr>
      </w:pPr>
    </w:p>
    <w:p>
      <w:pPr>
        <w:ind w:left="460" w:right="499" w:hanging="6"/>
        <w:spacing w:after="0"/>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will be able to exercise their warrants prior to redemption for a number of shares of Class A common stock determined based on the redemption date and the fair market value of our Class A common stock. Please see “Description of Securities — Warrants — Public Stockholders’ Warrants — Redemption of warrants when the price per share of Class A common stock equals or exceeds $10.00.”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shares of Class A common stock received is capped at 0.361 shares of Class A common stock per warrant (subject to adjustment) irrespective of the remaining life of the warrants.</w:t>
      </w:r>
    </w:p>
    <w:p>
      <w:pPr>
        <w:spacing w:after="0" w:line="356" w:lineRule="exact"/>
        <w:rPr>
          <w:sz w:val="20"/>
          <w:szCs w:val="20"/>
          <w:color w:val="auto"/>
        </w:rPr>
      </w:pPr>
    </w:p>
    <w:p>
      <w:pPr>
        <w:ind w:left="460" w:right="1079"/>
        <w:spacing w:after="0" w:line="301" w:lineRule="auto"/>
        <w:rPr>
          <w:sz w:val="20"/>
          <w:szCs w:val="20"/>
          <w:color w:val="auto"/>
        </w:rPr>
      </w:pPr>
      <w:r>
        <w:rPr>
          <w:rFonts w:ascii="Arial" w:cs="Arial" w:eastAsia="Arial" w:hAnsi="Arial"/>
          <w:sz w:val="17"/>
          <w:szCs w:val="17"/>
          <w:b w:val="1"/>
          <w:bCs w:val="1"/>
          <w:color w:val="auto"/>
        </w:rPr>
        <w:t>Our warrants may have an adverse effect on the market price of our shares of Class A common stock and make it more difficult to effectuate our initial business combination.</w:t>
      </w:r>
    </w:p>
    <w:p>
      <w:pPr>
        <w:spacing w:after="0" w:line="85"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will be issuing warrants to purchase 11,666,667 shares of our Class A common stock (or up to 13,416,667 shares of Class A common stock if the underwriters’ over-allotment option is exercised in full) as part of the units offered by this prospectus and, simultaneously with the closing of this offering, we will be issuing in a private placement an aggregate of 6,000,000 private placement warrants (or 6,700,000 warrants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1,500,000 private placement warrants, at the price of $1.50 per warrant.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and founder shares may make it more difficult to effectuate a business transaction or increase the cost of acquiring the target business.</w:t>
      </w:r>
    </w:p>
    <w:p>
      <w:pPr>
        <w:spacing w:after="0" w:line="177" w:lineRule="exact"/>
        <w:rPr>
          <w:sz w:val="20"/>
          <w:szCs w:val="20"/>
          <w:color w:val="auto"/>
        </w:rPr>
      </w:pPr>
    </w:p>
    <w:p>
      <w:pPr>
        <w:jc w:val="both"/>
        <w:ind w:left="460" w:right="1199"/>
        <w:spacing w:after="0" w:line="253" w:lineRule="auto"/>
        <w:rPr>
          <w:sz w:val="20"/>
          <w:szCs w:val="20"/>
          <w:color w:val="auto"/>
        </w:rPr>
      </w:pPr>
      <w:r>
        <w:rPr>
          <w:rFonts w:ascii="Arial" w:cs="Arial" w:eastAsia="Arial" w:hAnsi="Arial"/>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12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3" w:name="page64"/>
    <w:bookmarkEnd w:id="63"/>
    <w:p>
      <w:pPr>
        <w:ind w:left="460" w:right="519"/>
        <w:spacing w:after="0" w:line="238" w:lineRule="auto"/>
        <w:rPr>
          <w:sz w:val="20"/>
          <w:szCs w:val="20"/>
          <w:color w:val="auto"/>
        </w:rPr>
      </w:pPr>
      <w:r>
        <w:rPr>
          <w:rFonts w:ascii="Arial" w:cs="Arial" w:eastAsia="Arial" w:hAnsi="Arial"/>
          <w:sz w:val="18"/>
          <w:szCs w:val="18"/>
          <w:color w:val="auto"/>
        </w:rPr>
        <w:t>completion of a business combination since the warrants will be exercisable in the aggregate for one-third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0" w:lineRule="exact"/>
        <w:rPr>
          <w:sz w:val="20"/>
          <w:szCs w:val="20"/>
          <w:color w:val="auto"/>
        </w:rPr>
      </w:pPr>
    </w:p>
    <w:p>
      <w:pPr>
        <w:ind w:left="460" w:right="699"/>
        <w:spacing w:after="0" w:line="244" w:lineRule="auto"/>
        <w:rPr>
          <w:sz w:val="20"/>
          <w:szCs w:val="20"/>
          <w:color w:val="auto"/>
        </w:rPr>
      </w:pPr>
      <w:r>
        <w:rPr>
          <w:rFonts w:ascii="Arial" w:cs="Arial" w:eastAsia="Arial" w:hAnsi="Arial"/>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27" w:lineRule="exact"/>
        <w:rPr>
          <w:sz w:val="20"/>
          <w:szCs w:val="20"/>
          <w:color w:val="auto"/>
        </w:rPr>
      </w:pPr>
    </w:p>
    <w:p>
      <w:pPr>
        <w:ind w:left="1100" w:right="699" w:hanging="322"/>
        <w:spacing w:after="0" w:line="246" w:lineRule="auto"/>
        <w:tabs>
          <w:tab w:leader="none" w:pos="10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31"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1199"/>
        <w:spacing w:after="0" w:line="271"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0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23"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4" w:name="page65"/>
    <w:bookmarkEnd w:id="64"/>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w:t>
      </w:r>
    </w:p>
    <w:p>
      <w:pPr>
        <w:sectPr>
          <w:pgSz w:w="11900" w:h="16838" w:orient="portrait"/>
          <w:cols w:equalWidth="0" w:num="1">
            <w:col w:w="9019"/>
          </w:cols>
          <w:pgMar w:left="1440" w:top="33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5" w:name="page66"/>
    <w:bookmarkEnd w:id="65"/>
    <w:p>
      <w:pPr>
        <w:ind w:left="460" w:right="619"/>
        <w:spacing w:after="0" w:line="274" w:lineRule="auto"/>
        <w:rPr>
          <w:sz w:val="20"/>
          <w:szCs w:val="20"/>
          <w:color w:val="auto"/>
        </w:rPr>
      </w:pPr>
      <w:r>
        <w:rPr>
          <w:rFonts w:ascii="Arial" w:cs="Arial" w:eastAsia="Arial" w:hAnsi="Arial"/>
          <w:sz w:val="17"/>
          <w:szCs w:val="17"/>
          <w:color w:val="auto"/>
        </w:rPr>
        <w:t>The development of the internal control of any such entity to achieve compliance with the Sarbanes-Oxley Act may increase the time and costs necessary to complete any such business combination.</w:t>
      </w:r>
    </w:p>
    <w:p>
      <w:pPr>
        <w:spacing w:after="0" w:line="153"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3" w:lineRule="exact"/>
        <w:rPr>
          <w:sz w:val="20"/>
          <w:szCs w:val="20"/>
          <w:color w:val="auto"/>
        </w:rPr>
      </w:pPr>
    </w:p>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3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35" w:lineRule="exact"/>
        <w:rPr>
          <w:sz w:val="20"/>
          <w:szCs w:val="20"/>
          <w:color w:val="auto"/>
        </w:rPr>
      </w:pPr>
    </w:p>
    <w:p>
      <w:pPr>
        <w:jc w:val="both"/>
        <w:ind w:left="460" w:right="719"/>
        <w:spacing w:after="0" w:line="248" w:lineRule="auto"/>
        <w:rPr>
          <w:sz w:val="20"/>
          <w:szCs w:val="20"/>
          <w:color w:val="auto"/>
        </w:rPr>
      </w:pPr>
      <w:r>
        <w:rPr>
          <w:rFonts w:ascii="Arial" w:cs="Arial" w:eastAsia="Arial" w:hAnsi="Arial"/>
          <w:sz w:val="17"/>
          <w:szCs w:val="17"/>
          <w:color w:val="auto"/>
        </w:rPr>
        <w:t>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w:t>
      </w:r>
    </w:p>
    <w:p>
      <w:pPr>
        <w:spacing w:after="0" w:line="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ind w:left="460" w:right="479"/>
        <w:spacing w:after="0" w:line="238"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83"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95"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56"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4"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27" w:lineRule="exact"/>
        <w:rPr>
          <w:sz w:val="20"/>
          <w:szCs w:val="20"/>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 w:lineRule="exact"/>
        <w:rPr>
          <w:rFonts w:ascii="Arial" w:cs="Arial" w:eastAsia="Arial" w:hAnsi="Arial"/>
          <w:sz w:val="18"/>
          <w:szCs w:val="18"/>
          <w:color w:val="auto"/>
        </w:rPr>
      </w:pPr>
    </w:p>
    <w:p>
      <w:pPr>
        <w:ind w:left="1100" w:right="141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7" w:name="page68"/>
    <w:bookmarkEnd w:id="67"/>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3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59" w:hanging="322"/>
        <w:spacing w:after="0" w:line="273" w:lineRule="auto"/>
        <w:tabs>
          <w:tab w:leader="none" w:pos="108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proceeds of forward purchase shares being available to us;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459" w:hanging="322"/>
        <w:spacing w:after="0" w:line="246" w:lineRule="auto"/>
        <w:tabs>
          <w:tab w:leader="none" w:pos="10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7" w:lineRule="exact"/>
        <w:rPr>
          <w:rFonts w:ascii="Arial" w:cs="Arial" w:eastAsia="Arial" w:hAnsi="Arial"/>
          <w:sz w:val="18"/>
          <w:szCs w:val="18"/>
          <w:color w:val="auto"/>
        </w:rPr>
      </w:pPr>
    </w:p>
    <w:p>
      <w:pPr>
        <w:ind w:left="1100" w:right="1479" w:hanging="322"/>
        <w:spacing w:after="0" w:line="246" w:lineRule="auto"/>
        <w:tabs>
          <w:tab w:leader="none" w:pos="10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3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are offering 35,000,000 units at an offering price of $10.00 per unit. We estimate that the net proceeds of this offering together with the funds we will receive from the sale of the private placement warrants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Over-allotment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80"/>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warrants offered in the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10,050,000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359,000,000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412,550,000</w:t>
            </w:r>
          </w:p>
        </w:tc>
        <w:tc>
          <w:tcPr>
            <w:tcW w:w="0" w:type="dxa"/>
            <w:vAlign w:val="bottom"/>
          </w:tcPr>
          <w:p>
            <w:pPr>
              <w:spacing w:after="0"/>
              <w:rPr>
                <w:sz w:val="1"/>
                <w:szCs w:val="1"/>
                <w:color w:val="auto"/>
              </w:rPr>
            </w:pPr>
          </w:p>
        </w:tc>
      </w:tr>
      <w:tr>
        <w:trPr>
          <w:trHeight w:val="28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360"/>
              <w:spacing w:after="0"/>
              <w:rPr>
                <w:sz w:val="20"/>
                <w:szCs w:val="20"/>
                <w:color w:val="auto"/>
              </w:rPr>
            </w:pPr>
            <w:r>
              <w:rPr>
                <w:rFonts w:ascii="Arial" w:cs="Arial" w:eastAsia="Arial" w:hAnsi="Arial"/>
                <w:sz w:val="18"/>
                <w:szCs w:val="18"/>
                <w:color w:val="auto"/>
              </w:rPr>
              <w:t>offered to public, excluding deferred portion)</w:t>
            </w:r>
            <w:r>
              <w:rPr>
                <w:rFonts w:ascii="Arial" w:cs="Arial" w:eastAsia="Arial" w:hAnsi="Arial"/>
                <w:sz w:val="20"/>
                <w:szCs w:val="20"/>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8,050,000</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6"/>
        </w:trPr>
        <w:tc>
          <w:tcPr>
            <w:tcW w:w="524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Road show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2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0" w:type="dxa"/>
            <w:vAlign w:val="bottom"/>
          </w:tcPr>
          <w:p>
            <w:pPr>
              <w:spacing w:after="0"/>
              <w:rPr>
                <w:sz w:val="1"/>
                <w:szCs w:val="1"/>
                <w:color w:val="auto"/>
              </w:rPr>
            </w:pPr>
          </w:p>
        </w:tc>
      </w:tr>
      <w:tr>
        <w:trPr>
          <w:trHeight w:val="188"/>
        </w:trPr>
        <w:tc>
          <w:tcPr>
            <w:tcW w:w="524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351,000,000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Legal and accounting fees related to regulatory reporting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search for initial business combination target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64"/>
        </w:trPr>
        <w:tc>
          <w:tcPr>
            <w:tcW w:w="5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82"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23" w:lineRule="auto"/>
        <w:tabs>
          <w:tab w:leader="none" w:pos="875"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0" w:name="page71"/>
    <w:bookmarkEnd w:id="70"/>
    <w:p>
      <w:pPr>
        <w:ind w:left="880" w:right="499" w:hanging="426"/>
        <w:spacing w:after="0" w:line="216" w:lineRule="auto"/>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$12,250,000, which constitutes the underwriters’ deferred commissions (or up to $14,087,500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3"/>
          <w:szCs w:val="13"/>
          <w:color w:val="auto"/>
        </w:rPr>
      </w:pPr>
    </w:p>
    <w:p>
      <w:pPr>
        <w:ind w:left="880" w:right="479" w:hanging="426"/>
        <w:spacing w:after="0" w:line="216" w:lineRule="auto"/>
        <w:tabs>
          <w:tab w:leader="none" w:pos="8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599" w:hanging="426"/>
        <w:spacing w:after="0" w:line="230" w:lineRule="auto"/>
        <w:tabs>
          <w:tab w:leader="none" w:pos="8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warrants be deposited in a trust account. Of the $359.00 million in gross proceeds we receive from this offering and the sale of the private placement warrants described in this prospectus, or $412.55 million if the underwriters’ over-allotment option is exercised in full, $350.0 million ($10.00 per unit), or $402.5 million if the underwriters’ over-allotment option is exercised in full ($10.00 per unit), will be deposited into a trust account with Continental Stock Transfer &amp; Trust Company acting as trustee, after deducting $7.00 million in underwriting discounts and commissions payable upon the closing of this offering (or $8.05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1" w:name="page72"/>
    <w:bookmarkEnd w:id="71"/>
    <w:p>
      <w:pPr>
        <w:ind w:left="460" w:right="519" w:hanging="6"/>
        <w:spacing w:after="0" w:line="261" w:lineRule="auto"/>
        <w:tabs>
          <w:tab w:leader="none" w:pos="73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0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3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July 16, 2020, our net tangible book deficit was $67,681, or approximately $(0.01) per share of common stock. After giving effect to the sale of 35,000,000 shares of Class A common stock included in the units we are offering by this prospectus (or 40,250,000 shares of Class A common stock if the underwriters’ over-allotment option is exercised in full), the sale of the private placement warrants and the deduction of underwriting commissions and estimated expenses of this offering, our pro forma net tangible book value at July 16, 2020 would have been $5,000,009 or $0.48 per share (or $0.42 per share if the underwriters’ over-allotment option is exercised in full), representing an immediate increase in net tangible book value (as decreased by the value of 33,377,231 shares of Class A common stock that may be redeemed for cash, or 38,443,481 shares of Class A common stock if the underwriters’ over-allotment option is exercised in full) of $0.49 per share (or $0.43 if the underwriters’ over-allotment option is exercised in full) to our initial stockholders as of the date of this prospectus. Total dilution to public stockholders from this offering will be $9.52 per share (or $9.58 if the underwriters’ over-allotment option is exercised in full).</w:t>
      </w:r>
    </w:p>
    <w:p>
      <w:pPr>
        <w:spacing w:after="0" w:line="135" w:lineRule="exact"/>
        <w:rPr>
          <w:sz w:val="20"/>
          <w:szCs w:val="20"/>
          <w:color w:val="auto"/>
        </w:rPr>
      </w:pPr>
    </w:p>
    <w:p>
      <w:pPr>
        <w:ind w:left="460" w:right="699"/>
        <w:spacing w:after="0" w:line="274"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0.43</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warrants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0.42</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9.58</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$333,772,310 because holders of up to approximately 95.4%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560" w:type="dxa"/>
            <w:vAlign w:val="bottom"/>
            <w:gridSpan w:val="6"/>
          </w:tcPr>
          <w:p>
            <w:pPr>
              <w:ind w:left="540"/>
              <w:spacing w:after="0"/>
              <w:rPr>
                <w:sz w:val="20"/>
                <w:szCs w:val="20"/>
                <w:color w:val="auto"/>
              </w:rPr>
            </w:pPr>
            <w:r>
              <w:rPr>
                <w:rFonts w:ascii="Arial" w:cs="Arial" w:eastAsia="Arial" w:hAnsi="Arial"/>
                <w:sz w:val="14"/>
                <w:szCs w:val="14"/>
                <w:b w:val="1"/>
                <w:bCs w:val="1"/>
                <w:color w:val="auto"/>
              </w:rPr>
              <w:t>Shares Purchased</w:t>
            </w:r>
          </w:p>
        </w:tc>
        <w:tc>
          <w:tcPr>
            <w:tcW w:w="2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1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w w:val="97"/>
              </w:rPr>
              <w:t>80.00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100.0%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16" w:lineRule="auto"/>
        <w:tabs>
          <w:tab w:leader="none" w:pos="875"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Assumes that 1,312,500 founder shares are forfeited by our sponsor after the closing of this offering in the event the underwriters do not exercise their over-allotment option.</w:t>
      </w:r>
    </w:p>
    <w:p>
      <w:pPr>
        <w:ind w:left="880" w:hanging="426"/>
        <w:spacing w:after="0"/>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August 2020, our sponsor transferred 25,000 founder shares to each of Mr. Islam, Dr. Leproust and Mr. Turner.</w:t>
      </w:r>
    </w:p>
    <w:p>
      <w:pPr>
        <w:sectPr>
          <w:pgSz w:w="11900" w:h="16838" w:orient="portrait"/>
          <w:cols w:equalWidth="0" w:num="1">
            <w:col w:w="9019"/>
          </w:cols>
          <w:pgMar w:left="1440" w:top="333"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5"/>
                <w:szCs w:val="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(14,087,500)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5"/>
                <w:szCs w:val="5"/>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(333,772,310)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(384,434,810)</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(1,312,500)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40,250,000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(33,377,231)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(38,443,481)</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10,372,769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11,869,019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999" w:hanging="426"/>
        <w:spacing w:after="0" w:line="216" w:lineRule="auto"/>
        <w:tabs>
          <w:tab w:leader="none" w:pos="8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$7,000,000 (excluding deferred underwriting fees). See “Use of Proceeds.”</w:t>
      </w:r>
    </w:p>
    <w:p>
      <w:pPr>
        <w:ind w:left="880" w:right="499" w:hanging="426"/>
        <w:spacing w:after="0" w:line="220" w:lineRule="auto"/>
        <w:tabs>
          <w:tab w:leader="none" w:pos="882" w:val="left"/>
        </w:tabs>
        <w:numPr>
          <w:ilvl w:val="0"/>
          <w:numId w:val="36"/>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following table sets forth our capitalization at July 16, 2020, and as adjusted to give effect to the filing of our amended and restated certificate of incorporation,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2"/>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33,377,231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333,772,310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380,000,000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1,622,769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33,377,231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20,000,000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10,062,500 and 8,750,000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5,001,653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351,022,319</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34" w:lineRule="auto"/>
        <w:tabs>
          <w:tab w:leader="none" w:pos="882"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warrants. As of July 16, 2020, we had not borrowed any amounts under the promissory note.</w:t>
      </w:r>
    </w:p>
    <w:p>
      <w:pPr>
        <w:spacing w:after="0" w:line="1" w:lineRule="exact"/>
        <w:rPr>
          <w:rFonts w:ascii="Arial" w:cs="Arial" w:eastAsia="Arial" w:hAnsi="Arial"/>
          <w:sz w:val="12"/>
          <w:szCs w:val="12"/>
          <w:color w:val="auto"/>
        </w:rPr>
      </w:pPr>
    </w:p>
    <w:p>
      <w:pPr>
        <w:ind w:left="880" w:right="459" w:hanging="426"/>
        <w:spacing w:after="0" w:line="216" w:lineRule="auto"/>
        <w:tabs>
          <w:tab w:leader="none" w:pos="882" w:val="left"/>
        </w:tabs>
        <w:numPr>
          <w:ilvl w:val="0"/>
          <w:numId w:val="37"/>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839" w:hanging="426"/>
        <w:spacing w:after="0" w:line="230" w:lineRule="auto"/>
        <w:tabs>
          <w:tab w:leader="none" w:pos="875" w:val="left"/>
        </w:tabs>
        <w:numPr>
          <w:ilvl w:val="0"/>
          <w:numId w:val="37"/>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by our sponsor and as adjusted amount assumes no exercise of the underwriters’ over-allotment option and forfeiture by our sponsor of an aggregate of 1,312,500 founder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6" w:name="page77"/>
    <w:bookmarkEnd w:id="76"/>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are a blank check company incorporated on July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sector or geographic region. We intend to focus our search for an initial business combination in the life sciences sector. We intend to effectuate our initial business combination using cash from the proceeds of this offering and the private placement of the private placement warrants and any forward purchase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33"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 including any forward purchase shares:</w:t>
      </w:r>
    </w:p>
    <w:p>
      <w:pPr>
        <w:spacing w:after="0" w:line="21" w:lineRule="exact"/>
        <w:rPr>
          <w:sz w:val="20"/>
          <w:szCs w:val="20"/>
          <w:color w:val="auto"/>
        </w:rPr>
      </w:pPr>
    </w:p>
    <w:p>
      <w:pPr>
        <w:ind w:left="1100" w:right="539" w:hanging="322"/>
        <w:spacing w:after="0" w:line="23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39" w:hanging="322"/>
        <w:spacing w:after="0" w:line="246"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ind w:left="1100" w:right="759" w:hanging="322"/>
        <w:spacing w:after="0" w:line="261" w:lineRule="auto"/>
        <w:tabs>
          <w:tab w:leader="none" w:pos="10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0"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7" w:name="page78"/>
    <w:bookmarkEnd w:id="77"/>
    <w:p>
      <w:pPr>
        <w:ind w:left="460" w:right="739"/>
        <w:spacing w:after="0" w:line="238" w:lineRule="auto"/>
        <w:rPr>
          <w:sz w:val="20"/>
          <w:szCs w:val="20"/>
          <w:color w:val="auto"/>
        </w:rPr>
      </w:pPr>
      <w:r>
        <w:rPr>
          <w:rFonts w:ascii="Arial" w:cs="Arial" w:eastAsia="Arial" w:hAnsi="Arial"/>
          <w:sz w:val="18"/>
          <w:szCs w:val="18"/>
          <w:color w:val="auto"/>
        </w:rPr>
        <w:t>As indicated in the accompanying financial statements, at July 16, 2020, we had no cash, deferred offering costs of $90,000, and a working capital deficit of $(67,681).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$300,000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units in this offering and the sale of the private placement warrants for an aggregate purchase price of $9,000,000 (or $10,050,000 if the underwriters’ over-allotment option is exercised in full), after deducting offering expenses of approximately $1,000,000 and underwriting commissions of $7,000,000 (or $8,050,000 if the underwriters’ over-allotment option is exercised in full) (excluding deferred underwriting commissions of $12,250,000, or $14,087,500 if the underwriters’ over-allotment option is exercised in full), will be $351,000,000 (or $403,500,000 if the underwriters’ over-allotment option is exercised in full). $350,000,000 (or $402,500,000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and the proceeds from the sale of forward purchase shares to complete our initial business combination. We may withdraw interest to pay our taxes. We estimate our annual franchise tax obligations, based on the number of shares of our common stock authorized and outstanding after the completion of this offering, to be $300,000,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8" w:name="page79"/>
    <w:bookmarkEnd w:id="78"/>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expect our primary liquidity requirements during that period to include approximately $740,000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and from the proceeds of the sale of forward purchase shares or because we become obligated to redeem a significant number of our public shares upon completion of the business combination, or because any or all of the forward purchase shares are not purchased under the forward purchase agreement,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100" w:hanging="322"/>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July 16, 2020, we did not have any off-balance sheet arrangements as defined in Item 303(a)(4)</w:t>
      </w:r>
    </w:p>
    <w:p>
      <w:pPr>
        <w:spacing w:after="0" w:line="7" w:lineRule="exact"/>
        <w:rPr>
          <w:sz w:val="20"/>
          <w:szCs w:val="20"/>
          <w:color w:val="auto"/>
        </w:rPr>
      </w:pPr>
    </w:p>
    <w:p>
      <w:pPr>
        <w:ind w:left="460" w:right="739" w:hanging="6"/>
        <w:spacing w:after="0"/>
        <w:tabs>
          <w:tab w:leader="none" w:pos="7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 Regulation S-K and did not have any commitments or contractual obligations. No unaudited quarterly operating data is included in this prospectus as we have not conducted any operations to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52"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13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124"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w:t>
      </w:r>
    </w:p>
    <w:p>
      <w:pPr>
        <w:spacing w:after="0" w:line="13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Casdin Capital currently has $1.6 billion assets under management, 42 private portfolio companies and an active deal flow that brought it into conversation with hundreds of companies across the industry in the first few months of 2020 alone. In the 12 months ended June 30, 2020, Casdin Capital made 17 new investments in private companies and participated in 22 secondary offerings of companies in which it previously invested. In addition, six of its portfolio companies completed initial public offerings in that time period (Oric Pharmaceuticals, Inc. (Nasdaq: ORIC), Burning Rock Biotech Limited (Nasdaq: BNR), Black Diamond Therapeutics, Inc. (Nasdaq: BDTX), Revolution Medicines, Inc. (Nasdaq: RVMD), Generation Bio Co. (Nasdaq: GBIO) and Fulcrum Therapeutics, Inc. (Nasdaq: FULC)).</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our team to spot new opportunities and potential challenges long before most investors understand the space.</w:t>
      </w:r>
    </w:p>
    <w:p>
      <w:pPr>
        <w:sectPr>
          <w:pgSz w:w="11900" w:h="16838" w:orient="portrait"/>
          <w:cols w:equalWidth="0" w:num="1">
            <w:col w:w="9019"/>
          </w:cols>
          <w:pgMar w:left="1440" w:top="333"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2" w:name="page83"/>
    <w:bookmarkEnd w:id="82"/>
    <w:p>
      <w:pPr>
        <w:ind w:left="46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3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with $2.5 billion assets under management.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124"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10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112"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Prior to founding Corvex Management, Mr. Meister was Chief Executive Officer/Principal Executive Officer of Icahn Enterprises L.P. (NYSE: IEP), a diversified holding company, from 2003 through</w:t>
      </w:r>
    </w:p>
    <w:p>
      <w:pPr>
        <w:spacing w:after="0" w:line="1" w:lineRule="exact"/>
        <w:rPr>
          <w:sz w:val="20"/>
          <w:szCs w:val="20"/>
          <w:color w:val="auto"/>
        </w:rPr>
      </w:pPr>
    </w:p>
    <w:p>
      <w:pPr>
        <w:ind w:left="460" w:right="719"/>
        <w:spacing w:after="0" w:line="237" w:lineRule="auto"/>
        <w:rPr>
          <w:sz w:val="20"/>
          <w:szCs w:val="20"/>
          <w:color w:val="auto"/>
        </w:rPr>
      </w:pPr>
      <w:r>
        <w:rPr>
          <w:rFonts w:ascii="Arial" w:cs="Arial" w:eastAsia="Arial" w:hAnsi="Arial"/>
          <w:sz w:val="18"/>
          <w:szCs w:val="18"/>
          <w:color w:val="auto"/>
        </w:rPr>
        <w:t>2010. During his term as CEO/PEO, Icahn Enterprises grew from $ 1.5 billion to $ 18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 Mr. Meister also served as a director for XO Holdings, Inc., American Casino and Entertainment Properties LLC, Federal-Mogul Corporation and American Railcar Industries, Inc. during his tenure with Icahn Enterprises.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39"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3" w:name="page84"/>
    <w:bookmarkEnd w:id="83"/>
    <w:p>
      <w:pPr>
        <w:ind w:left="460" w:right="49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9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b w:val="1"/>
          <w:bCs w:val="1"/>
          <w:i w:val="1"/>
          <w:iCs w:val="1"/>
          <w:color w:val="auto"/>
        </w:rPr>
        <w:t>Sean George</w:t>
      </w:r>
      <w:r>
        <w:rPr>
          <w:rFonts w:ascii="Arial" w:cs="Arial" w:eastAsia="Arial" w:hAnsi="Arial"/>
          <w:sz w:val="18"/>
          <w:szCs w:val="18"/>
          <w:color w:val="auto"/>
        </w:rPr>
        <w:t>, who will serve as a Director following completion of this offering, is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Invitae Corporation (NYSE: NVTA), where he leads the team on its mission to bring genetic information into mainstream medicine to help improve healthcare for billions of people. He has also served as Invitae’s President and Chief Operating Officer, as part of the team that has propelled Invitae from early stage startup to a leader transforming the industry. Dr. George has long advanced the transformation of the genetics industry to increase access to help improve patient care. Before Invitae, he served as COO at Navigenics, Inc., an early pioneer in personalized genetics. Prior to that he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w:t>
      </w:r>
    </w:p>
    <w:p>
      <w:pPr>
        <w:spacing w:after="0" w:line="118"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120" w:lineRule="exact"/>
        <w:rPr>
          <w:sz w:val="20"/>
          <w:szCs w:val="20"/>
          <w:color w:val="auto"/>
        </w:rPr>
      </w:pPr>
    </w:p>
    <w:p>
      <w:pPr>
        <w:ind w:left="460" w:right="479"/>
        <w:spacing w:after="0"/>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who will serve as a Director following completion of this offering, is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Twist Bioscience Corp. (Nasdaq: TWST), roles she has held since co-founding Twist in 2013. Since October 2018, she has also served as Chair of the board of directors for Twist. Prior to co-founding Twist, Dr. Leproust served in various positions at Technologies, Inc. (NYSE: A), most recently as its Director, Applications and Chemistry R&amp;D from February 2009 to April 2013. Dr. Leproust holds a M.Sc. in Industrial Chemistry from the Lyon School of Industrial Chemistry and a Ph.D. in Organic Chemistry from the University of Houston.</w:t>
      </w:r>
    </w:p>
    <w:p>
      <w:pPr>
        <w:spacing w:after="0" w:line="10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Nat Turner</w:t>
      </w:r>
      <w:r>
        <w:rPr>
          <w:rFonts w:ascii="Arial" w:cs="Arial" w:eastAsia="Arial" w:hAnsi="Arial"/>
          <w:sz w:val="18"/>
          <w:szCs w:val="18"/>
          <w:color w:val="auto"/>
        </w:rPr>
        <w:t>, who will serve as a Director following completion of this offering, is the Co-Founder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Flatiron Health, Inc., a healthcare technology company focusing on accelerating oncology research and improving patient care acquired by Roche Holding AG in 2018, a role he has held since June 2012. Previously, Mr. Turner co-founded and served as Chief Executive Officer of Invite Media, Inc., an advertising technology company that built the industry’s first enterprise advertising platform for buying and optimizing online media in real time, from March 2007 until it was acquired by Google Inc. (Nasdaq: GOOGL) in June 2010, after which he remained at Google until June 2012. Mr. Turner has served on the Board of Directors of Clover Health, a privately-held healthcare insurance company aimed at improving patient care through data analytics, since May 2015. An active angel investor, Mr. Turner has invested in over 300 startups throughout the country, including Cedar Cares, Inc., Clover Health Inc., Color Genomics, Inc., Gravie, Inc., Imagen Technologies, Inc., Immuta, Inc., Klara Technologies, Inc., Oscar Insurance Corporation, Plaid, Inc., Ribbon Health, Inc., RigUp, Inc. and Quartet Health, Inc.. Mr. Turner received a B.S., cum laude, in Economics with concentrations in entrepreneurship and marketing from The Wharton School of the University of Pennsylvania.</w:t>
      </w:r>
    </w:p>
    <w:p>
      <w:pPr>
        <w:sectPr>
          <w:pgSz w:w="11900" w:h="16838" w:orient="portrait"/>
          <w:cols w:equalWidth="0" w:num="1">
            <w:col w:w="9019"/>
          </w:cols>
          <w:pgMar w:left="1440" w:top="265"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4" w:name="page85"/>
    <w:bookmarkEnd w:id="84"/>
    <w:p>
      <w:pPr>
        <w:ind w:left="460" w:right="1259"/>
        <w:spacing w:after="0" w:line="257"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0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4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39"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5" w:name="page86"/>
    <w:bookmarkEnd w:id="85"/>
    <w:p>
      <w:pPr>
        <w:ind w:left="460" w:right="1139"/>
        <w:spacing w:after="0"/>
        <w:rPr>
          <w:sz w:val="20"/>
          <w:szCs w:val="20"/>
          <w:color w:val="auto"/>
        </w:rPr>
      </w:pPr>
      <w:r>
        <w:rPr>
          <w:rFonts w:ascii="Arial" w:cs="Arial" w:eastAsia="Arial" w:hAnsi="Arial"/>
          <w:sz w:val="18"/>
          <w:szCs w:val="18"/>
          <w:color w:val="auto"/>
        </w:rPr>
        <w:t>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122"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 The momentum of research and development strategies of the biopharmaceutical industry makes this clear, with global R&amp;D expenditures projected by Statista to be $ 182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27" w:lineRule="exact"/>
        <w:rPr>
          <w:sz w:val="20"/>
          <w:szCs w:val="20"/>
          <w:color w:val="auto"/>
        </w:rPr>
      </w:pPr>
    </w:p>
    <w:p>
      <w:pPr>
        <w:ind w:left="1100" w:right="459" w:hanging="322"/>
        <w:spacing w:after="0" w:line="236"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17" w:lineRule="exact"/>
        <w:rPr>
          <w:rFonts w:ascii="Arial" w:cs="Arial" w:eastAsia="Arial" w:hAnsi="Arial"/>
          <w:sz w:val="18"/>
          <w:szCs w:val="18"/>
          <w:color w:val="auto"/>
        </w:rPr>
      </w:pPr>
    </w:p>
    <w:p>
      <w:pPr>
        <w:ind w:left="1100" w:right="499" w:hanging="322"/>
        <w:spacing w:after="0" w:line="236"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31" w:lineRule="exact"/>
        <w:rPr>
          <w:rFonts w:ascii="Arial" w:cs="Arial" w:eastAsia="Arial" w:hAnsi="Arial"/>
          <w:sz w:val="18"/>
          <w:szCs w:val="18"/>
          <w:color w:val="auto"/>
        </w:rPr>
      </w:pPr>
    </w:p>
    <w:p>
      <w:pPr>
        <w:ind w:left="1100" w:right="479" w:hanging="322"/>
        <w:spacing w:after="0" w:line="236"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138"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121"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13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Over the years, members of our management team from Casdin Capital have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124" w:lineRule="exact"/>
        <w:rPr>
          <w:sz w:val="20"/>
          <w:szCs w:val="20"/>
          <w:color w:val="auto"/>
        </w:rPr>
      </w:pPr>
    </w:p>
    <w:p>
      <w:pPr>
        <w:ind w:left="460" w:right="479"/>
        <w:spacing w:after="0" w:line="246" w:lineRule="auto"/>
        <w:rPr>
          <w:sz w:val="20"/>
          <w:szCs w:val="20"/>
          <w:color w:val="auto"/>
        </w:rPr>
      </w:pPr>
      <w:r>
        <w:rPr>
          <w:rFonts w:ascii="Arial" w:cs="Arial" w:eastAsia="Arial" w:hAnsi="Arial"/>
          <w:sz w:val="17"/>
          <w:szCs w:val="17"/>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19"/>
          <w:szCs w:val="19"/>
          <w:color w:val="auto"/>
          <w:vertAlign w:val="superscript"/>
        </w:rPr>
        <w:t>th</w:t>
      </w:r>
      <w:r>
        <w:rPr>
          <w:rFonts w:ascii="Arial" w:cs="Arial" w:eastAsia="Arial" w:hAnsi="Arial"/>
          <w:sz w:val="17"/>
          <w:szCs w:val="17"/>
          <w:color w:val="auto"/>
        </w:rPr>
        <w:t>, 2020, Casdin Capital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Casdin Capital has also fostered relationships with leading scientific and research institutions, such as Children’s Hospital of Philadelphia, Dana-Farber Cancer Institute, Massachusetts General Hospital, MD Anderson Cancer Center, Memorial Sloan Kettering Cancer Center, the New York Genome Center and Scripps Research. We expect that this deep understanding and these strong relationships, to which we will have access through members of our management team from Casdin Capital, will provide CM Life Sciences a pipeline of proprietary opportunities that will continue to increase as new players enter the space, and as established players continue to branch out.</w:t>
      </w:r>
    </w:p>
    <w:p>
      <w:pPr>
        <w:spacing w:after="0" w:line="20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7" w:name="page88"/>
    <w:bookmarkEnd w:id="87"/>
    <w:p>
      <w:pPr>
        <w:ind w:left="460" w:right="519"/>
        <w:spacing w:after="0" w:line="253" w:lineRule="auto"/>
        <w:rPr>
          <w:sz w:val="20"/>
          <w:szCs w:val="20"/>
          <w:color w:val="auto"/>
        </w:rPr>
      </w:pPr>
      <w:r>
        <w:rPr>
          <w:rFonts w:ascii="Arial" w:cs="Arial" w:eastAsia="Arial" w:hAnsi="Arial"/>
          <w:sz w:val="17"/>
          <w:szCs w:val="17"/>
          <w:color w:val="auto"/>
        </w:rPr>
        <w:t>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110"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As an affiliate of Casdin Capital with key management members from Casdin Capital, we intend to leverage its reputation and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134"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27" w:lineRule="exact"/>
        <w:rPr>
          <w:sz w:val="20"/>
          <w:szCs w:val="20"/>
          <w:color w:val="auto"/>
        </w:rPr>
      </w:pPr>
    </w:p>
    <w:p>
      <w:pPr>
        <w:ind w:left="1100" w:right="559" w:hanging="322"/>
        <w:spacing w:after="0" w:line="246" w:lineRule="auto"/>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4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460" w:right="61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Additionally, pursuant to Nasdaq rules, any initial business combination must be approved by a majority of our independent directors.</w:t>
      </w:r>
    </w:p>
    <w:p>
      <w:pPr>
        <w:spacing w:after="0" w:line="14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8" w:name="page89"/>
    <w:bookmarkEnd w:id="88"/>
    <w:p>
      <w:pPr>
        <w:ind w:left="460" w:right="479"/>
        <w:spacing w:after="0" w:line="235" w:lineRule="auto"/>
        <w:rPr>
          <w:sz w:val="20"/>
          <w:szCs w:val="20"/>
          <w:color w:val="auto"/>
        </w:rPr>
      </w:pPr>
      <w:r>
        <w:rPr>
          <w:rFonts w:ascii="Arial" w:cs="Arial" w:eastAsia="Arial" w:hAnsi="Arial"/>
          <w:sz w:val="18"/>
          <w:szCs w:val="18"/>
          <w:color w:val="auto"/>
        </w:rPr>
        <w:t>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32"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2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and/or forward purchase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9" w:name="page90"/>
    <w:bookmarkEnd w:id="89"/>
    <w:p>
      <w:pPr>
        <w:ind w:left="460" w:right="479"/>
        <w:spacing w:after="0" w:line="236" w:lineRule="auto"/>
        <w:rPr>
          <w:sz w:val="20"/>
          <w:szCs w:val="20"/>
          <w:color w:val="auto"/>
        </w:rPr>
      </w:pPr>
      <w:r>
        <w:rPr>
          <w:rFonts w:ascii="Arial" w:cs="Arial" w:eastAsia="Arial" w:hAnsi="Arial"/>
          <w:sz w:val="18"/>
          <w:szCs w:val="18"/>
          <w:color w:val="auto"/>
        </w:rPr>
        <w:t>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2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$ 337,750,000 (assuming no redemptions), after payment of $ 12,250,000 of deferred underwriting fees (or $388,412,500 (assuming no redemptions) after payment of $14,087,500 of deferred underwriting fees if the underwriters’ over-allotment option is exercised in full) and up to $150,000,000 in proceeds from the sale of forward purchase shares,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6" w:lineRule="exact"/>
        <w:rPr>
          <w:sz w:val="20"/>
          <w:szCs w:val="20"/>
          <w:color w:val="auto"/>
        </w:rPr>
      </w:pPr>
    </w:p>
    <w:p>
      <w:pPr>
        <w:ind w:left="1100" w:right="639" w:hanging="322"/>
        <w:spacing w:after="0"/>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27"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0" w:name="page91"/>
    <w:bookmarkEnd w:id="90"/>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37"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6"/>
        </w:trPr>
        <w:tc>
          <w:tcPr>
            <w:tcW w:w="6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Yes</w:t>
            </w:r>
          </w:p>
        </w:tc>
      </w:tr>
    </w:tbl>
    <w:p>
      <w:pPr>
        <w:spacing w:after="0" w:line="215"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8" w:lineRule="exact"/>
        <w:rPr>
          <w:sz w:val="20"/>
          <w:szCs w:val="20"/>
          <w:color w:val="auto"/>
        </w:rPr>
      </w:pPr>
    </w:p>
    <w:p>
      <w:pPr>
        <w:ind w:left="1100" w:right="599" w:hanging="322"/>
        <w:spacing w:after="0" w:line="238" w:lineRule="auto"/>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outstanding or (b) have voting power equal to or in excess of 20% of the voting power then outstanding;</w:t>
      </w:r>
    </w:p>
    <w:p>
      <w:pPr>
        <w:spacing w:after="0" w:line="29" w:lineRule="exact"/>
        <w:rPr>
          <w:rFonts w:ascii="Arial" w:cs="Arial" w:eastAsia="Arial" w:hAnsi="Arial"/>
          <w:sz w:val="18"/>
          <w:szCs w:val="18"/>
          <w:color w:val="auto"/>
        </w:rPr>
      </w:pPr>
    </w:p>
    <w:p>
      <w:pPr>
        <w:ind w:left="1100" w:right="659" w:hanging="322"/>
        <w:spacing w:after="0" w:line="236" w:lineRule="auto"/>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35"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1" w:name="page92"/>
    <w:bookmarkEnd w:id="91"/>
    <w:p>
      <w:pPr>
        <w:ind w:left="460" w:right="679"/>
        <w:spacing w:after="0" w:line="238" w:lineRule="auto"/>
        <w:rPr>
          <w:sz w:val="20"/>
          <w:szCs w:val="20"/>
          <w:color w:val="auto"/>
        </w:rPr>
      </w:pPr>
      <w:r>
        <w:rPr>
          <w:rFonts w:ascii="Arial" w:cs="Arial" w:eastAsia="Arial" w:hAnsi="Arial"/>
          <w:sz w:val="18"/>
          <w:szCs w:val="18"/>
          <w:color w:val="auto"/>
        </w:rPr>
        <w:t>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21"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9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66"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92" w:name="page93"/>
    <w:bookmarkEnd w:id="92"/>
    <w:p>
      <w:pPr>
        <w:ind w:left="460" w:right="659"/>
        <w:spacing w:after="0" w:line="236" w:lineRule="auto"/>
        <w:rPr>
          <w:sz w:val="20"/>
          <w:szCs w:val="20"/>
          <w:color w:val="auto"/>
        </w:rPr>
      </w:pPr>
      <w:r>
        <w:rPr>
          <w:rFonts w:ascii="Arial" w:cs="Arial" w:eastAsia="Arial" w:hAnsi="Arial"/>
          <w:sz w:val="18"/>
          <w:szCs w:val="18"/>
          <w:color w:val="auto"/>
        </w:rPr>
        <w:t>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37"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8" w:lineRule="exact"/>
        <w:rPr>
          <w:sz w:val="20"/>
          <w:szCs w:val="20"/>
          <w:color w:val="auto"/>
        </w:rPr>
      </w:pPr>
    </w:p>
    <w:p>
      <w:pPr>
        <w:ind w:left="1100" w:right="479" w:hanging="322"/>
        <w:spacing w:after="0"/>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100" w:hanging="322"/>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3" w:name="page94"/>
    <w:bookmarkEnd w:id="93"/>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8" w:lineRule="exact"/>
        <w:rPr>
          <w:sz w:val="20"/>
          <w:szCs w:val="20"/>
          <w:color w:val="auto"/>
        </w:rPr>
      </w:pPr>
    </w:p>
    <w:p>
      <w:pPr>
        <w:ind w:left="1100" w:right="739" w:hanging="322"/>
        <w:spacing w:after="0" w:line="246"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3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45"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4" w:name="page95"/>
    <w:bookmarkEnd w:id="94"/>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32"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4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5" w:name="page96"/>
    <w:bookmarkEnd w:id="95"/>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24"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66"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33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2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4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35"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per-share redemption amount received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6" w:name="page97"/>
    <w:bookmarkEnd w:id="96"/>
    <w:p>
      <w:pPr>
        <w:ind w:left="460" w:right="479"/>
        <w:spacing w:after="0" w:line="236" w:lineRule="auto"/>
        <w:rPr>
          <w:sz w:val="20"/>
          <w:szCs w:val="20"/>
          <w:color w:val="auto"/>
        </w:rPr>
      </w:pPr>
      <w:r>
        <w:rPr>
          <w:rFonts w:ascii="Arial" w:cs="Arial" w:eastAsia="Arial" w:hAnsi="Arial"/>
          <w:sz w:val="18"/>
          <w:szCs w:val="18"/>
          <w:color w:val="auto"/>
        </w:rPr>
        <w:t>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2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41"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7" w:name="page98"/>
    <w:bookmarkEnd w:id="97"/>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25"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42"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8" w:name="page99"/>
    <w:bookmarkEnd w:id="98"/>
    <w:p>
      <w:pPr>
        <w:ind w:left="460" w:right="479"/>
        <w:spacing w:after="0" w:line="251" w:lineRule="auto"/>
        <w:rPr>
          <w:sz w:val="20"/>
          <w:szCs w:val="20"/>
          <w:color w:val="auto"/>
        </w:rPr>
      </w:pPr>
      <w:r>
        <w:rPr>
          <w:rFonts w:ascii="Arial" w:cs="Arial" w:eastAsia="Arial" w:hAnsi="Arial"/>
          <w:sz w:val="17"/>
          <w:szCs w:val="17"/>
          <w:color w:val="auto"/>
        </w:rPr>
        <w:t>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1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9" w:name="page100"/>
    <w:bookmarkEnd w:id="99"/>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40" w:hanging="179"/>
        <w:spacing w:after="0" w:line="275"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60" w:right="2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taxes, divided by the number of then outstanding public shares, subject to the limitation that no redemptions will take place if all of the redemptions would cause our net tangible assets to be less than $5,000,001.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0" w:righ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If we seek stockholder approval of our initial business combination, our initial stockholders, directors, officers, advisors or their respective affiliates may purchase public shares in privately negotiated transactions or in the open market either prior to or following completion of our initial business combination. There is no limit to the prices that our initial stockholders, directors, officers, advisors or their respective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100" w:right="49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taxes (less up to $100,000 of interest to pay dissolution expenses) divided by the number of then outstanding public shares.</w:t>
      </w:r>
    </w:p>
    <w:p>
      <w:pPr>
        <w:spacing w:after="0" w:line="5469" w:lineRule="exact"/>
        <w:rPr>
          <w:sz w:val="20"/>
          <w:szCs w:val="20"/>
          <w:color w:val="auto"/>
        </w:rPr>
      </w:pPr>
    </w:p>
    <w:p>
      <w:pPr>
        <w:sectPr>
          <w:pgSz w:w="11900" w:h="16838" w:orient="portrait"/>
          <w:cols w:equalWidth="0" w:num="4">
            <w:col w:w="1640" w:space="360"/>
            <w:col w:w="2060" w:space="100"/>
            <w:col w:w="2100" w:space="100"/>
            <w:col w:w="2659"/>
          </w:cols>
          <w:pgMar w:left="1440" w:top="333"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0" w:name="page101"/>
    <w:bookmarkEnd w:id="100"/>
    <w:p>
      <w:pPr>
        <w:spacing w:after="0" w:line="200" w:lineRule="exact"/>
        <w:rPr>
          <w:sz w:val="20"/>
          <w:szCs w:val="20"/>
          <w:color w:val="auto"/>
        </w:rPr>
      </w:pPr>
    </w:p>
    <w:p>
      <w:pPr>
        <w:spacing w:after="0" w:line="31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ind w:left="6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redemptions in</w:t>
      </w:r>
    </w:p>
    <w:p>
      <w:pPr>
        <w:spacing w:after="0" w:line="234" w:lineRule="auto"/>
        <w:rPr>
          <w:sz w:val="20"/>
          <w:szCs w:val="20"/>
          <w:color w:val="auto"/>
        </w:rPr>
      </w:pPr>
      <w:r>
        <w:rPr>
          <w:rFonts w:ascii="Arial" w:cs="Arial" w:eastAsia="Arial" w:hAnsi="Arial"/>
          <w:sz w:val="18"/>
          <w:szCs w:val="18"/>
          <w:color w:val="auto"/>
        </w:rPr>
        <w:t>connection with our initial</w:t>
      </w:r>
    </w:p>
    <w:p>
      <w:pPr>
        <w:spacing w:after="0" w:line="235" w:lineRule="auto"/>
        <w:rPr>
          <w:sz w:val="20"/>
          <w:szCs w:val="20"/>
          <w:color w:val="auto"/>
        </w:rPr>
      </w:pPr>
      <w:r>
        <w:rPr>
          <w:rFonts w:ascii="Arial" w:cs="Arial" w:eastAsia="Arial" w:hAnsi="Arial"/>
          <w:sz w:val="18"/>
          <w:szCs w:val="18"/>
          <w:color w:val="auto"/>
        </w:rPr>
        <w:t>business combination will</w:t>
      </w:r>
    </w:p>
    <w:p>
      <w:pPr>
        <w:spacing w:after="0" w:line="235" w:lineRule="auto"/>
        <w:rPr>
          <w:sz w:val="20"/>
          <w:szCs w:val="20"/>
          <w:color w:val="auto"/>
        </w:rPr>
      </w:pPr>
      <w:r>
        <w:rPr>
          <w:rFonts w:ascii="Arial" w:cs="Arial" w:eastAsia="Arial" w:hAnsi="Arial"/>
          <w:sz w:val="18"/>
          <w:szCs w:val="18"/>
          <w:color w:val="auto"/>
        </w:rPr>
        <w:t>reduce the book value</w:t>
      </w:r>
    </w:p>
    <w:p>
      <w:pPr>
        <w:spacing w:after="0" w:line="235" w:lineRule="auto"/>
        <w:rPr>
          <w:sz w:val="20"/>
          <w:szCs w:val="20"/>
          <w:color w:val="auto"/>
        </w:rPr>
      </w:pPr>
      <w:r>
        <w:rPr>
          <w:rFonts w:ascii="Arial" w:cs="Arial" w:eastAsia="Arial" w:hAnsi="Arial"/>
          <w:sz w:val="18"/>
          <w:szCs w:val="18"/>
          <w:color w:val="auto"/>
        </w:rPr>
        <w:t>per share for our</w:t>
      </w:r>
    </w:p>
    <w:p>
      <w:pPr>
        <w:spacing w:after="0" w:line="235" w:lineRule="auto"/>
        <w:rPr>
          <w:sz w:val="20"/>
          <w:szCs w:val="20"/>
          <w:color w:val="auto"/>
        </w:rPr>
      </w:pPr>
      <w:r>
        <w:rPr>
          <w:rFonts w:ascii="Arial" w:cs="Arial" w:eastAsia="Arial" w:hAnsi="Arial"/>
          <w:sz w:val="18"/>
          <w:szCs w:val="18"/>
          <w:color w:val="auto"/>
        </w:rPr>
        <w:t>remaining stockholders,</w:t>
      </w:r>
    </w:p>
    <w:p>
      <w:pPr>
        <w:spacing w:after="0" w:line="234" w:lineRule="auto"/>
        <w:rPr>
          <w:sz w:val="20"/>
          <w:szCs w:val="20"/>
          <w:color w:val="auto"/>
        </w:rPr>
      </w:pPr>
      <w:r>
        <w:rPr>
          <w:rFonts w:ascii="Arial" w:cs="Arial" w:eastAsia="Arial" w:hAnsi="Arial"/>
          <w:sz w:val="18"/>
          <w:szCs w:val="18"/>
          <w:color w:val="auto"/>
        </w:rPr>
        <w:t>who will bear the burden</w:t>
      </w:r>
    </w:p>
    <w:p>
      <w:pPr>
        <w:spacing w:after="0" w:line="235" w:lineRule="auto"/>
        <w:rPr>
          <w:sz w:val="20"/>
          <w:szCs w:val="20"/>
          <w:color w:val="auto"/>
        </w:rPr>
      </w:pPr>
      <w:r>
        <w:rPr>
          <w:rFonts w:ascii="Arial" w:cs="Arial" w:eastAsia="Arial" w:hAnsi="Arial"/>
          <w:sz w:val="18"/>
          <w:szCs w:val="18"/>
          <w:color w:val="auto"/>
        </w:rPr>
        <w:t>of the deferred</w:t>
      </w:r>
    </w:p>
    <w:p>
      <w:pPr>
        <w:spacing w:after="0" w:line="235" w:lineRule="auto"/>
        <w:rPr>
          <w:sz w:val="20"/>
          <w:szCs w:val="20"/>
          <w:color w:val="auto"/>
        </w:rPr>
      </w:pPr>
      <w:r>
        <w:rPr>
          <w:rFonts w:ascii="Arial" w:cs="Arial" w:eastAsia="Arial" w:hAnsi="Arial"/>
          <w:sz w:val="18"/>
          <w:szCs w:val="18"/>
          <w:color w:val="auto"/>
        </w:rPr>
        <w:t>underwriting</w:t>
      </w:r>
    </w:p>
    <w:p>
      <w:pPr>
        <w:spacing w:after="0" w:line="235" w:lineRule="auto"/>
        <w:rPr>
          <w:sz w:val="20"/>
          <w:szCs w:val="20"/>
          <w:color w:val="auto"/>
        </w:rPr>
      </w:pPr>
      <w:r>
        <w:rPr>
          <w:rFonts w:ascii="Arial" w:cs="Arial" w:eastAsia="Arial" w:hAnsi="Arial"/>
          <w:sz w:val="18"/>
          <w:szCs w:val="18"/>
          <w:color w:val="auto"/>
        </w:rPr>
        <w:t>commissions and interest</w:t>
      </w:r>
    </w:p>
    <w:p>
      <w:pPr>
        <w:spacing w:after="0" w:line="235" w:lineRule="auto"/>
        <w:rPr>
          <w:sz w:val="20"/>
          <w:szCs w:val="20"/>
          <w:color w:val="auto"/>
        </w:rPr>
      </w:pPr>
      <w:r>
        <w:rPr>
          <w:rFonts w:ascii="Arial" w:cs="Arial" w:eastAsia="Arial" w:hAnsi="Arial"/>
          <w:sz w:val="18"/>
          <w:szCs w:val="18"/>
          <w:color w:val="auto"/>
        </w:rPr>
        <w:t>withdrawn in order to pay</w:t>
      </w:r>
    </w:p>
    <w:p>
      <w:pPr>
        <w:spacing w:after="0" w:line="234" w:lineRule="auto"/>
        <w:rPr>
          <w:sz w:val="20"/>
          <w:szCs w:val="20"/>
          <w:color w:val="auto"/>
        </w:rPr>
      </w:pPr>
      <w:r>
        <w:rPr>
          <w:rFonts w:ascii="Arial" w:cs="Arial" w:eastAsia="Arial" w:hAnsi="Arial"/>
          <w:sz w:val="18"/>
          <w:szCs w:val="18"/>
          <w:color w:val="auto"/>
        </w:rPr>
        <w:t>our taxes (to the extent</w:t>
      </w:r>
    </w:p>
    <w:p>
      <w:pPr>
        <w:spacing w:after="0" w:line="235" w:lineRule="auto"/>
        <w:rPr>
          <w:sz w:val="20"/>
          <w:szCs w:val="20"/>
          <w:color w:val="auto"/>
        </w:rPr>
      </w:pPr>
      <w:r>
        <w:rPr>
          <w:rFonts w:ascii="Arial" w:cs="Arial" w:eastAsia="Arial" w:hAnsi="Arial"/>
          <w:sz w:val="18"/>
          <w:szCs w:val="18"/>
          <w:color w:val="auto"/>
        </w:rPr>
        <w:t>not paid from amounts</w:t>
      </w:r>
    </w:p>
    <w:p>
      <w:pPr>
        <w:spacing w:after="0" w:line="235" w:lineRule="auto"/>
        <w:rPr>
          <w:sz w:val="20"/>
          <w:szCs w:val="20"/>
          <w:color w:val="auto"/>
        </w:rPr>
      </w:pPr>
      <w:r>
        <w:rPr>
          <w:rFonts w:ascii="Arial" w:cs="Arial" w:eastAsia="Arial" w:hAnsi="Arial"/>
          <w:sz w:val="18"/>
          <w:szCs w:val="18"/>
          <w:color w:val="auto"/>
        </w:rPr>
        <w:t>accrued as interest on</w:t>
      </w:r>
    </w:p>
    <w:p>
      <w:pPr>
        <w:spacing w:after="0" w:line="235" w:lineRule="auto"/>
        <w:rPr>
          <w:sz w:val="20"/>
          <w:szCs w:val="20"/>
          <w:color w:val="auto"/>
        </w:rPr>
      </w:pPr>
      <w:r>
        <w:rPr>
          <w:rFonts w:ascii="Arial" w:cs="Arial" w:eastAsia="Arial" w:hAnsi="Arial"/>
          <w:sz w:val="18"/>
          <w:szCs w:val="18"/>
          <w:color w:val="auto"/>
        </w:rPr>
        <w:t>the funds held in the trust</w:t>
      </w:r>
    </w:p>
    <w:p>
      <w:pPr>
        <w:spacing w:after="0"/>
        <w:rPr>
          <w:sz w:val="20"/>
          <w:szCs w:val="20"/>
          <w:color w:val="auto"/>
        </w:rPr>
      </w:pPr>
      <w:r>
        <w:rPr>
          <w:rFonts w:ascii="Arial" w:cs="Arial" w:eastAsia="Arial" w:hAnsi="Arial"/>
          <w:sz w:val="18"/>
          <w:szCs w:val="18"/>
          <w:color w:val="auto"/>
        </w:rPr>
        <w:t>account).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79" w:right="20"/>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 w:lineRule="exact"/>
        <w:rPr>
          <w:sz w:val="20"/>
          <w:szCs w:val="20"/>
          <w:color w:val="auto"/>
        </w:rPr>
      </w:pPr>
    </w:p>
    <w:p>
      <w:pPr>
        <w:ind w:right="579"/>
        <w:spacing w:after="0" w:line="251"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00" w:lineRule="exact"/>
        <w:rPr>
          <w:sz w:val="20"/>
          <w:szCs w:val="20"/>
          <w:color w:val="auto"/>
        </w:rPr>
      </w:pPr>
    </w:p>
    <w:p>
      <w:pPr>
        <w:sectPr>
          <w:pgSz w:w="11900" w:h="16838" w:orient="portrait"/>
          <w:cols w:equalWidth="0" w:num="4">
            <w:col w:w="1760" w:space="240"/>
            <w:col w:w="2040" w:space="120"/>
            <w:col w:w="2080" w:space="120"/>
            <w:col w:w="2659"/>
          </w:cols>
          <w:pgMar w:left="1440" w:top="302" w:right="1440" w:bottom="1440" w:gutter="0" w:footer="0" w:header="0"/>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30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$350,000,000 of the net proceeds of this offering and the sale of the private placement warrants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$297,675,000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$350,000,000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$ 350,000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101" w:name="page102"/>
    <w:bookmarkEnd w:id="101"/>
    <w:p>
      <w:pPr>
        <w:spacing w:after="0" w:line="193" w:lineRule="exact"/>
        <w:rPr>
          <w:sz w:val="20"/>
          <w:szCs w:val="20"/>
          <w:color w:val="auto"/>
        </w:rPr>
      </w:pPr>
    </w:p>
    <w:p>
      <w:pPr>
        <w:ind w:left="640" w:right="2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60" w:hanging="179"/>
        <w:spacing w:after="0" w:line="271" w:lineRule="auto"/>
        <w:rPr>
          <w:sz w:val="20"/>
          <w:szCs w:val="20"/>
          <w:color w:val="auto"/>
        </w:rPr>
      </w:pPr>
      <w:r>
        <w:rPr>
          <w:rFonts w:ascii="Arial" w:cs="Arial" w:eastAsia="Arial" w:hAnsi="Arial"/>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540" w:hanging="179"/>
        <w:spacing w:after="0" w:line="271" w:lineRule="auto"/>
        <w:rPr>
          <w:sz w:val="20"/>
          <w:szCs w:val="20"/>
          <w:color w:val="auto"/>
        </w:rPr>
      </w:pPr>
      <w:r>
        <w:rPr>
          <w:rFonts w:ascii="Arial" w:cs="Arial" w:eastAsia="Arial" w:hAnsi="Arial"/>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hanging="179"/>
        <w:spacing w:after="0" w:line="271"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3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described herein. We may not be required by law to hold a stockholder vote. If we</w:t>
      </w:r>
    </w:p>
    <w:p>
      <w:pPr>
        <w:spacing w:after="0" w:line="20" w:lineRule="exact"/>
        <w:rPr>
          <w:sz w:val="20"/>
          <w:szCs w:val="20"/>
          <w:color w:val="auto"/>
        </w:rPr>
      </w:pPr>
      <w:r>
        <w:rPr>
          <w:sz w:val="20"/>
          <w:szCs w:val="20"/>
          <w:color w:val="auto"/>
        </w:rPr>
        <w:br w:type="column"/>
      </w:r>
    </w:p>
    <w:p>
      <w:pPr>
        <w:jc w:val="center"/>
        <w:ind w:right="459"/>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79"/>
        <w:spacing w:after="0" w:line="237"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91" w:lineRule="exact"/>
        <w:rPr>
          <w:sz w:val="20"/>
          <w:szCs w:val="20"/>
          <w:color w:val="auto"/>
        </w:rPr>
      </w:pPr>
    </w:p>
    <w:p>
      <w:pPr>
        <w:ind w:right="519"/>
        <w:spacing w:after="0" w:line="24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or dividends, if any, held in</w:t>
      </w:r>
    </w:p>
    <w:p>
      <w:pPr>
        <w:spacing w:after="0" w:line="200" w:lineRule="exact"/>
        <w:rPr>
          <w:sz w:val="20"/>
          <w:szCs w:val="20"/>
          <w:color w:val="auto"/>
        </w:rPr>
      </w:pPr>
    </w:p>
    <w:p>
      <w:pPr>
        <w:sectPr>
          <w:pgSz w:w="11900" w:h="16838" w:orient="portrait"/>
          <w:cols w:equalWidth="0" w:num="3">
            <w:col w:w="2280" w:space="160"/>
            <w:col w:w="2940" w:space="100"/>
            <w:col w:w="3539"/>
          </w:cols>
          <w:pgMar w:left="1440" w:top="383"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102" w:name="page103"/>
    <w:bookmarkEnd w:id="102"/>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6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r>
      <w:tr>
        <w:trPr>
          <w:trHeight w:val="195"/>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are not required by law and do not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otherwise decide to hold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stockholder vote, we will, pursuant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amended and restated certificate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 incorporation, conduct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redemptions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of the SEC and file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documents with the SEC which</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will contain substantially the same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financial and other information about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initial business combination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redemption rights as is required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under the SEC’s proxy rules. If,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however, we hold a stockholder vote,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we will, like many blank check</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offer to redeem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conjunction with a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solicitation pursuant to the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rules and not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If we seek stockholder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approval, we will complete our initial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only if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majority of the shares of common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 voted are voted in favor of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Additionally,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each public stockholder may elect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their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irrespective of whether they vote for</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or against the proposed transaction.</w:t>
            </w:r>
          </w:p>
        </w:tc>
      </w:tr>
      <w:tr>
        <w:trPr>
          <w:trHeight w:val="369"/>
        </w:trPr>
        <w:tc>
          <w:tcPr>
            <w:tcW w:w="1620" w:type="dxa"/>
            <w:vAlign w:val="bottom"/>
          </w:tcPr>
          <w:p>
            <w:pPr>
              <w:spacing w:after="0"/>
              <w:rPr>
                <w:sz w:val="20"/>
                <w:szCs w:val="20"/>
                <w:color w:val="auto"/>
              </w:rPr>
            </w:pPr>
            <w:r>
              <w:rPr>
                <w:rFonts w:ascii="Arial" w:cs="Arial" w:eastAsia="Arial" w:hAnsi="Arial"/>
                <w:sz w:val="18"/>
                <w:szCs w:val="18"/>
                <w:b w:val="1"/>
                <w:bCs w:val="1"/>
                <w:color w:val="auto"/>
              </w:rPr>
              <w:t>Business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If we are unable to complete an</w:t>
            </w:r>
          </w:p>
        </w:tc>
      </w:tr>
      <w:tr>
        <w:trPr>
          <w:trHeight w:val="203"/>
        </w:trPr>
        <w:tc>
          <w:tcPr>
            <w:tcW w:w="16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combination</w:t>
            </w: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initial business combination within 24</w:t>
            </w:r>
          </w:p>
        </w:tc>
      </w:tr>
      <w:tr>
        <w:trPr>
          <w:trHeight w:val="225"/>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months from the closing of this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offering, we will (i) cease all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operations except for the purpose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winding up, (ii) as promptly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reasonably possible but not more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than ten business days thereafter,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100% of the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 per-share price, payable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equal to the aggregate amount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on deposit in the trust account,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including interest earned on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funds held in the trust account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not previously released to us to pay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taxes (less up to $100,000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to pay dissolution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expenses), divided by the number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outstanding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which redemption will completely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extinguish public stockholders’ rights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as stockholders (including the right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 receive further liquidating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distributions, if any), and (iii) as</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promptly as reasonably possible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following such redemption, subject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approval of our remaining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stockholders and our board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liquidate and dissolve,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in each case to our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obligations under Delaware law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provide for claims of creditors and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all cases subject to the requirements</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of other applicable law.</w:t>
            </w:r>
          </w:p>
        </w:tc>
      </w:tr>
      <w:tr>
        <w:trPr>
          <w:trHeight w:val="432"/>
        </w:trPr>
        <w:tc>
          <w:tcPr>
            <w:tcW w:w="1620" w:type="dxa"/>
            <w:vAlign w:val="bottom"/>
          </w:tcPr>
          <w:p>
            <w:pPr>
              <w:spacing w:after="0"/>
              <w:rPr>
                <w:sz w:val="24"/>
                <w:szCs w:val="24"/>
                <w:color w:val="auto"/>
              </w:rPr>
            </w:pPr>
          </w:p>
        </w:tc>
        <w:tc>
          <w:tcPr>
            <w:tcW w:w="3320" w:type="dxa"/>
            <w:vAlign w:val="bottom"/>
            <w:gridSpan w:val="2"/>
          </w:tcPr>
          <w:p>
            <w:pPr>
              <w:ind w:left="2320"/>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659"/>
        <w:spacing w:after="0" w:line="236" w:lineRule="auto"/>
        <w:rPr>
          <w:sz w:val="20"/>
          <w:szCs w:val="20"/>
          <w:color w:val="auto"/>
        </w:rPr>
      </w:pPr>
      <w:r>
        <w:rPr>
          <w:rFonts w:ascii="Arial" w:cs="Arial" w:eastAsia="Arial" w:hAnsi="Arial"/>
          <w:sz w:val="18"/>
          <w:szCs w:val="18"/>
          <w:color w:val="auto"/>
        </w:rPr>
        <w:t>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400" w:space="80"/>
            <w:col w:w="3539"/>
          </w:cols>
          <w:pgMar w:left="1440" w:top="383" w:right="1440" w:bottom="1440" w:gutter="0" w:footer="0" w:header="0"/>
        </w:sectPr>
      </w:pPr>
    </w:p>
    <w:bookmarkStart w:id="103" w:name="page104"/>
    <w:bookmarkEnd w:id="103"/>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for the withdrawal of interest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pay our taxes, none of the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held in trust will be released from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trust account until the earliest of (i)</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completion of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(ii) the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are unable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complete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subject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law, and (iii)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of our public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properly submitted in connection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with a stockholder vote to approve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 amendment to our amended and</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obligation to redeem 100%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have not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consummated an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or with</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respect to any other material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provisions relating to stockholders’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rights or pre-initial business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combination activity.</w:t>
            </w: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Delivering stock</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We intend to require our public</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stockholders seeking to exercise</w:t>
            </w: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connection with the</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their redemption rights, whether they</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exercise of</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record holders or hold their</w:t>
            </w:r>
          </w:p>
        </w:tc>
        <w:tc>
          <w:tcPr>
            <w:tcW w:w="0" w:type="dxa"/>
            <w:vAlign w:val="bottom"/>
          </w:tcPr>
          <w:p>
            <w:pPr>
              <w:spacing w:after="0"/>
              <w:rPr>
                <w:sz w:val="1"/>
                <w:szCs w:val="1"/>
                <w:color w:val="auto"/>
              </w:rPr>
            </w:pPr>
          </w:p>
        </w:tc>
      </w:tr>
      <w:tr>
        <w:trPr>
          <w:trHeight w:val="225"/>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shares in “street name,” to, at the</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option, either deliver their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 certificates to our transfer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agent or deliver their shares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electronically using</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Depository Trust Company’s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DWAC (Deposit/Withdrawal At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Custodian) system, prior to the date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set forth in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In the case of proxy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materials, this date may be up to two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business days prior to the date 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which the vote on the proposal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approve the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is to be held.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addition, if we conduct redemptions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in connection with a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we intend to require a public</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seeking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its public shares to also submit 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written request for redemption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two business days</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prior to the vote in which the name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beneficial owner of such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is included.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Accordingly, a public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would have up to two business days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prior to the vote on the</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3020" w:type="dxa"/>
            <w:vAlign w:val="bottom"/>
            <w:gridSpan w:val="2"/>
          </w:tcPr>
          <w:p>
            <w:pPr>
              <w:ind w:left="20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ectPr>
          <w:pgSz w:w="11900" w:h="16838" w:orient="portrait"/>
          <w:cols w:equalWidth="0" w:num="2">
            <w:col w:w="5400" w:space="80"/>
            <w:col w:w="3539"/>
          </w:cols>
          <w:pgMar w:left="1440" w:top="383" w:right="1440" w:bottom="1440" w:gutter="0" w:footer="0" w:header="0"/>
        </w:sectPr>
      </w:pPr>
    </w:p>
    <w:bookmarkStart w:id="104" w:name="page105"/>
    <w:bookmarkEnd w:id="104"/>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92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r>
      <w:tr>
        <w:trPr>
          <w:trHeight w:val="195"/>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initial business combination if we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distribute proxy materials, or from</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the time we send out our tender offer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materials until the close of the tender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period, as applicable, to submit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or tender its shares if it wishes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seek to exercise its redemption</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rights.</w:t>
            </w: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If we seek stockholder approval of</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initial business combination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of stockholders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we do not conduct redemptions in</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holding more than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20% of the shares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pursuant to the tender</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sold in this offering</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rules, our amended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if we hold a</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r>
      <w:tr>
        <w:trPr>
          <w:trHeight w:val="224"/>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stockholder vote</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provides that a public stockholder,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together with any affiliate of such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or any other person with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whom such stockholder is acting in</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concert or as a “group” (as defined</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 Section 13 of the Exchange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Act), will be restricted from seeking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rights with respect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without our prior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consent. However, we would not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restrict our stockholders’ ability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all of their shares (including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for or against our</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initial business combination.</w:t>
            </w:r>
          </w:p>
        </w:tc>
      </w:tr>
      <w:tr>
        <w:trPr>
          <w:trHeight w:val="459"/>
        </w:trPr>
        <w:tc>
          <w:tcPr>
            <w:tcW w:w="192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3633" w:lineRule="exact"/>
        <w:rPr>
          <w:sz w:val="20"/>
          <w:szCs w:val="20"/>
          <w:color w:val="auto"/>
        </w:rPr>
      </w:pPr>
    </w:p>
    <w:p>
      <w:pPr>
        <w:sectPr>
          <w:pgSz w:w="11900" w:h="16838" w:orient="portrait"/>
          <w:cols w:equalWidth="0" w:num="2">
            <w:col w:w="5400" w:space="80"/>
            <w:col w:w="3539"/>
          </w:cols>
          <w:pgMar w:left="1440" w:top="383" w:right="1440" w:bottom="1440" w:gutter="0" w:footer="0" w:header="0"/>
        </w:sectPr>
      </w:pPr>
    </w:p>
    <w:p>
      <w:pPr>
        <w:ind w:left="460" w:right="479"/>
        <w:spacing w:after="0" w:line="235"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6"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We currently utilize office space at 667 Madison Avenue, New York, NY 10065 from an affiliate of our sponsor and the members of our management team. We consider our current office space adequate for our current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105" w:name="page106"/>
    <w:bookmarkEnd w:id="105"/>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66" w:lineRule="exact"/>
        <w:rPr>
          <w:sz w:val="20"/>
          <w:szCs w:val="20"/>
          <w:color w:val="auto"/>
        </w:rPr>
      </w:pPr>
    </w:p>
    <w:p>
      <w:pPr>
        <w:ind w:left="460" w:right="579"/>
        <w:spacing w:after="0" w:line="257"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40"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1"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5"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6" w:name="page107"/>
    <w:bookmarkEnd w:id="106"/>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53"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7" w:name="page108"/>
    <w:bookmarkEnd w:id="107"/>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4300" w:type="dxa"/>
            <w:vAlign w:val="bottom"/>
          </w:tcPr>
          <w:p>
            <w:pPr>
              <w:ind w:left="18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 D. Casdin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4"/>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Sean George</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Munib Islam</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80" w:lineRule="exact"/>
        <w:rPr>
          <w:sz w:val="20"/>
          <w:szCs w:val="20"/>
          <w:color w:val="auto"/>
        </w:rPr>
      </w:pPr>
    </w:p>
    <w:p>
      <w:pPr>
        <w:ind w:left="460" w:right="659"/>
        <w:spacing w:after="0" w:line="239" w:lineRule="auto"/>
        <w:rPr>
          <w:sz w:val="20"/>
          <w:szCs w:val="20"/>
          <w:color w:val="auto"/>
        </w:rPr>
      </w:pPr>
      <w:r>
        <w:rPr>
          <w:rFonts w:ascii="Arial" w:cs="Arial" w:eastAsia="Arial" w:hAnsi="Arial"/>
          <w:sz w:val="18"/>
          <w:szCs w:val="18"/>
          <w:b w:val="1"/>
          <w:bCs w:val="1"/>
          <w:i w:val="1"/>
          <w:iCs w:val="1"/>
          <w:color w:val="auto"/>
        </w:rPr>
        <w:t xml:space="preserve">Eli Casdin </w:t>
      </w:r>
      <w:r>
        <w:rPr>
          <w:rFonts w:ascii="Arial" w:cs="Arial" w:eastAsia="Arial" w:hAnsi="Arial"/>
          <w:sz w:val="18"/>
          <w:szCs w:val="18"/>
          <w:color w:val="auto"/>
        </w:rPr>
        <w:t>has been our Chief Executive Officer since July 2020. He founded Casdin Capital,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firm focused on the life sciences and healthcare industry, in November 2011 and currently serves as its Chief Investment Officer. Mr. Casdin has served on the board of directors of Exact Sciences Corp. (Nasdaq: EXAS), a molecular diagnostics company focused on early cancer detection, treatment and monitoring, since October 2017.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76" w:lineRule="exact"/>
        <w:rPr>
          <w:sz w:val="20"/>
          <w:szCs w:val="20"/>
          <w:color w:val="auto"/>
        </w:rPr>
      </w:pPr>
    </w:p>
    <w:p>
      <w:pPr>
        <w:ind w:left="460" w:right="459"/>
        <w:spacing w:after="0" w:line="247" w:lineRule="auto"/>
        <w:rPr>
          <w:sz w:val="20"/>
          <w:szCs w:val="20"/>
          <w:color w:val="auto"/>
        </w:rPr>
      </w:pPr>
      <w:r>
        <w:rPr>
          <w:rFonts w:ascii="Arial" w:cs="Arial" w:eastAsia="Arial" w:hAnsi="Arial"/>
          <w:sz w:val="18"/>
          <w:szCs w:val="18"/>
          <w:b w:val="1"/>
          <w:bCs w:val="1"/>
          <w:i w:val="1"/>
          <w:iCs w:val="1"/>
          <w:color w:val="auto"/>
        </w:rPr>
        <w:t xml:space="preserve">Brian Emes </w:t>
      </w:r>
      <w:r>
        <w:rPr>
          <w:rFonts w:ascii="Arial" w:cs="Arial" w:eastAsia="Arial" w:hAnsi="Arial"/>
          <w:sz w:val="18"/>
          <w:szCs w:val="18"/>
          <w:color w:val="auto"/>
        </w:rPr>
        <w:t>has been our Chief Financial Officer and Secretary since July 2020. Mr. Emes is also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Corvex Management LP, a New York based investment manager, which he joined in January 2013. Mr. Emes holds a B.S. degree in finance and marketing from Elon University’s Martha &amp; Spencer Love School of Business, and is a licensed certified public accountant.</w:t>
      </w:r>
    </w:p>
    <w:p>
      <w:pPr>
        <w:spacing w:after="0" w:line="66"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firm focused on the 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460" w:right="479"/>
        <w:spacing w:after="0" w:line="238"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will serve on our board of directors following completion of this offering. Dr. George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Co-Founder, President and Chief Executive Officer of Invitae Corporation (NYSE: NVTA) since January 2017.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78"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b w:val="1"/>
          <w:bCs w:val="1"/>
          <w:i w:val="1"/>
          <w:iCs w:val="1"/>
          <w:color w:val="auto"/>
        </w:rPr>
        <w:t xml:space="preserve">Munib Islam </w:t>
      </w:r>
      <w:r>
        <w:rPr>
          <w:rFonts w:ascii="Arial" w:cs="Arial" w:eastAsia="Arial" w:hAnsi="Arial"/>
          <w:sz w:val="18"/>
          <w:szCs w:val="18"/>
          <w:color w:val="auto"/>
        </w:rPr>
        <w:t>will serve on our board of directors following completion of this offering. Mr. Islam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Co-Chief Investment 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81" w:lineRule="exact"/>
        <w:rPr>
          <w:sz w:val="20"/>
          <w:szCs w:val="20"/>
          <w:color w:val="auto"/>
        </w:rPr>
      </w:pPr>
    </w:p>
    <w:p>
      <w:pPr>
        <w:ind w:left="460" w:right="479"/>
        <w:spacing w:after="0" w:line="256" w:lineRule="auto"/>
        <w:rPr>
          <w:sz w:val="20"/>
          <w:szCs w:val="20"/>
          <w:color w:val="auto"/>
        </w:rPr>
      </w:pPr>
      <w:r>
        <w:rPr>
          <w:rFonts w:ascii="Arial" w:cs="Arial" w:eastAsia="Arial" w:hAnsi="Arial"/>
          <w:sz w:val="17"/>
          <w:szCs w:val="17"/>
          <w:b w:val="1"/>
          <w:bCs w:val="1"/>
          <w:i w:val="1"/>
          <w:iCs w:val="1"/>
          <w:color w:val="auto"/>
        </w:rPr>
        <w:t>Emily Leproust</w:t>
      </w:r>
      <w:r>
        <w:rPr>
          <w:rFonts w:ascii="Arial" w:cs="Arial" w:eastAsia="Arial" w:hAnsi="Arial"/>
          <w:sz w:val="17"/>
          <w:szCs w:val="17"/>
          <w:color w:val="auto"/>
        </w:rPr>
        <w:t>, will serve on our board of directors following completion of this offering.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60" w:lineRule="exact"/>
        <w:rPr>
          <w:sz w:val="20"/>
          <w:szCs w:val="20"/>
          <w:color w:val="auto"/>
        </w:rPr>
      </w:pPr>
    </w:p>
    <w:p>
      <w:pPr>
        <w:ind w:left="460" w:right="599"/>
        <w:spacing w:after="0" w:line="239"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will serve on our board of directors following completion of this offering. Mr. Turner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the Co-Founder and Chief 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board of directors consists of six members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George and Dr. Leproust, will expire at our first annual meeting of stockholders. The term of office of the second class of directors, consisting of Mr. Islam and Mr. Turner, will expire at the second annual meeting of stockholders. The term of office of the third class of directors, consisting of Mr. Casdin and Mr. Meister, will expire at the third annual meeting of stockholders.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09" w:name="page110"/>
    <w:bookmarkEnd w:id="109"/>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Nasdaq listing standards require that a majority of our board of directors be independent within one year of our initial public offering. Our board of directors has determined that Dr. George, Mr. Islam, Dr. Leproust, and Mr. Turner are “independent directors” as defined in Nasdaq listing standards and applicable SEC rules and Mr. Meister is an “independent director” as defined in Nasdaq listing standards. Our independent directors will have regularly scheduled meetings at which only independent directors are present.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3"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6"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6" w:lineRule="exact"/>
        <w:rPr>
          <w:sz w:val="20"/>
          <w:szCs w:val="20"/>
          <w:color w:val="auto"/>
        </w:rPr>
      </w:pPr>
    </w:p>
    <w:p>
      <w:pPr>
        <w:ind w:left="460" w:right="619"/>
        <w:spacing w:after="0" w:line="257"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an audit committee of the board of directors. Dr. George, Mr. Islam and Dr. Leproust will serve as members of our audit committee, and Mr. Islam will chair the audit committee. All members of our audit committee are independent of and unaffiliated with our sponsor and our underwriters.</w:t>
      </w:r>
    </w:p>
    <w:p>
      <w:pPr>
        <w:spacing w:after="0" w:line="108"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35" w:lineRule="exact"/>
        <w:rPr>
          <w:sz w:val="20"/>
          <w:szCs w:val="20"/>
          <w:color w:val="auto"/>
        </w:rPr>
      </w:pPr>
    </w:p>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15" w:lineRule="exact"/>
        <w:rPr>
          <w:rFonts w:ascii="Arial" w:cs="Arial" w:eastAsia="Arial" w:hAnsi="Arial"/>
          <w:sz w:val="18"/>
          <w:szCs w:val="18"/>
          <w:color w:val="auto"/>
        </w:rPr>
      </w:pPr>
    </w:p>
    <w:p>
      <w:pPr>
        <w:ind w:left="1100" w:right="659" w:hanging="322"/>
        <w:spacing w:after="0" w:line="238"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26" w:lineRule="exact"/>
        <w:rPr>
          <w:rFonts w:ascii="Arial" w:cs="Arial" w:eastAsia="Arial" w:hAnsi="Arial"/>
          <w:sz w:val="18"/>
          <w:szCs w:val="18"/>
          <w:color w:val="auto"/>
        </w:rPr>
      </w:pPr>
    </w:p>
    <w:p>
      <w:pPr>
        <w:ind w:left="1100" w:right="559" w:hanging="322"/>
        <w:spacing w:after="0" w:line="23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15"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6"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the board of directors. Mr. Islam, Dr. Leproust and Mr. Turner will serve as members of our compensation committee. Dr. Leproust will chair the compensation committee.</w:t>
      </w:r>
    </w:p>
    <w:p>
      <w:pPr>
        <w:spacing w:after="0" w:line="137" w:lineRule="exact"/>
        <w:rPr>
          <w:sz w:val="20"/>
          <w:szCs w:val="20"/>
          <w:color w:val="auto"/>
        </w:rPr>
      </w:pPr>
    </w:p>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8" w:lineRule="exact"/>
        <w:rPr>
          <w:sz w:val="20"/>
          <w:szCs w:val="20"/>
          <w:color w:val="auto"/>
        </w:rPr>
      </w:pPr>
    </w:p>
    <w:p>
      <w:pPr>
        <w:ind w:left="1100" w:right="679" w:hanging="322"/>
        <w:spacing w:after="0" w:line="23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29" w:lineRule="exact"/>
        <w:rPr>
          <w:rFonts w:ascii="Arial" w:cs="Arial" w:eastAsia="Arial" w:hAnsi="Arial"/>
          <w:sz w:val="18"/>
          <w:szCs w:val="18"/>
          <w:color w:val="auto"/>
        </w:rPr>
      </w:pPr>
    </w:p>
    <w:p>
      <w:pPr>
        <w:ind w:left="1100" w:right="739" w:hanging="322"/>
        <w:spacing w:after="0"/>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ind w:left="1100" w:hanging="322"/>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2"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1"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 w:lineRule="exact"/>
        <w:rPr>
          <w:rFonts w:ascii="Arial" w:cs="Arial" w:eastAsia="Arial" w:hAnsi="Arial"/>
          <w:sz w:val="18"/>
          <w:szCs w:val="18"/>
          <w:color w:val="auto"/>
        </w:rPr>
      </w:pPr>
    </w:p>
    <w:p>
      <w:pPr>
        <w:ind w:left="1100" w:right="59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1"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29" w:lineRule="exact"/>
        <w:rPr>
          <w:sz w:val="20"/>
          <w:szCs w:val="20"/>
          <w:color w:val="auto"/>
        </w:rPr>
      </w:pPr>
    </w:p>
    <w:p>
      <w:pPr>
        <w:ind w:left="460" w:right="679"/>
        <w:spacing w:after="0" w:line="23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and corporate governance committee of the board of directors. The initial members of our nominating and corporate governance will be Dr. George, Mr. Islam and Mr. Meister. Dr. George will serve as chair of the nominating and corporate governance committee.</w:t>
      </w:r>
    </w:p>
    <w:p>
      <w:pPr>
        <w:spacing w:after="0" w:line="137" w:lineRule="exact"/>
        <w:rPr>
          <w:sz w:val="20"/>
          <w:szCs w:val="20"/>
          <w:color w:val="auto"/>
        </w:rPr>
      </w:pPr>
    </w:p>
    <w:p>
      <w:pPr>
        <w:ind w:left="460" w:right="1019"/>
        <w:spacing w:after="0" w:line="265"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ind w:left="1100" w:right="519" w:hanging="322"/>
        <w:spacing w:after="0" w:line="238"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1" w:lineRule="exact"/>
        <w:rPr>
          <w:rFonts w:ascii="Arial" w:cs="Arial" w:eastAsia="Arial" w:hAnsi="Arial"/>
          <w:sz w:val="18"/>
          <w:szCs w:val="18"/>
          <w:color w:val="auto"/>
        </w:rPr>
      </w:pPr>
    </w:p>
    <w:p>
      <w:pPr>
        <w:ind w:left="1100" w:right="799" w:hanging="322"/>
        <w:spacing w:after="0" w:line="265" w:lineRule="auto"/>
        <w:tabs>
          <w:tab w:leader="none" w:pos="1089"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399" w:hanging="322"/>
        <w:spacing w:after="0" w:line="246"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2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66"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53"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100" w:hanging="322"/>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36"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3" w:name="page114"/>
    <w:bookmarkEnd w:id="113"/>
    <w:p>
      <w:pPr>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140" w:type="dxa"/>
            <w:vAlign w:val="bottom"/>
          </w:tcPr>
          <w:p>
            <w:pPr>
              <w:ind w:left="8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Entity’s Business</w:t>
            </w: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Eli Casdin</w:t>
            </w:r>
          </w:p>
        </w:tc>
        <w:tc>
          <w:tcPr>
            <w:tcW w:w="10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100" w:type="dxa"/>
            <w:vAlign w:val="bottom"/>
          </w:tcPr>
          <w:p>
            <w:pPr>
              <w:spacing w:after="0"/>
              <w:rPr>
                <w:sz w:val="22"/>
                <w:szCs w:val="22"/>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Investment manager</w:t>
            </w:r>
          </w:p>
        </w:tc>
        <w:tc>
          <w:tcPr>
            <w:tcW w:w="10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Exact Sciences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C2i Genomics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DNA Script</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EQRx,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Genomatica,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York Genome Center</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Sexton Biotechnologies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Tenaya Therapeutics,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Thrive Earlier Detection</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Corp.</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18"/>
        </w:trPr>
        <w:tc>
          <w:tcPr>
            <w:tcW w:w="1800" w:type="dxa"/>
            <w:vAlign w:val="bottom"/>
            <w:gridSpan w:val="2"/>
          </w:tcPr>
          <w:p>
            <w:pPr>
              <w:spacing w:after="0"/>
              <w:rPr>
                <w:sz w:val="20"/>
                <w:szCs w:val="20"/>
                <w:color w:val="auto"/>
              </w:rPr>
            </w:pPr>
            <w:r>
              <w:rPr>
                <w:rFonts w:ascii="Arial" w:cs="Arial" w:eastAsia="Arial" w:hAnsi="Arial"/>
                <w:sz w:val="18"/>
                <w:szCs w:val="18"/>
                <w:color w:val="auto"/>
              </w:rPr>
              <w:t>Keith Meister</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Managing Partner and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MGM Resorts</w:t>
            </w:r>
          </w:p>
        </w:tc>
        <w:tc>
          <w:tcPr>
            <w:tcW w:w="2100" w:type="dxa"/>
            <w:vAlign w:val="bottom"/>
            <w:gridSpan w:val="3"/>
            <w:vMerge w:val="restart"/>
          </w:tcPr>
          <w:p>
            <w:pPr>
              <w:ind w:left="100"/>
              <w:spacing w:after="0"/>
              <w:rPr>
                <w:sz w:val="20"/>
                <w:szCs w:val="20"/>
                <w:color w:val="auto"/>
              </w:rPr>
            </w:pPr>
            <w:r>
              <w:rPr>
                <w:rFonts w:ascii="Arial" w:cs="Arial" w:eastAsia="Arial" w:hAnsi="Arial"/>
                <w:sz w:val="18"/>
                <w:szCs w:val="18"/>
                <w:color w:val="auto"/>
              </w:rPr>
              <w:t>Hospitality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vMerge w:val="restart"/>
          </w:tcPr>
          <w:p>
            <w:pPr>
              <w:spacing w:after="0" w:line="202" w:lineRule="exact"/>
              <w:rPr>
                <w:sz w:val="20"/>
                <w:szCs w:val="20"/>
                <w:color w:val="auto"/>
              </w:rPr>
            </w:pPr>
            <w:r>
              <w:rPr>
                <w:rFonts w:ascii="Arial" w:cs="Arial" w:eastAsia="Arial" w:hAnsi="Arial"/>
                <w:sz w:val="18"/>
                <w:szCs w:val="18"/>
                <w:color w:val="auto"/>
              </w:rPr>
              <w:t>International</w:t>
            </w:r>
          </w:p>
        </w:tc>
        <w:tc>
          <w:tcPr>
            <w:tcW w:w="2100" w:type="dxa"/>
            <w:vAlign w:val="bottom"/>
            <w:gridSpan w:val="3"/>
            <w:vMerge w:val="restart"/>
          </w:tcPr>
          <w:p>
            <w:pPr>
              <w:ind w:left="100"/>
              <w:spacing w:after="0" w:line="202" w:lineRule="exact"/>
              <w:rPr>
                <w:sz w:val="20"/>
                <w:szCs w:val="20"/>
                <w:color w:val="auto"/>
              </w:rPr>
            </w:pPr>
            <w:r>
              <w:rPr>
                <w:rFonts w:ascii="Arial" w:cs="Arial" w:eastAsia="Arial" w:hAnsi="Arial"/>
                <w:sz w:val="18"/>
                <w:szCs w:val="18"/>
                <w:color w:val="auto"/>
              </w:rPr>
              <w:t>entertainment</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Roar Digital, LLC</w:t>
            </w:r>
          </w:p>
        </w:tc>
        <w:tc>
          <w:tcPr>
            <w:tcW w:w="21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Sports betting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online gaming</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80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7"/>
        </w:trPr>
        <w:tc>
          <w:tcPr>
            <w:tcW w:w="180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Director of Life Science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Research</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2140" w:type="dxa"/>
            <w:vAlign w:val="bottom"/>
          </w:tcPr>
          <w:p>
            <w:pPr>
              <w:spacing w:after="0"/>
              <w:rPr>
                <w:sz w:val="20"/>
                <w:szCs w:val="20"/>
                <w:color w:val="auto"/>
              </w:rPr>
            </w:pPr>
            <w:r>
              <w:rPr>
                <w:rFonts w:ascii="Arial" w:cs="Arial" w:eastAsia="Arial" w:hAnsi="Arial"/>
                <w:sz w:val="18"/>
                <w:szCs w:val="18"/>
                <w:color w:val="auto"/>
              </w:rPr>
              <w:t>Invitae Corporation</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77"/>
        </w:trPr>
        <w:tc>
          <w:tcPr>
            <w:tcW w:w="180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2140" w:type="dxa"/>
            <w:vAlign w:val="bottom"/>
          </w:tcPr>
          <w:p>
            <w:pPr>
              <w:spacing w:after="0"/>
              <w:rPr>
                <w:sz w:val="20"/>
                <w:szCs w:val="20"/>
                <w:color w:val="auto"/>
              </w:rPr>
            </w:pPr>
            <w:r>
              <w:rPr>
                <w:rFonts w:ascii="Arial" w:cs="Arial" w:eastAsia="Arial" w:hAnsi="Arial"/>
                <w:sz w:val="18"/>
                <w:szCs w:val="18"/>
                <w:color w:val="auto"/>
              </w:rPr>
              <w:t>Twist Bioscience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President, Chief</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Executive Officer and</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377"/>
        </w:trPr>
        <w:tc>
          <w:tcPr>
            <w:tcW w:w="1800" w:type="dxa"/>
            <w:vAlign w:val="bottom"/>
            <w:gridSpan w:val="2"/>
          </w:tcPr>
          <w:p>
            <w:pPr>
              <w:spacing w:after="0"/>
              <w:rPr>
                <w:sz w:val="20"/>
                <w:szCs w:val="20"/>
                <w:color w:val="auto"/>
              </w:rPr>
            </w:pPr>
            <w:r>
              <w:rPr>
                <w:rFonts w:ascii="Arial" w:cs="Arial" w:eastAsia="Arial" w:hAnsi="Arial"/>
                <w:sz w:val="18"/>
                <w:szCs w:val="18"/>
                <w:color w:val="auto"/>
              </w:rPr>
              <w:t>Nat Turner</w:t>
            </w:r>
          </w:p>
        </w:tc>
        <w:tc>
          <w:tcPr>
            <w:tcW w:w="2140" w:type="dxa"/>
            <w:vAlign w:val="bottom"/>
          </w:tcPr>
          <w:p>
            <w:pPr>
              <w:spacing w:after="0"/>
              <w:rPr>
                <w:sz w:val="20"/>
                <w:szCs w:val="20"/>
                <w:color w:val="auto"/>
              </w:rPr>
            </w:pPr>
            <w:r>
              <w:rPr>
                <w:rFonts w:ascii="Arial" w:cs="Arial" w:eastAsia="Arial" w:hAnsi="Arial"/>
                <w:sz w:val="18"/>
                <w:szCs w:val="18"/>
                <w:color w:val="auto"/>
              </w:rPr>
              <w:t>Flatiron Health,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Clover Health,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Zenreach,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18"/>
        </w:trPr>
        <w:tc>
          <w:tcPr>
            <w:tcW w:w="17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hanging="426"/>
        <w:spacing w:after="0"/>
        <w:tabs>
          <w:tab w:leader="none" w:pos="8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Including with respect to one or more investment funds, clients or accounts for which such entity acts as investment advisor.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36" w:lineRule="exact"/>
        <w:rPr>
          <w:sz w:val="20"/>
          <w:szCs w:val="20"/>
          <w:color w:val="auto"/>
        </w:rPr>
      </w:pPr>
    </w:p>
    <w:p>
      <w:pPr>
        <w:ind w:left="1100" w:right="559" w:hanging="322"/>
        <w:spacing w:after="0" w:line="237" w:lineRule="auto"/>
        <w:tabs>
          <w:tab w:leader="none" w:pos="10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7" w:lineRule="exact"/>
        <w:rPr>
          <w:rFonts w:ascii="Arial" w:cs="Arial" w:eastAsia="Arial" w:hAnsi="Arial"/>
          <w:sz w:val="18"/>
          <w:szCs w:val="18"/>
          <w:color w:val="auto"/>
        </w:rPr>
      </w:pPr>
    </w:p>
    <w:p>
      <w:pPr>
        <w:ind w:left="1100" w:right="539" w:hanging="322"/>
        <w:spacing w:after="0" w:line="238" w:lineRule="auto"/>
        <w:tabs>
          <w:tab w:leader="none" w:pos="10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warrants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4" w:name="page115"/>
    <w:bookmarkEnd w:id="114"/>
    <w:p>
      <w:pPr>
        <w:ind w:left="1100" w:right="499"/>
        <w:spacing w:after="0" w:line="235" w:lineRule="auto"/>
        <w:rPr>
          <w:sz w:val="20"/>
          <w:szCs w:val="20"/>
          <w:color w:val="auto"/>
        </w:rPr>
      </w:pPr>
      <w:r>
        <w:rPr>
          <w:rFonts w:ascii="Arial" w:cs="Arial" w:eastAsia="Arial" w:hAnsi="Arial"/>
          <w:sz w:val="18"/>
          <w:szCs w:val="18"/>
          <w:color w:val="auto"/>
        </w:rPr>
        <w:t>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23" w:lineRule="exact"/>
        <w:rPr>
          <w:sz w:val="20"/>
          <w:szCs w:val="20"/>
          <w:color w:val="auto"/>
        </w:rPr>
      </w:pPr>
    </w:p>
    <w:p>
      <w:pPr>
        <w:ind w:left="1100" w:right="659" w:hanging="322"/>
        <w:spacing w:after="0" w:line="238" w:lineRule="auto"/>
        <w:tabs>
          <w:tab w:leader="none" w:pos="10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0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00"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5" w:name="page116"/>
    <w:bookmarkEnd w:id="115"/>
    <w:p>
      <w:pPr>
        <w:ind w:left="460" w:right="499"/>
        <w:spacing w:after="0" w:line="236" w:lineRule="auto"/>
        <w:rPr>
          <w:sz w:val="20"/>
          <w:szCs w:val="20"/>
          <w:color w:val="auto"/>
        </w:rPr>
      </w:pPr>
      <w:r>
        <w:rPr>
          <w:rFonts w:ascii="Arial" w:cs="Arial" w:eastAsia="Arial" w:hAnsi="Arial"/>
          <w:sz w:val="18"/>
          <w:szCs w:val="18"/>
          <w:color w:val="auto"/>
        </w:rPr>
        <w:t>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00"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10"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6" w:lineRule="exact"/>
        <w:rPr>
          <w:sz w:val="20"/>
          <w:szCs w:val="20"/>
          <w:color w:val="auto"/>
        </w:rPr>
      </w:pPr>
    </w:p>
    <w:p>
      <w:pPr>
        <w:ind w:left="460" w:right="479"/>
        <w:spacing w:after="0" w:line="25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2" w:lineRule="exact"/>
        <w:rPr>
          <w:sz w:val="20"/>
          <w:szCs w:val="20"/>
          <w:color w:val="auto"/>
        </w:rPr>
      </w:pPr>
    </w:p>
    <w:p>
      <w:pPr>
        <w:ind w:left="1100" w:right="919" w:hanging="322"/>
        <w:spacing w:after="0" w:line="246" w:lineRule="auto"/>
        <w:tabs>
          <w:tab w:leader="none" w:pos="10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13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by our sponsor depending on the extent to which the underwriters’ over-allotment is exercised. The post-offering percentages in the following table assume that the underwriters do not exercise their over-allotment option, that our sponsor has forfeited 1,312,500 founder shares, and that there are 43,750,000 shares of common stock issued and outstanding after this offering.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7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7"/>
        </w:trPr>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Beneficially</w:t>
            </w: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0"/>
                <w:vertAlign w:val="subscript"/>
              </w:rPr>
              <w:t>Owned</w:t>
            </w:r>
            <w:r>
              <w:rPr>
                <w:rFonts w:ascii="Arial" w:cs="Arial" w:eastAsia="Arial" w:hAnsi="Arial"/>
                <w:sz w:val="8"/>
                <w:szCs w:val="8"/>
                <w:b w:val="1"/>
                <w:bCs w:val="1"/>
                <w:color w:val="auto"/>
                <w:w w:val="90"/>
              </w:rPr>
              <w:t>(2)(4)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Before Offering</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4"/>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CMLS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160" w:type="dxa"/>
            <w:vAlign w:val="bottom"/>
            <w:gridSpan w:val="2"/>
          </w:tcPr>
          <w:p>
            <w:pPr>
              <w:spacing w:after="0"/>
              <w:rPr>
                <w:sz w:val="20"/>
                <w:szCs w:val="20"/>
                <w:color w:val="auto"/>
              </w:rPr>
            </w:pPr>
            <w:r>
              <w:rPr>
                <w:rFonts w:ascii="Arial" w:cs="Arial" w:eastAsia="Arial" w:hAnsi="Arial"/>
                <w:sz w:val="18"/>
                <w:szCs w:val="18"/>
                <w:color w:val="auto"/>
              </w:rPr>
              <w:t>Eli Casdin</w:t>
            </w:r>
            <w:r>
              <w:rPr>
                <w:rFonts w:ascii="Arial" w:cs="Arial" w:eastAsia="Arial" w:hAnsi="Arial"/>
                <w:sz w:val="20"/>
                <w:szCs w:val="20"/>
                <w:color w:val="auto"/>
                <w:vertAlign w:val="superscript"/>
              </w:rPr>
              <w:t>(3)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9,987,500</w:t>
            </w:r>
          </w:p>
        </w:tc>
        <w:tc>
          <w:tcPr>
            <w:tcW w:w="126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Meister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Shaun Rodriguez</w:t>
            </w:r>
            <w:r>
              <w:rPr>
                <w:rFonts w:ascii="Arial" w:cs="Arial" w:eastAsia="Arial" w:hAnsi="Arial"/>
                <w:sz w:val="20"/>
                <w:szCs w:val="20"/>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Sean George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Emily Leproust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 Turner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directors and director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nominees as a group (eight individuals)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880" w:hanging="426"/>
        <w:spacing w:after="0"/>
        <w:tabs>
          <w:tab w:leader="none" w:pos="880" w:val="left"/>
        </w:tabs>
        <w:numPr>
          <w:ilvl w:val="0"/>
          <w:numId w:val="57"/>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is 667 Madison Avenue, 2</w:t>
      </w:r>
      <w:r>
        <w:rPr>
          <w:rFonts w:ascii="Arial" w:cs="Arial" w:eastAsia="Arial" w:hAnsi="Arial"/>
          <w:sz w:val="13"/>
          <w:szCs w:val="13"/>
          <w:color w:val="auto"/>
          <w:vertAlign w:val="superscript"/>
        </w:rPr>
        <w:t>nd</w:t>
      </w:r>
      <w:r>
        <w:rPr>
          <w:rFonts w:ascii="Arial" w:cs="Arial" w:eastAsia="Arial" w:hAnsi="Arial"/>
          <w:sz w:val="12"/>
          <w:szCs w:val="12"/>
          <w:color w:val="auto"/>
        </w:rPr>
        <w:t xml:space="preserve"> Floor, New York, New York 10065.</w:t>
      </w:r>
    </w:p>
    <w:p>
      <w:pPr>
        <w:ind w:left="880" w:right="479" w:hanging="426"/>
        <w:spacing w:after="0" w:line="216" w:lineRule="auto"/>
        <w:tabs>
          <w:tab w:leader="none" w:pos="882"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Such shares will automatically convert into Class A common stock concurrently with or immediately following the consummation of our initial business combination on a one-for-one basis, subject to adjustment, as described in the section entitled “Description of Securities.” Excludes Class A common stock issuable pursuant to the forward purchase agreements, as such shares, if any, would only be issued concurrently with the closing of our initial business combination.</w:t>
      </w:r>
    </w:p>
    <w:p>
      <w:pPr>
        <w:spacing w:after="0" w:line="2"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7"/>
        </w:numPr>
        <w:rPr>
          <w:rFonts w:ascii="Arial" w:cs="Arial" w:eastAsia="Arial" w:hAnsi="Arial"/>
          <w:sz w:val="13"/>
          <w:szCs w:val="13"/>
          <w:color w:val="auto"/>
        </w:rPr>
      </w:pPr>
      <w:r>
        <w:rPr>
          <w:rFonts w:ascii="Arial" w:cs="Arial" w:eastAsia="Arial" w:hAnsi="Arial"/>
          <w:sz w:val="13"/>
          <w:szCs w:val="13"/>
          <w:color w:val="auto"/>
        </w:rPr>
        <w:t>CMLS Holdings LLC is the record holder of the shares reported herein. The Board of Managers of CMLS Holdings LLC is comprised of Eli Casdin and Keith Meister who share voting and investment discretion with respect to the common stock held of record by CMLS Holdings LLC. Each of Messrs. Casdin and Meister disclaims beneficial ownership of these shares except to the extent of his respective pecuniary interest therein.</w:t>
      </w:r>
    </w:p>
    <w:p>
      <w:pPr>
        <w:spacing w:after="0" w:line="1"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up to 1,312,500 founder shares, which will be forfeited by our sponsor depending on the extent to which the underwriters’ over-allotment option is exercised.</w:t>
      </w:r>
    </w:p>
    <w:p>
      <w:pPr>
        <w:ind w:left="880" w:hanging="426"/>
        <w:spacing w:after="0" w:line="216" w:lineRule="auto"/>
        <w:tabs>
          <w:tab w:leader="none" w:pos="8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Does not include any shares indirectly owned by this individual as a result of his indirect ownership interest in our sponsor.</w:t>
      </w:r>
    </w:p>
    <w:p>
      <w:pPr>
        <w:ind w:left="860" w:hanging="406"/>
        <w:spacing w:after="0"/>
        <w:tabs>
          <w:tab w:leader="none" w:pos="8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7" w:name="page118"/>
    <w:bookmarkEnd w:id="117"/>
    <w:p>
      <w:pPr>
        <w:ind w:left="460" w:right="45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units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24" w:lineRule="exact"/>
        <w:rPr>
          <w:sz w:val="20"/>
          <w:szCs w:val="20"/>
          <w:color w:val="auto"/>
        </w:rPr>
      </w:pPr>
    </w:p>
    <w:p>
      <w:pPr>
        <w:ind w:left="460" w:right="519"/>
        <w:spacing w:after="0" w:line="234" w:lineRule="auto"/>
        <w:rPr>
          <w:sz w:val="20"/>
          <w:szCs w:val="20"/>
          <w:color w:val="auto"/>
        </w:rPr>
      </w:pPr>
      <w:r>
        <w:rPr>
          <w:rFonts w:ascii="Arial" w:cs="Arial" w:eastAsia="Arial" w:hAnsi="Arial"/>
          <w:sz w:val="18"/>
          <w:szCs w:val="18"/>
          <w:color w:val="auto"/>
        </w:rPr>
        <w:t>Our sponsor and certain of our independent director nominees have severally committed, pursuant to a written agreement, to purchase an aggregate of 6,000,000 private placement warrants (or</w:t>
      </w:r>
    </w:p>
    <w:p>
      <w:pPr>
        <w:spacing w:after="0" w:line="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6,700,000 warrants if the underwriters’ over-allotment option is exercised in full), at a price of $ 1.50 per warrant, or $9,000,000 in the aggregate (or $10,050,000 if the underwriters’ over-allotment option is exercised in full), in a private placement that will occur simultaneously with the closing of this offering. Our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 Each private placement warrant entitles the holder to purchase one share of Class A common stock at $11.50 per share. A portion of the purchase price of the private placement warrants will be added to the proceeds from this offering to be held in the trust account such that at the time of closing of this offering $ 350.0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 The private placement warrants will not be redeemable by us (except as described below under “Description of Securities — Redeemable Warrants — Public Stockholders’ Warrants — Redemption of warrants when the price per share of Class A common stock equals or exceeds $10.00”) so long as they are held by the initial purchasers or their permitted transferees. The initial purchasers, or their permitted transferees, have the option to exercise the private placement warrants on a cashless basis. If the private placement warrants are held by holders other than initial purchasers or their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4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8" w:name="page119"/>
    <w:bookmarkEnd w:id="118"/>
    <w:p>
      <w:pPr>
        <w:ind w:left="460" w:right="759"/>
        <w:spacing w:after="0" w:line="246" w:lineRule="auto"/>
        <w:rPr>
          <w:sz w:val="20"/>
          <w:szCs w:val="20"/>
          <w:color w:val="auto"/>
        </w:rPr>
      </w:pPr>
      <w:r>
        <w:rPr>
          <w:rFonts w:ascii="Arial" w:cs="Arial" w:eastAsia="Arial" w:hAnsi="Arial"/>
          <w:sz w:val="18"/>
          <w:szCs w:val="18"/>
          <w:color w:val="auto"/>
        </w:rPr>
        <w:t>CMLS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Private Placement Warrants and Forward Purchase Shares</w:t>
      </w:r>
    </w:p>
    <w:p>
      <w:pPr>
        <w:spacing w:after="0" w:line="153" w:lineRule="exact"/>
        <w:rPr>
          <w:sz w:val="20"/>
          <w:szCs w:val="20"/>
          <w:color w:val="auto"/>
        </w:rPr>
      </w:pPr>
    </w:p>
    <w:p>
      <w:pPr>
        <w:ind w:left="460" w:right="519"/>
        <w:spacing w:after="0" w:line="234" w:lineRule="auto"/>
        <w:rPr>
          <w:sz w:val="20"/>
          <w:szCs w:val="20"/>
          <w:color w:val="auto"/>
        </w:rPr>
      </w:pPr>
      <w:r>
        <w:rPr>
          <w:rFonts w:ascii="Arial" w:cs="Arial" w:eastAsia="Arial" w:hAnsi="Arial"/>
          <w:sz w:val="18"/>
          <w:szCs w:val="18"/>
          <w:color w:val="auto"/>
        </w:rPr>
        <w:t>The founder shares, private placement warrants, forward purchase shares and any shares of Class A common stock issued upon conversion or exercise thereof are each subject to transfer restrictions pursuant to lock-up provisions in the agreements entered into by our initial stockholders and management team and the forward purchase agreements. Those lock-up provisions provide that such securities are not transferable or salable (i) in the case of the founder shares, until the earlier of</w:t>
      </w:r>
    </w:p>
    <w:p>
      <w:pPr>
        <w:spacing w:after="0" w:line="3" w:lineRule="exact"/>
        <w:rPr>
          <w:sz w:val="20"/>
          <w:szCs w:val="20"/>
          <w:color w:val="auto"/>
        </w:rPr>
      </w:pPr>
    </w:p>
    <w:p>
      <w:pPr>
        <w:ind w:left="460" w:right="499" w:hanging="6"/>
        <w:spacing w:after="0" w:line="234" w:lineRule="auto"/>
        <w:tabs>
          <w:tab w:leader="none" w:pos="7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and (ii) in the case of the private placement warrants and the respective shares of Class A common stock underlying such warrants and forward purchase shares, until 30 days after the completion of our initial business combination except in each case</w:t>
      </w:r>
    </w:p>
    <w:p>
      <w:pPr>
        <w:spacing w:after="0" w:line="6" w:lineRule="exact"/>
        <w:rPr>
          <w:rFonts w:ascii="Arial" w:cs="Arial" w:eastAsia="Arial" w:hAnsi="Arial"/>
          <w:sz w:val="18"/>
          <w:szCs w:val="18"/>
          <w:color w:val="auto"/>
        </w:rPr>
      </w:pPr>
    </w:p>
    <w:p>
      <w:pPr>
        <w:ind w:left="460" w:right="499"/>
        <w:spacing w:after="0" w:line="235" w:lineRule="auto"/>
        <w:rPr>
          <w:rFonts w:ascii="Arial" w:cs="Arial" w:eastAsia="Arial" w:hAnsi="Arial"/>
          <w:sz w:val="18"/>
          <w:szCs w:val="18"/>
          <w:color w:val="auto"/>
        </w:rPr>
      </w:pPr>
      <w:r>
        <w:rPr>
          <w:rFonts w:ascii="Arial" w:cs="Arial" w:eastAsia="Arial" w:hAnsi="Arial"/>
          <w:sz w:val="18"/>
          <w:szCs w:val="18"/>
          <w:color w:val="auto"/>
        </w:rPr>
        <w:t>(a) to our officers or directors, any affiliates or family members of any of our officers or directors, any members or partners of our sponsor or their affiliates (including members of our sponsor’s members), any affiliates of our sponsor, or any employees of such affiliates, (b) in the case of an individual, by gift to a member of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the consummation of a business combination at prices no greater than the price at which the private placement warrants or shares of Class A common stock, as applicable, were originally purchased; (f) by virtue of the laws of the State of Delaware or our sponsor’s organizational documents upon liquidation or dissolution of our sponsor, (g) to the Company for no value for cancellation in connection with the consummation of our initial business combination; (h) in the event of our liquidation prior to our consummation of our initial business combination; or (i) in the event of our completion of a liquidation, merger, capital stock exchange or other similar transaction which results in all of our stockholders having the right to exchange their Class A common stock for cash, securities or other property subsequent to the completion of our initial business combination; provided, however, that in the case of clauses (a) through (f) these permitted transferees must enter into a written agreement agreeing to be bound by these transfer restrictions and the other restrictions contained in the letter agreement.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In August 2020, our sponsor transferred 25,000 founder shares to each of Mr. Islam, Dr. Leproust and Mr. Turner.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by our sponsor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2" w:lineRule="exact"/>
        <w:rPr>
          <w:sz w:val="20"/>
          <w:szCs w:val="20"/>
          <w:color w:val="auto"/>
        </w:rPr>
      </w:pPr>
    </w:p>
    <w:p>
      <w:pPr>
        <w:ind w:left="460" w:right="519"/>
        <w:spacing w:after="0" w:line="234" w:lineRule="auto"/>
        <w:rPr>
          <w:sz w:val="20"/>
          <w:szCs w:val="20"/>
          <w:color w:val="auto"/>
        </w:rPr>
      </w:pPr>
      <w:r>
        <w:rPr>
          <w:rFonts w:ascii="Arial" w:cs="Arial" w:eastAsia="Arial" w:hAnsi="Arial"/>
          <w:sz w:val="18"/>
          <w:szCs w:val="18"/>
          <w:color w:val="auto"/>
        </w:rPr>
        <w:t>Our sponsor and certain of our independent director nominees have severally committed, pursuant to a written agreement, to purchase an aggregate of 6,000,000 private placement warrants (or</w:t>
      </w:r>
    </w:p>
    <w:p>
      <w:pPr>
        <w:spacing w:after="0" w:line="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6,700,000 warrants if the underwriters’ over-allotment option is exercised in full), at a price of $ 1.50 per warrant, or $9,000,000 in the aggregate (or $10,050,000 if the underwriters’ over-allotment option is exercised in full), in a private placement that will close simultaneously with the closing of this offering. Our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the completion of our initial business combination.</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0" w:name="page121"/>
    <w:bookmarkEnd w:id="120"/>
    <w:p>
      <w:pPr>
        <w:ind w:left="460" w:right="559"/>
        <w:spacing w:after="0" w:line="246" w:lineRule="auto"/>
        <w:rPr>
          <w:sz w:val="20"/>
          <w:szCs w:val="20"/>
          <w:color w:val="auto"/>
        </w:rPr>
      </w:pPr>
      <w:r>
        <w:rPr>
          <w:rFonts w:ascii="Arial" w:cs="Arial" w:eastAsia="Arial" w:hAnsi="Arial"/>
          <w:sz w:val="18"/>
          <w:szCs w:val="18"/>
          <w:color w:val="auto"/>
        </w:rPr>
        <w:t>We currently utilize office space at 667 Madison Avenue, New York, New York 10065 from an affiliate of our sponsor and the members of our management team.</w:t>
      </w:r>
    </w:p>
    <w:p>
      <w:pPr>
        <w:spacing w:after="0" w:line="11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35"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3"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35" w:lineRule="exact"/>
        <w:rPr>
          <w:sz w:val="20"/>
          <w:szCs w:val="20"/>
          <w:color w:val="auto"/>
        </w:rPr>
      </w:pPr>
    </w:p>
    <w:p>
      <w:pPr>
        <w:ind w:left="460" w:right="739"/>
        <w:spacing w:after="0"/>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forward purchase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53"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639" w:hanging="6"/>
        <w:spacing w:after="0" w:line="257" w:lineRule="auto"/>
        <w:tabs>
          <w:tab w:leader="none" w:pos="67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1" w:name="page122"/>
    <w:bookmarkEnd w:id="121"/>
    <w:p>
      <w:pPr>
        <w:ind w:left="460" w:right="519"/>
        <w:spacing w:after="0" w:line="252" w:lineRule="auto"/>
        <w:rPr>
          <w:sz w:val="20"/>
          <w:szCs w:val="20"/>
          <w:color w:val="auto"/>
        </w:rPr>
      </w:pPr>
      <w:r>
        <w:rPr>
          <w:rFonts w:ascii="Arial" w:cs="Arial" w:eastAsia="Arial" w:hAnsi="Arial"/>
          <w:sz w:val="17"/>
          <w:szCs w:val="17"/>
          <w:color w:val="auto"/>
        </w:rPr>
        <w:t>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400,000,000 shares of common stock, $0.0001 par value each, including 380,000,000 shares of Class A common stock and 20,000,000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53"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$ 11.50 per share. The Class A common stock and warrants comprising the units are expected to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10,062,500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Up to 1,312,500 of the founder shares will be forfeited by our sponsor depending on the extent to which the underwriters’ over-allotment is exercised. Upon the closing of this offering, 43,750,000 of our shares of common stock will be outstanding (assuming no exercise of the underwriters’ over-allotment option and the corresponding forfeiture by our sponsor of 1,312,500 founder shares) including:</w:t>
      </w:r>
    </w:p>
    <w:p>
      <w:pPr>
        <w:spacing w:after="0" w:line="19" w:lineRule="exact"/>
        <w:rPr>
          <w:sz w:val="20"/>
          <w:szCs w:val="20"/>
          <w:color w:val="auto"/>
        </w:rPr>
      </w:pPr>
    </w:p>
    <w:p>
      <w:pPr>
        <w:ind w:left="1100" w:right="659" w:hanging="322"/>
        <w:spacing w:after="0" w:line="246" w:lineRule="auto"/>
        <w:tabs>
          <w:tab w:leader="none" w:pos="10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35,000,000 shares of Class A common stock underlying units issued as part of this offering;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8,750,000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2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3" w:name="page124"/>
    <w:bookmarkEnd w:id="123"/>
    <w:p>
      <w:pPr>
        <w:ind w:left="460" w:right="499"/>
        <w:spacing w:after="0" w:line="236" w:lineRule="auto"/>
        <w:rPr>
          <w:sz w:val="20"/>
          <w:szCs w:val="20"/>
          <w:color w:val="auto"/>
        </w:rPr>
      </w:pPr>
      <w:r>
        <w:rPr>
          <w:rFonts w:ascii="Arial" w:cs="Arial" w:eastAsia="Arial" w:hAnsi="Arial"/>
          <w:sz w:val="18"/>
          <w:szCs w:val="18"/>
          <w:color w:val="auto"/>
        </w:rPr>
        <w:t>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7"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3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4" w:name="page125"/>
    <w:bookmarkEnd w:id="124"/>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33"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we would need 13,125,001, or</w:t>
      </w:r>
    </w:p>
    <w:p>
      <w:pPr>
        <w:spacing w:after="0" w:line="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37.5%, of the 35,000,000 public shares sold in this offering to be voted in favor of an initial business combination in order to have our initial business combination approved (assuming all outstanding shares are voted and the over-allotment option is not exercised). Additionally, each public stockholder may elect to redeem their public shares irrespective of whether they vote for or against the proposed transaction.</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5" w:name="page126"/>
    <w:bookmarkEnd w:id="125"/>
    <w:p>
      <w:pPr>
        <w:ind w:left="460" w:right="479"/>
        <w:spacing w:after="0" w:line="235" w:lineRule="auto"/>
        <w:rPr>
          <w:sz w:val="20"/>
          <w:szCs w:val="20"/>
          <w:color w:val="auto"/>
        </w:rPr>
      </w:pPr>
      <w:r>
        <w:rPr>
          <w:rFonts w:ascii="Arial" w:cs="Arial" w:eastAsia="Arial" w:hAnsi="Arial"/>
          <w:sz w:val="18"/>
          <w:szCs w:val="18"/>
          <w:color w:val="auto"/>
        </w:rPr>
        <w:t>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32"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33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1,312,500 founder shares will be forfeited by our sponsor depending on the exercise of the over-allotment option.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6" w:name="page127"/>
    <w:bookmarkEnd w:id="126"/>
    <w:p>
      <w:pPr>
        <w:ind w:left="4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66"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3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46"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20"/>
          <w:szCs w:val="20"/>
          <w:color w:val="auto"/>
          <w:vertAlign w:val="superscript"/>
        </w:rPr>
        <w:t>th</w:t>
      </w:r>
      <w:r>
        <w:rPr>
          <w:rFonts w:ascii="Arial" w:cs="Arial" w:eastAsia="Arial" w:hAnsi="Arial"/>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w:t>
      </w:r>
    </w:p>
    <w:p>
      <w:pPr>
        <w:spacing w:after="0" w:line="9" w:lineRule="exact"/>
        <w:rPr>
          <w:sz w:val="20"/>
          <w:szCs w:val="20"/>
          <w:color w:val="auto"/>
        </w:rPr>
      </w:pPr>
    </w:p>
    <w:p>
      <w:pPr>
        <w:ind w:left="460" w:right="559" w:hanging="6"/>
        <w:spacing w:after="0" w:line="237" w:lineRule="auto"/>
        <w:tabs>
          <w:tab w:leader="none" w:pos="7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7" w:name="page128"/>
    <w:bookmarkEnd w:id="127"/>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108" w:lineRule="exact"/>
        <w:rPr>
          <w:sz w:val="20"/>
          <w:szCs w:val="20"/>
          <w:color w:val="auto"/>
        </w:rPr>
      </w:pPr>
    </w:p>
    <w:p>
      <w:pPr>
        <w:ind w:left="460" w:right="115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8" w:lineRule="exact"/>
        <w:rPr>
          <w:sz w:val="20"/>
          <w:szCs w:val="20"/>
          <w:color w:val="auto"/>
        </w:rPr>
      </w:pP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22" w:lineRule="exact"/>
        <w:rPr>
          <w:rFonts w:ascii="Arial" w:cs="Arial" w:eastAsia="Arial" w:hAnsi="Arial"/>
          <w:sz w:val="18"/>
          <w:szCs w:val="18"/>
          <w:color w:val="auto"/>
        </w:rPr>
      </w:pPr>
    </w:p>
    <w:p>
      <w:pPr>
        <w:ind w:left="1100" w:right="639" w:hanging="322"/>
        <w:spacing w:after="0" w:line="237"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(except as described below under “Description of Securities — Redeemable Warrants — Public Stockholders’ Warrants — Redemption of warrants when the price per share of Class A common stock equals or exceeds $10.00”) so long as they are held by the initial purchasers of the private placement warrants or their permitted transferees.</w:t>
      </w:r>
    </w:p>
    <w:p>
      <w:pPr>
        <w:spacing w:after="0" w:line="13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85"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 w:lineRule="exact"/>
        <w:rPr>
          <w:sz w:val="20"/>
          <w:szCs w:val="20"/>
          <w:color w:val="auto"/>
        </w:rPr>
      </w:pPr>
    </w:p>
    <w:p>
      <w:pPr>
        <w:ind w:left="1100" w:hanging="322"/>
        <w:spacing w:after="0"/>
        <w:tabs>
          <w:tab w:leader="none" w:pos="11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 w:lineRule="exact"/>
        <w:rPr>
          <w:rFonts w:ascii="Arial" w:cs="Arial" w:eastAsia="Arial" w:hAnsi="Arial"/>
          <w:sz w:val="18"/>
          <w:szCs w:val="18"/>
          <w:color w:val="auto"/>
        </w:rPr>
      </w:pPr>
    </w:p>
    <w:p>
      <w:pPr>
        <w:ind w:left="1100" w:right="559" w:hanging="322"/>
        <w:spacing w:after="0" w:line="242"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13"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29" w:lineRule="exact"/>
        <w:rPr>
          <w:rFonts w:ascii="Arial" w:cs="Arial" w:eastAsia="Arial" w:hAnsi="Arial"/>
          <w:sz w:val="18"/>
          <w:szCs w:val="18"/>
          <w:color w:val="auto"/>
        </w:rPr>
      </w:pPr>
    </w:p>
    <w:p>
      <w:pPr>
        <w:ind w:left="1100" w:right="559" w:hanging="322"/>
        <w:spacing w:after="0" w:line="237"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8" w:name="page129"/>
    <w:bookmarkEnd w:id="128"/>
    <w:p>
      <w:pPr>
        <w:ind w:left="460" w:right="499"/>
        <w:spacing w:after="0" w:line="236" w:lineRule="auto"/>
        <w:rPr>
          <w:sz w:val="20"/>
          <w:szCs w:val="20"/>
          <w:color w:val="auto"/>
        </w:rPr>
      </w:pPr>
      <w:r>
        <w:rPr>
          <w:rFonts w:ascii="Arial" w:cs="Arial" w:eastAsia="Arial" w:hAnsi="Arial"/>
          <w:sz w:val="18"/>
          <w:szCs w:val="18"/>
          <w:color w:val="auto"/>
        </w:rPr>
        <w:t>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Fair Market Value of Class A Common Stock</w:t>
      </w:r>
    </w:p>
    <w:tbl>
      <w:tblPr>
        <w:tblLayout w:type="fixed"/>
        <w:tblInd w:w="460" w:type="dxa"/>
        <w:tblCellMar>
          <w:top w:w="0" w:type="dxa"/>
          <w:left w:w="0" w:type="dxa"/>
          <w:bottom w:w="0" w:type="dxa"/>
          <w:right w:w="0" w:type="dxa"/>
        </w:tblCellMar>
      </w:tblPr>
      <w:tr>
        <w:trPr>
          <w:trHeight w:val="63"/>
        </w:trPr>
        <w:tc>
          <w:tcPr>
            <w:tcW w:w="2020" w:type="dxa"/>
            <w:vAlign w:val="bottom"/>
            <w:gridSpan w:val="2"/>
            <w:vMerge w:val="restart"/>
          </w:tcPr>
          <w:p>
            <w:pPr>
              <w:spacing w:after="0" w:line="144" w:lineRule="exact"/>
              <w:rPr>
                <w:sz w:val="20"/>
                <w:szCs w:val="20"/>
                <w:color w:val="auto"/>
              </w:rPr>
            </w:pPr>
            <w:r>
              <w:rPr>
                <w:rFonts w:ascii="Arial" w:cs="Arial" w:eastAsia="Arial" w:hAnsi="Arial"/>
                <w:sz w:val="14"/>
                <w:szCs w:val="14"/>
                <w:b w:val="1"/>
                <w:bCs w:val="1"/>
                <w:color w:val="auto"/>
              </w:rPr>
              <w:t>Redemption Date (period to</w:t>
            </w: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expiration of warrants)</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≤10.00</w:t>
            </w: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11.00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12.00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13.00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14.00</w:t>
            </w: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16.00</w:t>
            </w:r>
          </w:p>
        </w:tc>
        <w:tc>
          <w:tcPr>
            <w:tcW w:w="10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rPr>
              <w:t>17.00</w:t>
            </w:r>
          </w:p>
        </w:tc>
        <w:tc>
          <w:tcPr>
            <w:tcW w:w="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0.348</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0.310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0.307</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0.347</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0.228</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0.269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0.354</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0.280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0.350</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0.260</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0.223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0.211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0.242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0.230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0.181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0.216</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0.162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0.336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0.065</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0.137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0.178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0.296</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0.104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0.150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0.042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0.179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9" w:name="page130"/>
    <w:bookmarkEnd w:id="129"/>
    <w:p>
      <w:pPr>
        <w:ind w:left="460" w:right="479"/>
        <w:spacing w:after="0" w:line="235" w:lineRule="auto"/>
        <w:rPr>
          <w:sz w:val="20"/>
          <w:szCs w:val="20"/>
          <w:color w:val="auto"/>
        </w:rPr>
      </w:pPr>
      <w:r>
        <w:rPr>
          <w:rFonts w:ascii="Arial" w:cs="Arial" w:eastAsia="Arial" w:hAnsi="Arial"/>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31"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31"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6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4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45" w:lineRule="exact"/>
        <w:rPr>
          <w:sz w:val="20"/>
          <w:szCs w:val="20"/>
          <w:color w:val="auto"/>
        </w:rPr>
      </w:pPr>
    </w:p>
    <w:p>
      <w:pPr>
        <w:ind w:left="460" w:right="639"/>
        <w:spacing w:after="0" w:line="255" w:lineRule="auto"/>
        <w:rPr>
          <w:sz w:val="20"/>
          <w:szCs w:val="20"/>
          <w:color w:val="auto"/>
        </w:rPr>
      </w:pPr>
      <w:r>
        <w:rPr>
          <w:rFonts w:ascii="Arial" w:cs="Arial" w:eastAsia="Arial" w:hAnsi="Arial"/>
          <w:sz w:val="17"/>
          <w:szCs w:val="17"/>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0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31" w:name="page132"/>
    <w:bookmarkEnd w:id="131"/>
    <w:p>
      <w:pPr>
        <w:ind w:left="460" w:right="499"/>
        <w:spacing w:after="0" w:line="235"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39"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2" w:name="page133"/>
    <w:bookmarkEnd w:id="132"/>
    <w:p>
      <w:pPr>
        <w:ind w:left="460" w:right="539"/>
        <w:spacing w:after="0" w:line="238"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Except as described below, the private placement warrants have terms and provisions that are identical to those of the warrants being sold as part of the units in this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Private Placement Warrants and Forward Purchase Shares,” to our officers and directors and other persons or entities affiliated with the initial purchasers of the private placement warrants) and they will not be redeemable by us so long as they are held by the initial purchasers of the private placement warrants or their permitted transferees (except as otherwise set forth herein). The initial purchasers of the private placement warrants, or their permitted transferees, have the option to exercise the private placement warrants on a cashless basis. If the private placement warrants are held by holders other than initial purchasers of the private placement warrants or their permitted transferees, the private placement warrants will be redeemable by us in all redemption scenarios and exercisable by the holders on the same basis as the warrants included in the units being sold in this offering.</w:t>
      </w:r>
    </w:p>
    <w:p>
      <w:pPr>
        <w:spacing w:after="0" w:line="14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“Purchaser fair market value” (defined below) over the exercise price of the warrants by (y) the Purchaser fair market value. For these purposes, the “Purchaser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and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4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$ 1,500,000 of such loans may be convertible into warrants of the post business combination entity at a price of $1.50 per warrant at the option of the lender. Such warrants would be identical to the private placement warrants.</w:t>
      </w:r>
    </w:p>
    <w:p>
      <w:pPr>
        <w:spacing w:after="0" w:line="12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Private Placement Warrants and Forward Purchase Shares,” transfers can be made to our officers and directors and other persons or entities affiliated with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33" w:name="page134"/>
    <w:bookmarkEnd w:id="133"/>
    <w:p>
      <w:pPr>
        <w:ind w:left="460" w:right="599"/>
        <w:spacing w:after="0" w:line="237" w:lineRule="auto"/>
        <w:rPr>
          <w:sz w:val="20"/>
          <w:szCs w:val="20"/>
          <w:color w:val="auto"/>
        </w:rPr>
      </w:pPr>
      <w:r>
        <w:rPr>
          <w:rFonts w:ascii="Arial" w:cs="Arial" w:eastAsia="Arial" w:hAnsi="Arial"/>
          <w:sz w:val="18"/>
          <w:szCs w:val="18"/>
          <w:color w:val="auto"/>
        </w:rPr>
        <w:t>effect a stock dividend or share contribution back to capital or other appropriate mechanism, as applicable, with respect to our founder shares immediately prior to the consummation of the offering in such amount as to maintain 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32" w:lineRule="exact"/>
        <w:rPr>
          <w:sz w:val="20"/>
          <w:szCs w:val="20"/>
          <w:color w:val="auto"/>
        </w:rPr>
      </w:pPr>
    </w:p>
    <w:p>
      <w:pPr>
        <w:ind w:left="1100" w:right="699" w:hanging="322"/>
        <w:spacing w:after="0" w:line="248" w:lineRule="auto"/>
        <w:tabs>
          <w:tab w:leader="none" w:pos="1089"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89"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19" w:hanging="322"/>
        <w:spacing w:after="0" w:line="236" w:lineRule="auto"/>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not prohibited from entering into a business combination with a target business that is affiliated with our sponsor, our directors or our executive officers.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 A target will not be deemed an affiliate solely by virtue of ownership by our sponsor or its affiliates, or any of their or our executive officers or directors, of less than 10% of its common stock, individually or in the aggregate;</w:t>
      </w:r>
    </w:p>
    <w:p>
      <w:pPr>
        <w:spacing w:after="0" w:line="32" w:lineRule="exact"/>
        <w:rPr>
          <w:rFonts w:ascii="Arial" w:cs="Arial" w:eastAsia="Arial" w:hAnsi="Arial"/>
          <w:sz w:val="18"/>
          <w:szCs w:val="18"/>
          <w:color w:val="auto"/>
        </w:rPr>
      </w:pPr>
    </w:p>
    <w:p>
      <w:pPr>
        <w:ind w:left="1100" w:right="579" w:hanging="322"/>
        <w:spacing w:after="0" w:line="238" w:lineRule="auto"/>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4" w:name="page135"/>
    <w:bookmarkEnd w:id="134"/>
    <w:p>
      <w:pPr>
        <w:ind w:left="1100" w:right="599"/>
        <w:spacing w:after="0" w:line="237" w:lineRule="auto"/>
        <w:rPr>
          <w:sz w:val="20"/>
          <w:szCs w:val="20"/>
          <w:color w:val="auto"/>
        </w:rPr>
      </w:pPr>
      <w:r>
        <w:rPr>
          <w:rFonts w:ascii="Arial" w:cs="Arial" w:eastAsia="Arial" w:hAnsi="Arial"/>
          <w:sz w:val="18"/>
          <w:szCs w:val="18"/>
          <w:color w:val="auto"/>
        </w:rPr>
        <w:t>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6" w:lineRule="exact"/>
        <w:rPr>
          <w:sz w:val="20"/>
          <w:szCs w:val="20"/>
          <w:color w:val="auto"/>
        </w:rPr>
      </w:pPr>
    </w:p>
    <w:p>
      <w:pPr>
        <w:ind w:left="1100" w:right="459" w:hanging="322"/>
        <w:spacing w:after="0" w:line="237"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30" w:lineRule="exact"/>
        <w:rPr>
          <w:rFonts w:ascii="Arial" w:cs="Arial" w:eastAsia="Arial" w:hAnsi="Arial"/>
          <w:sz w:val="18"/>
          <w:szCs w:val="18"/>
          <w:color w:val="auto"/>
        </w:rPr>
      </w:pPr>
    </w:p>
    <w:p>
      <w:pPr>
        <w:ind w:left="1100" w:right="499" w:hanging="322"/>
        <w:spacing w:after="0" w:line="246" w:lineRule="auto"/>
        <w:tabs>
          <w:tab w:leader="none" w:pos="10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16"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We have opted out of the provisions of Section 203 of the DGCL regulating corporate takeovers upon completion of this offering. However, our amended and restated certificate of incorporation contains similar provisions that will prevent us, under certain circumstances, from engaging in a “business combination” with:</w:t>
      </w:r>
    </w:p>
    <w:p>
      <w:pPr>
        <w:spacing w:after="0" w:line="29" w:lineRule="exact"/>
        <w:rPr>
          <w:sz w:val="20"/>
          <w:szCs w:val="20"/>
          <w:color w:val="auto"/>
        </w:rPr>
      </w:pPr>
    </w:p>
    <w:p>
      <w:pPr>
        <w:ind w:left="1100" w:right="499" w:hanging="322"/>
        <w:spacing w:after="0" w:line="246" w:lineRule="auto"/>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associate of an interested stockholder,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for three years following the date that the stockholder became an interested stockholder, provided that our sponsor and its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124"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our amended and restated certificate of incorporation do not apply if:</w:t>
      </w:r>
    </w:p>
    <w:p>
      <w:pPr>
        <w:spacing w:after="0" w:line="21" w:lineRule="exact"/>
        <w:rPr>
          <w:sz w:val="20"/>
          <w:szCs w:val="20"/>
          <w:color w:val="auto"/>
        </w:rPr>
      </w:pPr>
    </w:p>
    <w:p>
      <w:pPr>
        <w:ind w:left="1100" w:right="91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499" w:hanging="322"/>
        <w:spacing w:after="0" w:line="259" w:lineRule="auto"/>
        <w:tabs>
          <w:tab w:leader="none" w:pos="10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Arial" w:cs="Arial" w:eastAsia="Arial" w:hAnsi="Arial"/>
          <w:sz w:val="17"/>
          <w:szCs w:val="17"/>
          <w:color w:val="auto"/>
        </w:rPr>
      </w:pPr>
    </w:p>
    <w:p>
      <w:pPr>
        <w:ind w:left="1100" w:right="599" w:hanging="322"/>
        <w:spacing w:after="0" w:line="238"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35" w:name="page136"/>
    <w:bookmarkEnd w:id="135"/>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66"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4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and consented to these provisions; however, we note that investors cannot waive compliance with the federal securities laws and the rules and regulations thereunder.</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3"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66"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39"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39"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Immediately after this offering we will have 43,750,000 (or 50,312,500 if the underwriters’ over-allotment option is exercised in full) shares of common stock outstanding. Of these shares, the shares of Class A common stock sold in this offering (35,000,000 Class A common stock if the underwriters’ over-allotment option is not exercised and 40,250,000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(8,750,000 founder shares if the underwriters’ over-allotment option is not exercised and 10,062,500 founder shares if the underwriters’ over-allotment option is exercised in full) and all of the outstanding private placement warrants (6,000,000 warrants if the underwriters’ over-allotment option is not exercised and 6,700,000 warrants if the underwriters’ over-allotment option is exercised in full) will be restricted securities under Rule 144, in that they were issued in private transactions not involving a public offering. Upon the closing of the sale of any forward purchase shares, all such forward purchase shares, up to 15,000,000, will be restricted securities under Rule 144.</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39"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4"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 w:lineRule="exact"/>
        <w:rPr>
          <w:sz w:val="20"/>
          <w:szCs w:val="20"/>
          <w:color w:val="auto"/>
        </w:rPr>
      </w:pPr>
    </w:p>
    <w:p>
      <w:pPr>
        <w:ind w:left="1100" w:right="519" w:hanging="322"/>
        <w:spacing w:after="0"/>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350,000 shares immediately after this offering (or 402,500 if the underwriters exercise in full their over-allotment option); or</w:t>
      </w:r>
    </w:p>
    <w:p>
      <w:pPr>
        <w:spacing w:after="0" w:line="27" w:lineRule="exact"/>
        <w:rPr>
          <w:rFonts w:ascii="Arial" w:cs="Arial" w:eastAsia="Arial" w:hAnsi="Arial"/>
          <w:sz w:val="18"/>
          <w:szCs w:val="18"/>
          <w:color w:val="auto"/>
        </w:rPr>
      </w:pPr>
    </w:p>
    <w:p>
      <w:pPr>
        <w:ind w:left="1100" w:right="839" w:hanging="322"/>
        <w:spacing w:after="0" w:line="246"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29"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3"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079" w:hanging="322"/>
        <w:spacing w:after="0" w:line="246"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7" w:lineRule="exact"/>
        <w:rPr>
          <w:rFonts w:ascii="Arial" w:cs="Arial" w:eastAsia="Arial" w:hAnsi="Arial"/>
          <w:sz w:val="18"/>
          <w:szCs w:val="18"/>
          <w:color w:val="auto"/>
        </w:rPr>
      </w:pPr>
    </w:p>
    <w:p>
      <w:pPr>
        <w:ind w:left="1100" w:right="479" w:hanging="322"/>
        <w:spacing w:after="0"/>
        <w:tabs>
          <w:tab w:leader="none" w:pos="10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7" w:lineRule="exact"/>
        <w:rPr>
          <w:rFonts w:ascii="Arial" w:cs="Arial" w:eastAsia="Arial" w:hAnsi="Arial"/>
          <w:sz w:val="18"/>
          <w:szCs w:val="18"/>
          <w:color w:val="auto"/>
        </w:rPr>
      </w:pPr>
    </w:p>
    <w:p>
      <w:pPr>
        <w:jc w:val="both"/>
        <w:ind w:left="1100" w:right="1199" w:hanging="322"/>
        <w:spacing w:after="0" w:line="274" w:lineRule="auto"/>
        <w:tabs>
          <w:tab w:leader="none" w:pos="1089"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07"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8" w:name="page139"/>
    <w:bookmarkEnd w:id="138"/>
    <w:p>
      <w:pPr>
        <w:ind w:left="460" w:right="539"/>
        <w:spacing w:after="0"/>
        <w:rPr>
          <w:sz w:val="20"/>
          <w:szCs w:val="20"/>
          <w:color w:val="auto"/>
        </w:rPr>
      </w:pPr>
      <w:r>
        <w:rPr>
          <w:rFonts w:ascii="Arial" w:cs="Arial" w:eastAsia="Arial" w:hAnsi="Arial"/>
          <w:sz w:val="18"/>
          <w:szCs w:val="18"/>
          <w:color w:val="auto"/>
        </w:rPr>
        <w:t>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5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commencing on or promptly after the date of this prospectus. We cannot guarantee that our securities will be approved for listing on Nasdaq. Once the securities comprising the units begin separate trading, we expect that the Class A common stock and warrants will be listed on Nasdaq under the symbols “CMLF” and “CMLFW,” respectively.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w:t>
      </w:r>
    </w:p>
    <w:p>
      <w:pPr>
        <w:spacing w:after="0" w:line="127"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common stock and warrants will trade separately and that any distributions made (or deemed made) by us on our Class A common stock and any consideration received (or deemed received) by a holder in consideration for the sale or other disposition of our securities will be in U.S. dollars.</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or similar transaction;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ind w:left="1100" w:right="87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discussion is based on the U.S.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0" w:name="page141"/>
    <w:bookmarkEnd w:id="140"/>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3" w:lineRule="exact"/>
        <w:rPr>
          <w:sz w:val="20"/>
          <w:szCs w:val="20"/>
          <w:color w:val="auto"/>
        </w:rPr>
      </w:pPr>
    </w:p>
    <w:p>
      <w:pPr>
        <w:ind w:left="460" w:right="679"/>
        <w:spacing w:after="0"/>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 statutory, administrative or judicial authority directly addresses the treatment of a unit or any instrument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share of Class A common stock and the one-third of one warrant should be the stockholder’s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share of Class A common stock and the one-third of one warrant based on their respective relative fair market values (as determined by each such unit holder based on all the relevant facts and circumstances) at the time of disposition. The separation of shares of Class A common stock and warrants comprising units and the combination of three thirds of warrants into a single warrant should not be a taxable event for U.S. federal income tax purposes.</w:t>
      </w:r>
    </w:p>
    <w:p>
      <w:pPr>
        <w:spacing w:after="0" w:line="145" w:lineRule="exact"/>
        <w:rPr>
          <w:sz w:val="20"/>
          <w:szCs w:val="20"/>
          <w:color w:val="auto"/>
        </w:rPr>
      </w:pPr>
    </w:p>
    <w:p>
      <w:pPr>
        <w:jc w:val="both"/>
        <w:ind w:left="460" w:right="679"/>
        <w:spacing w:after="0"/>
        <w:rPr>
          <w:sz w:val="20"/>
          <w:szCs w:val="20"/>
          <w:color w:val="auto"/>
        </w:rPr>
      </w:pPr>
      <w:r>
        <w:rPr>
          <w:rFonts w:ascii="Arial" w:cs="Arial" w:eastAsia="Arial" w:hAnsi="Arial"/>
          <w:sz w:val="18"/>
          <w:szCs w:val="18"/>
          <w:color w:val="auto"/>
        </w:rPr>
        <w:t>The foregoing treatment of the units, shares of Class A common stock and warrants and a holder’s purchase price allocation are not binding on the IRS or the courts. Because there are no authorities that directly address</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41" w:name="page142"/>
    <w:bookmarkEnd w:id="141"/>
    <w:p>
      <w:pPr>
        <w:ind w:left="460" w:right="639"/>
        <w:spacing w:after="0" w:line="237" w:lineRule="auto"/>
        <w:rPr>
          <w:sz w:val="20"/>
          <w:szCs w:val="20"/>
          <w:color w:val="auto"/>
        </w:rPr>
      </w:pPr>
      <w:r>
        <w:rPr>
          <w:rFonts w:ascii="Arial" w:cs="Arial" w:eastAsia="Arial" w:hAnsi="Arial"/>
          <w:sz w:val="18"/>
          <w:szCs w:val="18"/>
          <w:color w:val="auto"/>
        </w:rPr>
        <w:t>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will be respected for U.S. federal income tax purposes.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1" w:lineRule="exact"/>
        <w:rPr>
          <w:sz w:val="20"/>
          <w:szCs w:val="20"/>
          <w:color w:val="auto"/>
        </w:rPr>
      </w:pPr>
    </w:p>
    <w:p>
      <w:pPr>
        <w:ind w:left="1100" w:hanging="322"/>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679" w:hanging="322"/>
        <w:spacing w:after="0" w:line="238"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Class A Common Stock and Warrants. </w:t>
      </w:r>
      <w:r>
        <w:rPr>
          <w:rFonts w:ascii="Arial" w:cs="Arial" w:eastAsia="Arial" w:hAnsi="Arial"/>
          <w:sz w:val="17"/>
          <w:szCs w:val="17"/>
          <w:color w:val="auto"/>
        </w:rPr>
        <w:t>Upon a sale or other taxable disposition of our Class A common stock or warrants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would include a redemption of Class A common stock or warrants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2" w:name="page143"/>
    <w:bookmarkEnd w:id="142"/>
    <w:p>
      <w:pPr>
        <w:ind w:left="460" w:right="479"/>
        <w:spacing w:after="0" w:line="236"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relative fair market values of the Class A common stock and the warrants included in the units) and (ii) the U.S. holder’s adjusted tax basis in its Class A common stock or 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10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(such open market transaction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and Warrants”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0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4"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3" w:name="page144"/>
    <w:bookmarkEnd w:id="143"/>
    <w:p>
      <w:pPr>
        <w:ind w:left="460" w:right="459"/>
        <w:spacing w:after="0" w:line="238"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A U.S. holder generally will not recognize taxable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the acquisition of our Class A 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3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would be recognized. In such event, a U.S. holder could be deemed to have surrendered a number of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tax basis in the warrants deemed surrendered. In this case, a U.S. holder’s aggregate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35"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Class A Common Stock and Warrants.”</w:t>
      </w:r>
    </w:p>
    <w:p>
      <w:pPr>
        <w:spacing w:after="0" w:line="11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entitled “Description of Securities — Warrants — Public Stockholders’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(for example, through an increase in the number of shares of Class A common stock that would be obtained upon exercise or through a decrease in the exercise price of the warrant), which adjustment may be made as a result of a distribution of cash or other property, such as other securities, to the holders of shares of our Class A common stock, or as a result of the issuance of a stock dividend to holders of shares of our Class A common stock, in each case which is taxable to the holders of such shares as a distribution. Such constructive distribution would be subject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44" w:name="page145"/>
    <w:bookmarkEnd w:id="144"/>
    <w:p>
      <w:pPr>
        <w:ind w:left="460" w:right="639"/>
        <w:spacing w:after="0"/>
        <w:rPr>
          <w:sz w:val="20"/>
          <w:szCs w:val="20"/>
          <w:color w:val="auto"/>
        </w:rPr>
      </w:pPr>
      <w:r>
        <w:rPr>
          <w:rFonts w:ascii="Arial" w:cs="Arial" w:eastAsia="Arial" w:hAnsi="Arial"/>
          <w:sz w:val="18"/>
          <w:szCs w:val="18"/>
          <w:color w:val="auto"/>
        </w:rPr>
        <w:t>tax as described under “U.S. Holders — Taxation of Distributions” in the same manner as if the U.S. holders of the warrants received a cash distribution from us equal to the fair market value of such increased interest.</w:t>
      </w:r>
    </w:p>
    <w:p>
      <w:pPr>
        <w:spacing w:after="0" w:line="104"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14" w:lineRule="exact"/>
        <w:rPr>
          <w:sz w:val="20"/>
          <w:szCs w:val="20"/>
          <w:color w:val="auto"/>
        </w:rPr>
      </w:pPr>
    </w:p>
    <w:p>
      <w:pPr>
        <w:ind w:left="1100" w:right="779" w:hanging="322"/>
        <w:spacing w:after="0" w:line="246" w:lineRule="auto"/>
        <w:tabs>
          <w:tab w:leader="none" w:pos="10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31"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our units, Class A common stock or warrants.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(including constructive distributions) we make</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4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04" w:lineRule="exact"/>
        <w:rPr>
          <w:sz w:val="20"/>
          <w:szCs w:val="20"/>
          <w:color w:val="auto"/>
        </w:rPr>
      </w:pPr>
    </w:p>
    <w:p>
      <w:pPr>
        <w:ind w:left="460" w:right="579"/>
        <w:spacing w:after="0" w:line="242"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45" w:name="page146"/>
    <w:bookmarkEnd w:id="145"/>
    <w:p>
      <w:pPr>
        <w:ind w:left="460" w:right="479"/>
        <w:spacing w:after="0" w:line="274" w:lineRule="auto"/>
        <w:rPr>
          <w:sz w:val="20"/>
          <w:szCs w:val="20"/>
          <w:color w:val="auto"/>
        </w:rPr>
      </w:pPr>
      <w:r>
        <w:rPr>
          <w:rFonts w:ascii="Arial" w:cs="Arial" w:eastAsia="Arial" w:hAnsi="Arial"/>
          <w:sz w:val="17"/>
          <w:szCs w:val="17"/>
          <w:color w:val="auto"/>
        </w:rPr>
        <w:t>exchange, the consequences would be similar to those described below in “Non-U.S. Holders — Gain on Sale, Taxable Exchange or Other Taxable Disposition of Class A Common Stock and Warrants.”</w:t>
      </w:r>
    </w:p>
    <w:p>
      <w:pPr>
        <w:spacing w:after="0" w:line="9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“U.S. Holders — Exercise, Lapse or Redemption of a Warrant” above, and the consequences of the redemption to the Non-U.S. holder will be as described below under the heading “Non-U.S. Holders — Gain on Sale, Taxable Exchange or Other Taxable Disposition of Class A Common Stock and Warrants” depending on such characterization.</w:t>
      </w:r>
    </w:p>
    <w:p>
      <w:pPr>
        <w:spacing w:after="0" w:line="119" w:lineRule="exact"/>
        <w:rPr>
          <w:sz w:val="20"/>
          <w:szCs w:val="20"/>
          <w:color w:val="auto"/>
        </w:rPr>
      </w:pPr>
    </w:p>
    <w:p>
      <w:pPr>
        <w:ind w:left="460" w:right="579"/>
        <w:spacing w:after="0"/>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gain recognized on a sale, taxable exchange or other taxable disposition of our Class A common stock, which would include a dissolution and liquidation in the event we do not complete an initial business combination within 24 months from the closing of this offering, or warrants (including an expiration or redemption of our warrants), in each case without regard to whether those securities were held as part of a unit, unless:</w:t>
      </w:r>
    </w:p>
    <w:p>
      <w:pPr>
        <w:spacing w:after="0" w:line="27" w:lineRule="exact"/>
        <w:rPr>
          <w:sz w:val="20"/>
          <w:szCs w:val="20"/>
          <w:color w:val="auto"/>
        </w:rPr>
      </w:pPr>
    </w:p>
    <w:p>
      <w:pPr>
        <w:ind w:left="1100" w:right="559" w:hanging="322"/>
        <w:spacing w:after="0" w:line="259" w:lineRule="auto"/>
        <w:tabs>
          <w:tab w:leader="none" w:pos="1089"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 Gain on Sale, Taxable Exchange or Other Taxable Disposition of Class A Common Stock and Warrants,”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on the gross amount of any consideration paid to a Non-U.S. holder in redemption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6" w:name="page147"/>
    <w:bookmarkEnd w:id="146"/>
    <w:p>
      <w:pPr>
        <w:ind w:left="460" w:right="599"/>
        <w:spacing w:after="0" w:line="253" w:lineRule="auto"/>
        <w:rPr>
          <w:sz w:val="20"/>
          <w:szCs w:val="20"/>
          <w:color w:val="auto"/>
        </w:rPr>
      </w:pPr>
      <w:r>
        <w:rPr>
          <w:rFonts w:ascii="Arial" w:cs="Arial" w:eastAsia="Arial" w:hAnsi="Arial"/>
          <w:sz w:val="17"/>
          <w:szCs w:val="17"/>
          <w:color w:val="auto"/>
        </w:rPr>
        <w:t>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9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generally is not a taxable event. Nevertheless, a Non-U.S. holder of warrants would be treated as receiving a constructive distribution from us if, for example, the adjustment increases the holder’s proportionate interest in our assets or earnings and profits (for example, through an increase in the number of shares of Class A common stock that would be obtained upon exercise or through a decrease in the exercise price of the warrants), which adjustment may be made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It is possible that any withholding tax on such a constructive distribution might be satisfied by us or the applicable withholding agent through a sale of a portion of the Non-U.S. holder’s shares of Class A common stock, warrants or other property held or controlled by us or the applicable withholding agent on behalf of the Non-U.S. holder or might be withheld from distributions or proceeds subsequently paid or credited to the Non-U.S. holder.</w:t>
      </w:r>
    </w:p>
    <w:p>
      <w:pPr>
        <w:spacing w:after="0" w:line="12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i w:val="1"/>
          <w:i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i w:val="1"/>
          <w:i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7" w:name="page148"/>
    <w:bookmarkEnd w:id="147"/>
    <w:tbl>
      <w:tblPr>
        <w:tblLayout w:type="fixed"/>
        <w:tblInd w:w="460" w:type="dxa"/>
        <w:tblCellMar>
          <w:top w:w="0" w:type="dxa"/>
          <w:left w:w="0" w:type="dxa"/>
          <w:bottom w:w="0" w:type="dxa"/>
          <w:right w:w="0" w:type="dxa"/>
        </w:tblCellMar>
      </w:tblPr>
      <w:tr>
        <w:trPr>
          <w:trHeight w:val="239"/>
        </w:trPr>
        <w:tc>
          <w:tcPr>
            <w:tcW w:w="6760" w:type="dxa"/>
            <w:vAlign w:val="bottom"/>
          </w:tcPr>
          <w:p>
            <w:pPr>
              <w:ind w:left="3340"/>
              <w:spacing w:after="0"/>
              <w:rPr>
                <w:sz w:val="20"/>
                <w:szCs w:val="20"/>
                <w:color w:val="auto"/>
              </w:rPr>
            </w:pPr>
            <w:r>
              <w:rPr>
                <w:rFonts w:ascii="Arial" w:cs="Arial" w:eastAsia="Arial" w:hAnsi="Arial"/>
                <w:sz w:val="18"/>
                <w:szCs w:val="18"/>
                <w:b w:val="1"/>
                <w:bCs w:val="1"/>
                <w:color w:val="auto"/>
              </w:rPr>
              <w:t>UNDERWRITING</w:t>
            </w:r>
          </w:p>
        </w:tc>
        <w:tc>
          <w:tcPr>
            <w:tcW w:w="780" w:type="dxa"/>
            <w:vAlign w:val="bottom"/>
          </w:tcPr>
          <w:p>
            <w:pPr>
              <w:spacing w:after="0"/>
              <w:rPr>
                <w:sz w:val="20"/>
                <w:szCs w:val="20"/>
                <w:color w:val="auto"/>
              </w:rPr>
            </w:pPr>
          </w:p>
        </w:tc>
      </w:tr>
      <w:tr>
        <w:trPr>
          <w:trHeight w:val="337"/>
        </w:trPr>
        <w:tc>
          <w:tcPr>
            <w:tcW w:w="6760" w:type="dxa"/>
            <w:vAlign w:val="bottom"/>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460" w:right="459"/>
        <w:spacing w:after="0" w:line="238" w:lineRule="auto"/>
        <w:rPr>
          <w:sz w:val="20"/>
          <w:szCs w:val="20"/>
          <w:color w:val="auto"/>
        </w:rPr>
      </w:pPr>
      <w:r>
        <w:rPr>
          <w:rFonts w:ascii="Arial" w:cs="Arial" w:eastAsia="Arial" w:hAnsi="Arial"/>
          <w:sz w:val="18"/>
          <w:szCs w:val="18"/>
          <w:color w:val="auto"/>
        </w:rPr>
        <w:t>between us and Jefferies LLC, as the representatives of the underwriters named below and the book running manager of this offering, we have agreed to sell to the underwriters, and each of the underwriters has agreed, severally and not jointly, to purchase from us, the respective number of units shown opposite its name below:</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0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 of Units</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500" w:type="dxa"/>
            <w:vAlign w:val="bottom"/>
            <w:tcBorders>
              <w:bottom w:val="single" w:sz="8" w:color="CCEEFF"/>
            </w:tcBorders>
            <w:shd w:val="clear" w:color="auto" w:fill="CCEEFF"/>
          </w:tcPr>
          <w:p>
            <w:pPr>
              <w:spacing w:after="0"/>
              <w:rPr>
                <w:sz w:val="22"/>
                <w:szCs w:val="22"/>
                <w:color w:val="auto"/>
              </w:rPr>
            </w:pP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37"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 prospectus and to certain dealers, which may include</w:t>
      </w:r>
    </w:p>
    <w:p>
      <w:pPr>
        <w:ind w:left="460"/>
        <w:spacing w:after="0"/>
        <w:tabs>
          <w:tab w:leader="none" w:pos="6140" w:val="left"/>
        </w:tabs>
        <w:rPr>
          <w:sz w:val="20"/>
          <w:szCs w:val="20"/>
          <w:color w:val="auto"/>
        </w:rPr>
      </w:pPr>
      <w:r>
        <w:rPr>
          <w:rFonts w:ascii="Arial" w:cs="Arial" w:eastAsia="Arial" w:hAnsi="Arial"/>
          <w:sz w:val="18"/>
          <w:szCs w:val="18"/>
          <w:color w:val="auto"/>
        </w:rPr>
        <w:t>the underwriters, at that price less a concession not in excess of $</w:t>
      </w:r>
      <w:r>
        <w:rPr>
          <w:sz w:val="20"/>
          <w:szCs w:val="20"/>
          <w:color w:val="auto"/>
        </w:rPr>
        <w:tab/>
      </w:r>
      <w:r>
        <w:rPr>
          <w:rFonts w:ascii="Arial" w:cs="Arial" w:eastAsia="Arial" w:hAnsi="Arial"/>
          <w:sz w:val="17"/>
          <w:szCs w:val="17"/>
          <w:color w:val="auto"/>
        </w:rPr>
        <w:t>per unit. The underwriters</w:t>
      </w:r>
    </w:p>
    <w:p>
      <w:pPr>
        <w:ind w:left="460"/>
        <w:spacing w:after="0" w:line="235" w:lineRule="auto"/>
        <w:rPr>
          <w:sz w:val="20"/>
          <w:szCs w:val="20"/>
          <w:color w:val="auto"/>
        </w:rPr>
      </w:pPr>
      <w:r>
        <w:rPr>
          <w:rFonts w:ascii="Arial" w:cs="Arial" w:eastAsia="Arial" w:hAnsi="Arial"/>
          <w:sz w:val="18"/>
          <w:szCs w:val="18"/>
          <w:color w:val="auto"/>
        </w:rPr>
        <w:t>may allow, and certain dealers may reallow, a discount from the concession not in excess of $</w:t>
      </w:r>
    </w:p>
    <w:p>
      <w:pPr>
        <w:ind w:left="460"/>
        <w:spacing w:after="0" w:line="235" w:lineRule="auto"/>
        <w:rPr>
          <w:sz w:val="20"/>
          <w:szCs w:val="20"/>
          <w:color w:val="auto"/>
        </w:rPr>
      </w:pPr>
      <w:r>
        <w:rPr>
          <w:rFonts w:ascii="Arial" w:cs="Arial" w:eastAsia="Arial" w:hAnsi="Arial"/>
          <w:sz w:val="18"/>
          <w:szCs w:val="18"/>
          <w:color w:val="auto"/>
        </w:rPr>
        <w:t>per unit to certain brokers and dealers. After the offering, the initial public offering price, concession</w:t>
      </w:r>
    </w:p>
    <w:p>
      <w:pPr>
        <w:ind w:left="460"/>
        <w:spacing w:after="0" w:line="235" w:lineRule="auto"/>
        <w:rPr>
          <w:sz w:val="20"/>
          <w:szCs w:val="20"/>
          <w:color w:val="auto"/>
        </w:rPr>
      </w:pPr>
      <w:r>
        <w:rPr>
          <w:rFonts w:ascii="Arial" w:cs="Arial" w:eastAsia="Arial" w:hAnsi="Arial"/>
          <w:sz w:val="18"/>
          <w:szCs w:val="18"/>
          <w:color w:val="auto"/>
        </w:rPr>
        <w:t>and reallowance to dealers may be reduced by the representative. No such reduction will change the</w:t>
      </w:r>
    </w:p>
    <w:p>
      <w:pPr>
        <w:ind w:left="460"/>
        <w:spacing w:after="0"/>
        <w:rPr>
          <w:sz w:val="20"/>
          <w:szCs w:val="20"/>
          <w:color w:val="auto"/>
        </w:rPr>
      </w:pPr>
      <w:r>
        <w:rPr>
          <w:rFonts w:ascii="Arial" w:cs="Arial" w:eastAsia="Arial" w:hAnsi="Arial"/>
          <w:sz w:val="18"/>
          <w:szCs w:val="18"/>
          <w:color w:val="auto"/>
        </w:rPr>
        <w:t>amount of proceeds to be received by us as set forth on the cover page of this prospectus.</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PAID BY CM LIFE SCIENCES, INC.</w:t>
            </w:r>
          </w:p>
        </w:tc>
      </w:tr>
      <w:tr>
        <w:trPr>
          <w:trHeight w:val="25"/>
        </w:trPr>
        <w:tc>
          <w:tcPr>
            <w:tcW w:w="3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2"/>
        </w:trPr>
        <w:tc>
          <w:tcPr>
            <w:tcW w:w="3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19,250,000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22,137,500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82" w:val="left"/>
        </w:tabs>
        <w:numPr>
          <w:ilvl w:val="0"/>
          <w:numId w:val="79"/>
        </w:numPr>
        <w:rPr>
          <w:rFonts w:ascii="Arial" w:cs="Arial" w:eastAsia="Arial" w:hAnsi="Arial"/>
          <w:sz w:val="13"/>
          <w:szCs w:val="13"/>
          <w:color w:val="auto"/>
        </w:rPr>
      </w:pPr>
      <w:r>
        <w:rPr>
          <w:rFonts w:ascii="Arial" w:cs="Arial" w:eastAsia="Arial" w:hAnsi="Arial"/>
          <w:sz w:val="13"/>
          <w:szCs w:val="13"/>
          <w:color w:val="auto"/>
        </w:rPr>
        <w:t>$0.20 per unit, or $7,000,000 in the aggregate (or $8,050,000 if the underwriters’ over-allotment option is exercised in full), is payable upon the closing of this offering. Includes $0.35 per unit, or $12,250,000 in the aggregate (or $14,087,500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8" w:name="page149"/>
    <w:bookmarkEnd w:id="148"/>
    <w:p>
      <w:pPr>
        <w:ind w:left="460" w:right="479"/>
        <w:spacing w:after="0" w:line="238" w:lineRule="auto"/>
        <w:rPr>
          <w:sz w:val="20"/>
          <w:szCs w:val="20"/>
          <w:color w:val="auto"/>
        </w:rPr>
      </w:pPr>
      <w:r>
        <w:rPr>
          <w:rFonts w:ascii="Arial" w:cs="Arial" w:eastAsia="Arial" w:hAnsi="Arial"/>
          <w:sz w:val="18"/>
          <w:szCs w:val="18"/>
          <w:color w:val="auto"/>
        </w:rPr>
        <w:t>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53"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Once the securities comprising the units begin separate trading, we expect that the Class A common stock and warrants will be listed on Nasdaq under the symbols “CMLF” and “CMLFW,” respectively. The units will automatically separate into their component parts and will not be traded following the completion of our initial business combination.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5,250,000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Lock-up Agreements</w:t>
      </w:r>
    </w:p>
    <w:p>
      <w:pPr>
        <w:spacing w:after="0" w:line="166"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grant any option to sell (including any short sale), hypothecate, pledge, transfer, establish or increase a put equivalent position or decrease a call equivalent position within the meaning of Rule 16a-1 under the Exchange Act, as amended, or otherwise dispose of, directly or indirectly, any units, warrants, shares of Class A common stock or any other securities convertible into, or exercisable, or exchangeable for, Class A common stock, or publicly announce any intention to effect any such transaction;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founder shares and the private placement warrants and the securities underlying the foregoing or the warrants and shares of Class A common stock issuable upon exercise of the warrants, and (4) issue securities in connection with an initial business combination (including the sale of any forward purchase shares). Jefferies LLC, in its sole discretion, may release any of the securities subject to these lock-up agreements at any time without notice.</w:t>
      </w:r>
    </w:p>
    <w:p>
      <w:pPr>
        <w:spacing w:after="0" w:line="14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Our initial shareholders have agreed not to transfer, assign or sell any of their founder shares until the earlier to occur of: (A) one year after the completion of our initial business combination and</w:t>
      </w:r>
    </w:p>
    <w:p>
      <w:pPr>
        <w:spacing w:after="0" w:line="1" w:lineRule="exact"/>
        <w:rPr>
          <w:sz w:val="20"/>
          <w:szCs w:val="20"/>
          <w:color w:val="auto"/>
        </w:rPr>
      </w:pPr>
    </w:p>
    <w:p>
      <w:pPr>
        <w:ind w:left="460" w:right="619" w:hanging="6"/>
        <w:spacing w:after="0" w:line="237" w:lineRule="auto"/>
        <w:tabs>
          <w:tab w:leader="none" w:pos="7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subsequent to our initial business combination, (x)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49" w:name="page150"/>
    <w:bookmarkEnd w:id="149"/>
    <w:p>
      <w:pPr>
        <w:ind w:left="460" w:right="539"/>
        <w:spacing w:after="0" w:line="237" w:lineRule="auto"/>
        <w:rPr>
          <w:sz w:val="20"/>
          <w:szCs w:val="20"/>
          <w:color w:val="auto"/>
        </w:rPr>
      </w:pPr>
      <w:r>
        <w:rPr>
          <w:rFonts w:ascii="Arial" w:cs="Arial" w:eastAsia="Arial" w:hAnsi="Arial"/>
          <w:sz w:val="18"/>
          <w:szCs w:val="18"/>
          <w:color w:val="auto"/>
        </w:rPr>
        <w:t>public shareholders having the right to exchange their common stock for cash, securities or other property (except as described herein under “Principal Shareholders — Transfers of Founder Shares, Private Placement Warrants and Forward Purchase Shares”). Any permitted transferees will be subject to the same restrictions and other agreements of our sponsor, directors and our management team with respect to any founder shares, private placement warrants and shares of Class A common stock issued upon conversion or exercise thereof. We refer to such transfer restrictions throughout this prospectus as the lock-up.</w:t>
      </w:r>
    </w:p>
    <w:p>
      <w:pPr>
        <w:spacing w:after="0" w:line="122" w:lineRule="exact"/>
        <w:rPr>
          <w:sz w:val="20"/>
          <w:szCs w:val="20"/>
          <w:color w:val="auto"/>
        </w:rPr>
      </w:pPr>
    </w:p>
    <w:p>
      <w:pPr>
        <w:ind w:left="460" w:right="1099"/>
        <w:spacing w:after="0" w:line="248"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w:t>
      </w:r>
    </w:p>
    <w:p>
      <w:pPr>
        <w:spacing w:after="0" w:line="1" w:lineRule="exact"/>
        <w:rPr>
          <w:sz w:val="20"/>
          <w:szCs w:val="20"/>
          <w:color w:val="auto"/>
        </w:rPr>
      </w:pPr>
    </w:p>
    <w:p>
      <w:pPr>
        <w:ind w:left="460" w:right="719"/>
        <w:spacing w:after="0" w:line="238" w:lineRule="auto"/>
        <w:rPr>
          <w:sz w:val="20"/>
          <w:szCs w:val="20"/>
          <w:color w:val="auto"/>
        </w:rPr>
      </w:pPr>
      <w:r>
        <w:rPr>
          <w:rFonts w:ascii="Arial" w:cs="Arial" w:eastAsia="Arial" w:hAnsi="Arial"/>
          <w:sz w:val="18"/>
          <w:szCs w:val="18"/>
          <w:color w:val="auto"/>
        </w:rPr>
        <w:t>30 days after the completion of our initial business combination (except with respect to permitted transferees as described herein under the section of this prospectus entitled “Principal Shareholders — Transfers of Founder Shares, Private Placement Warrants and Forward Purchase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0"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00"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2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1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10"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w:t>
      </w:r>
    </w:p>
    <w:p>
      <w:pPr>
        <w:sectPr>
          <w:pgSz w:w="11900" w:h="16838" w:orient="portrait"/>
          <w:cols w:equalWidth="0" w:num="1">
            <w:col w:w="9019"/>
          </w:cols>
          <w:pgMar w:left="1440" w:top="287"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50" w:name="page151"/>
    <w:bookmarkEnd w:id="150"/>
    <w:p>
      <w:pPr>
        <w:ind w:left="460" w:right="759"/>
        <w:spacing w:after="0"/>
        <w:rPr>
          <w:sz w:val="20"/>
          <w:szCs w:val="20"/>
          <w:color w:val="auto"/>
        </w:rPr>
      </w:pPr>
      <w:r>
        <w:rPr>
          <w:rFonts w:ascii="Arial" w:cs="Arial" w:eastAsia="Arial" w:hAnsi="Arial"/>
          <w:sz w:val="18"/>
          <w:szCs w:val="18"/>
          <w:color w:val="auto"/>
        </w:rPr>
        <w:t>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39"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10"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1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00" w:right="579" w:hanging="322"/>
        <w:spacing w:after="0" w:line="260" w:lineRule="auto"/>
        <w:tabs>
          <w:tab w:leader="none" w:pos="10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80" w:hanging="30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53"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2"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8"/>
          <w:szCs w:val="18"/>
          <w:color w:val="auto"/>
        </w:rPr>
      </w:pPr>
    </w:p>
    <w:p>
      <w:pPr>
        <w:ind w:left="1080" w:hanging="30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5"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52" w:name="page153"/>
    <w:bookmarkEnd w:id="152"/>
    <w:p>
      <w:pPr>
        <w:ind w:left="460" w:right="479" w:hanging="6"/>
        <w:spacing w:after="0" w:line="236" w:lineRule="auto"/>
        <w:tabs>
          <w:tab w:leader="none" w:pos="7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3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3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 of persons in accordance with the Israeli Securities Law and</w:t>
      </w:r>
    </w:p>
    <w:p>
      <w:pPr>
        <w:spacing w:after="0" w:line="3" w:lineRule="exact"/>
        <w:rPr>
          <w:sz w:val="20"/>
          <w:szCs w:val="20"/>
          <w:color w:val="auto"/>
        </w:rPr>
      </w:pPr>
    </w:p>
    <w:p>
      <w:pPr>
        <w:ind w:left="460" w:right="599" w:hanging="6"/>
        <w:spacing w:after="0" w:line="236" w:lineRule="auto"/>
        <w:tabs>
          <w:tab w:leader="none" w:pos="7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53" w:name="page154"/>
    <w:bookmarkEnd w:id="153"/>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66"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 w:lineRule="exact"/>
        <w:rPr>
          <w:sz w:val="20"/>
          <w:szCs w:val="20"/>
          <w:color w:val="auto"/>
        </w:rPr>
      </w:pPr>
    </w:p>
    <w:p>
      <w:pPr>
        <w:jc w:val="both"/>
        <w:ind w:left="1100" w:right="639" w:hanging="322"/>
        <w:spacing w:after="0"/>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5" w:lineRule="exact"/>
        <w:rPr>
          <w:rFonts w:ascii="Arial" w:cs="Arial" w:eastAsia="Arial" w:hAnsi="Arial"/>
          <w:sz w:val="18"/>
          <w:szCs w:val="18"/>
          <w:color w:val="auto"/>
        </w:rPr>
      </w:pPr>
    </w:p>
    <w:p>
      <w:pPr>
        <w:ind w:left="1420" w:right="519" w:hanging="318"/>
        <w:spacing w:after="0"/>
        <w:tabs>
          <w:tab w:leader="none" w:pos="14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7"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36"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 w:lineRule="exact"/>
        <w:rPr>
          <w:rFonts w:ascii="Arial" w:cs="Arial" w:eastAsia="Arial" w:hAnsi="Arial"/>
          <w:sz w:val="18"/>
          <w:szCs w:val="18"/>
          <w:color w:val="auto"/>
        </w:rPr>
      </w:pPr>
    </w:p>
    <w:p>
      <w:pPr>
        <w:ind w:left="1420" w:hanging="318"/>
        <w:spacing w:after="0"/>
        <w:tabs>
          <w:tab w:leader="none" w:pos="1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079" w:hanging="318"/>
        <w:spacing w:after="0" w:line="246" w:lineRule="auto"/>
        <w:tabs>
          <w:tab w:leader="none" w:pos="140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66"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27"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37"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CM Life Sciences, Inc. as of July 16, 2020, and for the period from July 10, 2020 (inception) through July 16,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CM Life Sciences, Inc.:</w:t>
            </w:r>
          </w:p>
        </w:tc>
        <w:tc>
          <w:tcPr>
            <w:tcW w:w="600" w:type="dxa"/>
            <w:vAlign w:val="bottom"/>
            <w:tcBorders>
              <w:bottom w:val="single" w:sz="8" w:color="CCEEFF"/>
            </w:tcBorders>
            <w:shd w:val="clear" w:color="auto" w:fill="CCEEFF"/>
          </w:tcPr>
          <w:p>
            <w:pPr>
              <w:spacing w:after="0"/>
              <w:rPr>
                <w:sz w:val="22"/>
                <w:szCs w:val="22"/>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Report of Independent Registered Public Accounting Firm</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Balance Sheet as of July 16, 2020</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Operations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5"/>
        </w:trPr>
        <w:tc>
          <w:tcPr>
            <w:tcW w:w="7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Statement of Changes in Stockholder’s Equity for the period from July 10, 2020 (inception)</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83"/>
        </w:trPr>
        <w:tc>
          <w:tcPr>
            <w:tcW w:w="180" w:type="dxa"/>
            <w:vAlign w:val="bottom"/>
            <w:shd w:val="clear" w:color="auto" w:fill="CCEEFF"/>
          </w:tcPr>
          <w:p>
            <w:pPr>
              <w:spacing w:after="0"/>
              <w:rPr>
                <w:sz w:val="15"/>
                <w:szCs w:val="15"/>
                <w:color w:val="auto"/>
              </w:rPr>
            </w:pPr>
          </w:p>
        </w:tc>
        <w:tc>
          <w:tcPr>
            <w:tcW w:w="7320" w:type="dxa"/>
            <w:vAlign w:val="bottom"/>
            <w:gridSpan w:val="3"/>
            <w:shd w:val="clear" w:color="auto" w:fill="CCEEFF"/>
          </w:tcPr>
          <w:p>
            <w:pPr>
              <w:spacing w:after="0" w:line="182" w:lineRule="exact"/>
              <w:rPr>
                <w:rFonts w:ascii="Arial" w:cs="Arial" w:eastAsia="Arial" w:hAnsi="Arial"/>
                <w:sz w:val="18"/>
                <w:szCs w:val="18"/>
                <w:color w:val="0000EE"/>
              </w:rPr>
            </w:pPr>
            <w:hyperlink w:anchor="page160">
              <w:r>
                <w:rPr>
                  <w:rFonts w:ascii="Arial" w:cs="Arial" w:eastAsia="Arial" w:hAnsi="Arial"/>
                  <w:sz w:val="18"/>
                  <w:szCs w:val="18"/>
                  <w:color w:val="0000EE"/>
                </w:rPr>
                <w:t>through July 16, 2020</w:t>
              </w:r>
            </w:hyperlink>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Statement of Cash Flows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3"/>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Notes to Financial Statements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2"/>
        </w:trPr>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rPr>
              <w:t>F-1</w:t>
            </w: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56" w:name="page157"/>
    <w:bookmarkEnd w:id="156"/>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CM Life Sciences, Inc.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We have audited the accompanying balance sheet of CM Life Sciences, Inc. (the “Company”) as of July 16, 2020, the related statements of operations, changes in stockholder’s equity and cash flows for the period from July 10, 2020 (inception) through July 16, 2020, and the related notes (collectively referred to as the “financial statements”). In our opinion, the financial statements present fairly, in all material respects, the financial position of the Company as of July 16, 2020, and the results of its operations and its cash flows for the period from July 10, 2020 (inception) through July 16,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August 21,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tbl>
      <w:tblPr>
        <w:tblLayout w:type="fixed"/>
        <w:tblInd w:w="460" w:type="dxa"/>
        <w:tblCellMar>
          <w:top w:w="0" w:type="dxa"/>
          <w:left w:w="0" w:type="dxa"/>
          <w:bottom w:w="0" w:type="dxa"/>
          <w:right w:w="0" w:type="dxa"/>
        </w:tblCellMar>
      </w:tblPr>
      <w:tr>
        <w:trPr>
          <w:trHeight w:val="207"/>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rPr>
              <w:t>CM LIFE SCIENCES, INC.</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Pr>
          <w:p>
            <w:pPr>
              <w:jc w:val="center"/>
              <w:ind w:left="1090"/>
              <w:spacing w:after="0" w:line="202" w:lineRule="exact"/>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JULY 16, 2020</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62"/>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offering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tcPr>
          <w:p>
            <w:pPr>
              <w:spacing w:after="0"/>
              <w:rPr>
                <w:sz w:val="24"/>
                <w:szCs w:val="24"/>
                <w:color w:val="auto"/>
              </w:rPr>
            </w:pPr>
          </w:p>
        </w:tc>
      </w:tr>
      <w:tr>
        <w:trPr>
          <w:trHeight w:val="257"/>
        </w:trPr>
        <w:tc>
          <w:tcPr>
            <w:tcW w:w="6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offering costs</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tcPr>
          <w:p>
            <w:pPr>
              <w:spacing w:after="0"/>
              <w:rPr>
                <w:sz w:val="24"/>
                <w:szCs w:val="24"/>
                <w:color w:val="auto"/>
              </w:rPr>
            </w:pPr>
          </w:p>
        </w:tc>
      </w:tr>
      <w:tr>
        <w:trPr>
          <w:trHeight w:val="263"/>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67,681</w:t>
            </w:r>
          </w:p>
        </w:tc>
        <w:tc>
          <w:tcPr>
            <w:tcW w:w="120" w:type="dxa"/>
            <w:vAlign w:val="bottom"/>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common stock, $0.0001 par value; 380,000,000 shares authorized;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none issued and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Class B common stock, $0.0001 par value; 20,000,000 shares authorized;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6900" w:type="dxa"/>
            <w:vAlign w:val="bottom"/>
          </w:tcPr>
          <w:p>
            <w:pPr>
              <w:ind w:left="360"/>
              <w:spacing w:after="0"/>
              <w:rPr>
                <w:sz w:val="20"/>
                <w:szCs w:val="20"/>
                <w:color w:val="auto"/>
              </w:rPr>
            </w:pPr>
            <w:r>
              <w:rPr>
                <w:rFonts w:ascii="Arial" w:cs="Arial" w:eastAsia="Arial" w:hAnsi="Arial"/>
                <w:sz w:val="18"/>
                <w:szCs w:val="18"/>
                <w:color w:val="auto"/>
              </w:rPr>
              <w:t>10,062,500 shares issued and outstanding</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r>
      <w:tr>
        <w:trPr>
          <w:trHeight w:val="26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690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839" w:hanging="426"/>
        <w:spacing w:after="0" w:line="230" w:lineRule="auto"/>
        <w:tabs>
          <w:tab w:leader="none" w:pos="882"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by the Sponsor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(2,681)</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90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1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880" w:right="799" w:hanging="426"/>
        <w:spacing w:after="0" w:line="230" w:lineRule="auto"/>
        <w:tabs>
          <w:tab w:leader="none" w:pos="882"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Excludes an aggregate of up to 1,312,500 shares of Class B common stock subject to forfeiture by the Sponsor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4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rPr>
              <w:t>Class B</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00" w:type="dxa"/>
            <w:vAlign w:val="bottom"/>
            <w:gridSpan w:val="5"/>
          </w:tcPr>
          <w:p>
            <w:pPr>
              <w:jc w:val="center"/>
              <w:ind w:right="40"/>
              <w:spacing w:after="0" w:line="148"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10, 2020 (inception)</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140" w:type="dxa"/>
            <w:vAlign w:val="bottom"/>
          </w:tcPr>
          <w:p>
            <w:pPr>
              <w:ind w:left="180"/>
              <w:spacing w:after="0" w:line="201" w:lineRule="exact"/>
              <w:rPr>
                <w:sz w:val="20"/>
                <w:szCs w:val="20"/>
                <w:color w:val="auto"/>
              </w:rPr>
            </w:pPr>
            <w:r>
              <w:rPr>
                <w:rFonts w:ascii="Arial" w:cs="Arial" w:eastAsia="Arial" w:hAnsi="Arial"/>
                <w:sz w:val="18"/>
                <w:szCs w:val="18"/>
                <w:color w:val="auto"/>
              </w:rPr>
              <w:t>Issuance of Class B common 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360"/>
              <w:spacing w:after="0"/>
              <w:rPr>
                <w:sz w:val="20"/>
                <w:szCs w:val="20"/>
                <w:color w:val="auto"/>
              </w:rPr>
            </w:pPr>
            <w:r>
              <w:rPr>
                <w:rFonts w:ascii="Arial" w:cs="Arial" w:eastAsia="Arial" w:hAnsi="Arial"/>
                <w:sz w:val="18"/>
                <w:szCs w:val="18"/>
                <w:color w:val="auto"/>
              </w:rPr>
              <w:t>to Sponsor</w:t>
            </w:r>
            <w:r>
              <w:rPr>
                <w:rFonts w:ascii="Arial" w:cs="Arial" w:eastAsia="Arial" w:hAnsi="Arial"/>
                <w:sz w:val="20"/>
                <w:szCs w:val="20"/>
                <w:color w:val="auto"/>
                <w:vertAlign w:val="superscript"/>
              </w:rPr>
              <w:t>(1)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10,062,500</w:t>
            </w:r>
          </w:p>
        </w:tc>
        <w:tc>
          <w:tcPr>
            <w:tcW w:w="1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23,994</w:t>
            </w:r>
          </w:p>
        </w:tc>
        <w:tc>
          <w:tcPr>
            <w:tcW w:w="18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Pr>
          <w:p>
            <w:pPr>
              <w:spacing w:after="0"/>
              <w:rPr>
                <w:sz w:val="20"/>
                <w:szCs w:val="20"/>
                <w:color w:val="auto"/>
              </w:rPr>
            </w:pPr>
            <w:r>
              <w:rPr>
                <w:rFonts w:ascii="Arial" w:cs="Arial" w:eastAsia="Arial" w:hAnsi="Arial"/>
                <w:sz w:val="18"/>
                <w:szCs w:val="18"/>
                <w:b w:val="1"/>
                <w:bCs w:val="1"/>
                <w:color w:val="auto"/>
              </w:rPr>
              <w:t>Balance, July 16, 2020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10,062,500 $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23,994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(2,681)</w:t>
            </w:r>
          </w:p>
        </w:tc>
        <w:tc>
          <w:tcPr>
            <w:tcW w:w="1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839" w:hanging="426"/>
        <w:spacing w:after="0" w:line="230" w:lineRule="auto"/>
        <w:tabs>
          <w:tab w:leader="none" w:pos="882"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by the Sponsor if the over-allotment option is not exercised in full or in part by the underwriters (see Note 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69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69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paid directly by Sponsor in exchange for the issuance of</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66"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As of July 16, 2020, the Company had not commenced any operations. All activity for the period from July 10, 2020 (inception) through July 16,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35,000,000 units (the “Units” and, with respect to the Class A common stock included in the Units being offered, the “Public Shares”) at $10.00 per Unit (or 40,250,000 Units if the underwriters’ over-allotment option is exercised in full), which is discussed in Note 3, and the sale of 6,000,000 warrants (or 6,700,000 warrants if the underwriters’ over-allotment option is exercised on full) (the “Private Placement Warrants”) at a price of $1.50 per Private Placement Warrant in a private placement to CMLS Holdings LLC (the “Sponsor”) and certain of the Company’s independent director nominees, that will close simultaneously with the Proposed Public Offering.</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proceeds of the Private Placement Warrants,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 recorded at a redemption value and classified as temporary equity upon the completion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759"/>
        <w:spacing w:after="0" w:line="246" w:lineRule="auto"/>
        <w:rPr>
          <w:sz w:val="20"/>
          <w:szCs w:val="20"/>
          <w:color w:val="auto"/>
        </w:rPr>
      </w:pPr>
      <w:r>
        <w:rPr>
          <w:rFonts w:ascii="Arial" w:cs="Arial" w:eastAsia="Arial" w:hAnsi="Arial"/>
          <w:sz w:val="18"/>
          <w:szCs w:val="18"/>
          <w:color w:val="auto"/>
        </w:rPr>
        <w:t>of the Proposed Public Offering in accordance with the Accounting Standards Codification (“ASC”) Topic 480 “Distinguishing Liabilities from Equity.”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4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22"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Company has not completed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4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Proposed Public Offering, such Public Shares will be entitled to liquidating distributions from the Trust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2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22"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6"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1"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7"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3"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16,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The provision for income taxes was deemed to be de minimis for the period from July 10, 2020 (inception) through July 16, 2020. The Company’s deferred tax assets were deemed to be de minimis as of July 16,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1,312,500 shares of Class B common stock that are subject to forfeiture if the over-allotment option is not exercised by the underwriters (see Note 5). At July 16,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1059"/>
        <w:spacing w:after="0"/>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53"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Pursuant to the Proposed Public Offering, the Company intends to offer for sale 35,000,000 Units (or 40,250,000 Units if the underwriters’ over-allotment option is exercised in full) at a price of $10.00 per Unit. Each Unit will consist of one share of Class A common stock and one-third of one redeemable warrant (“Public Warrant”). Each whole Public Warrant will entitle the holder to purchase one share of Class A common stock at a price of $11.50 per share, subject to adjustment (see Note 7).</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Sponsor and certain of the Company’s independent director nominees have severally agreed to purchase an aggregate of 6,000,000 Private Placement Warrants (or 6,700,000 Private Placement Warrants if the underwriters’ over-allotment is exercised in full) at a price of $1.50 per Private Placement Warrant ($ 9,000,000, or an aggregate of $10,050,000 if the underwriters’ over-allotment is exercised in full) from the Company in a private placement that will occur simultaneously with the closing of the Proposed Public Offering. The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 Each Private Placement Warrant is exercisable to purchase one share of Class A common stock at a price of $11.50 per share, subject to adjustment (see Note 7). The proceeds from the sale of the Private Placement Warrants will be added to the net proceeds from the Proposed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During the period ended July 16, 2020, the Sponsor paid $25,000 to cover certain offering costs of the Company in consideration for 10,062,500 shares of Class B common stock (the “Founder Shares”). The Founder Shares include an aggregate of up to 1,312,500 shares subject to forfeiture by the Sponsor to the extent that the underwriters’ over-allotment is not exercised in full or in part, so that the number of Founder Shares will equal, on an as-converted basis, approximately 20% of the Company’s issued and outstanding ordinary shares after the Proposed Public Offering.</w:t>
      </w:r>
    </w:p>
    <w:p>
      <w:pPr>
        <w:spacing w:after="0" w:line="137"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may borrow up to an aggregate principal amount of $ 300,000. The Promissory Note is non-interest bearing and payable on the earlier of (i) December 31, 2020 or (ii) the consummation of the Proposed Public Offering. As of July 16, 2020, there were no amounts outstanding under the Promissory Note.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July 16, 2020, there were no amounts outstanding under the Working Capital Loans.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holders of the Founder Shares, Private Placement Warrants and securities that may be issued upon conversion of Working Capital Loans and forward purchase shares will be entitled to registration rights pursuant to a registration rights agreement to be signed prior to or on the effective date of Proposed Public Offering. The holders of these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5,250,000 additional Units to cover over-allotments, if any, at the Proposed Public Offering price less the underwriting discounts and commissions.</w:t>
      </w:r>
    </w:p>
    <w:p>
      <w:pPr>
        <w:spacing w:after="0" w:line="135" w:lineRule="exact"/>
        <w:rPr>
          <w:sz w:val="20"/>
          <w:szCs w:val="20"/>
          <w:color w:val="auto"/>
        </w:rPr>
      </w:pPr>
    </w:p>
    <w:p>
      <w:pPr>
        <w:ind w:left="460" w:right="559"/>
        <w:spacing w:after="0" w:line="253" w:lineRule="auto"/>
        <w:rPr>
          <w:sz w:val="20"/>
          <w:szCs w:val="20"/>
          <w:color w:val="auto"/>
        </w:rPr>
      </w:pPr>
      <w:r>
        <w:rPr>
          <w:rFonts w:ascii="Arial" w:cs="Arial" w:eastAsia="Arial" w:hAnsi="Arial"/>
          <w:sz w:val="17"/>
          <w:szCs w:val="17"/>
          <w:color w:val="auto"/>
        </w:rPr>
        <w:t>The underwriters will be entitled to a cash underwriting discount of $0.20 per Unit, or $7,000,000 in the aggregate (or $8,050,000 in the aggregate if the underwriters’ over-allotment option is exercised in full), payable upon the closing of the Proposed Public Offering. In addition, the underwriters will be entitled to a deferred fee of $0.35 per Unit, or $12,250,000 in the aggregate (or $14,087,500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Company intends to enter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4"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with such designations, voting and other rights and preferences as may be determined from time to time by the Company’s board of directors. At July 16, 2020, there were no shares of preferred stock issued or outstanding.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71"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A common stock are entitled to one vote for each share. At July 16, 2020, there were no shares of Class A common stock issued or outstanding.</w:t>
      </w:r>
    </w:p>
    <w:p>
      <w:pPr>
        <w:spacing w:after="0" w:line="106" w:lineRule="exact"/>
        <w:rPr>
          <w:sz w:val="20"/>
          <w:szCs w:val="20"/>
          <w:color w:val="auto"/>
        </w:rPr>
      </w:pPr>
    </w:p>
    <w:p>
      <w:pPr>
        <w:ind w:left="460" w:right="47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B common stock are entitled to one vote for each share. At July 16, 2020, there were 10,062,500 shares of Class B common stock issued and outstanding, of which an aggregate of up to 1,312,5000 shares of Class B common stock are subject to forfeiture by the Sponsor to the extent that the underwriters’ over-allotment option is not exercised in full or in part so that the number of Founder Shares will equal 20% of the Company’s issued and outstanding common stock after the Proposed Public Offering.</w:t>
      </w:r>
    </w:p>
    <w:p>
      <w:pPr>
        <w:spacing w:after="0" w:line="13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w:t>
      </w:r>
    </w:p>
    <w:p>
      <w:pPr>
        <w:spacing w:after="0" w:line="124"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4" w:lineRule="exact"/>
        <w:rPr>
          <w:sz w:val="20"/>
          <w:szCs w:val="20"/>
          <w:color w:val="auto"/>
        </w:rPr>
      </w:pPr>
    </w:p>
    <w:p>
      <w:pPr>
        <w:ind w:left="460" w:right="759"/>
        <w:spacing w:after="0" w:line="242"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13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2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79"/>
        <w:spacing w:after="0" w:line="251" w:lineRule="auto"/>
        <w:rPr>
          <w:sz w:val="20"/>
          <w:szCs w:val="20"/>
          <w:color w:val="auto"/>
        </w:rPr>
      </w:pPr>
      <w:r>
        <w:rPr>
          <w:rFonts w:ascii="Arial" w:cs="Arial" w:eastAsia="Arial" w:hAnsi="Arial"/>
          <w:sz w:val="17"/>
          <w:szCs w:val="17"/>
          <w:color w:val="auto"/>
        </w:rPr>
        <w:t>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1" w:lineRule="exact"/>
        <w:rPr>
          <w:sz w:val="20"/>
          <w:szCs w:val="20"/>
          <w:color w:val="auto"/>
        </w:rPr>
      </w:pPr>
    </w:p>
    <w:p>
      <w:pPr>
        <w:ind w:left="460" w:right="57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the Company may redeem the outstanding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36"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24" w:lineRule="exact"/>
        <w:rPr>
          <w:sz w:val="20"/>
          <w:szCs w:val="20"/>
          <w:color w:val="auto"/>
        </w:rPr>
      </w:pPr>
    </w:p>
    <w:p>
      <w:pPr>
        <w:ind w:left="460" w:right="779"/>
        <w:spacing w:after="0"/>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7" w:lineRule="exact"/>
        <w:rPr>
          <w:sz w:val="20"/>
          <w:szCs w:val="20"/>
          <w:color w:val="auto"/>
        </w:rPr>
      </w:pPr>
    </w:p>
    <w:p>
      <w:pPr>
        <w:ind w:left="460" w:right="79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 </w:t>
      </w:r>
      <w:r>
        <w:rPr>
          <w:rFonts w:ascii="Arial" w:cs="Arial" w:eastAsia="Arial" w:hAnsi="Arial"/>
          <w:sz w:val="18"/>
          <w:szCs w:val="18"/>
          <w:color w:val="auto"/>
        </w:rPr>
        <w:t>Once the warrants become exercisable, the Company may redeem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9" w:lineRule="exact"/>
        <w:rPr>
          <w:rFonts w:ascii="Arial" w:cs="Arial" w:eastAsia="Arial" w:hAnsi="Arial"/>
          <w:sz w:val="18"/>
          <w:szCs w:val="18"/>
          <w:color w:val="auto"/>
        </w:rPr>
      </w:pPr>
    </w:p>
    <w:p>
      <w:pPr>
        <w:ind w:left="1100" w:right="599" w:hanging="322"/>
        <w:spacing w:after="0"/>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27" w:lineRule="exact"/>
        <w:rPr>
          <w:rFonts w:ascii="Arial" w:cs="Arial" w:eastAsia="Arial" w:hAnsi="Arial"/>
          <w:sz w:val="18"/>
          <w:szCs w:val="18"/>
          <w:color w:val="auto"/>
        </w:rPr>
      </w:pPr>
    </w:p>
    <w:p>
      <w:pPr>
        <w:ind w:left="1100" w:right="539" w:hanging="322"/>
        <w:spacing w:after="0" w:line="238" w:lineRule="auto"/>
        <w:tabs>
          <w:tab w:leader="none" w:pos="1089"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1"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79"/>
        <w:spacing w:after="0" w:line="246" w:lineRule="auto"/>
        <w:rPr>
          <w:sz w:val="20"/>
          <w:szCs w:val="20"/>
          <w:color w:val="auto"/>
        </w:rPr>
      </w:pPr>
      <w:r>
        <w:rPr>
          <w:rFonts w:ascii="Arial" w:cs="Arial" w:eastAsia="Arial" w:hAnsi="Arial"/>
          <w:sz w:val="18"/>
          <w:szCs w:val="18"/>
          <w:color w:val="auto"/>
        </w:rPr>
        <w:t>Issued Price, and the $10.00 per share redemption trigger price will be adjusted (to the nearest cent) to be equal to the higher of the Market Value and the Newly Issued Price.</w:t>
      </w:r>
    </w:p>
    <w:p>
      <w:pPr>
        <w:spacing w:after="0" w:line="12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August 21, 2020, the date that the financial statements were available to be issued. Other than as described below, the Company did not identify any subsequent events that would have required adjustment or disclosure in the financial statements.</w:t>
      </w:r>
    </w:p>
    <w:p>
      <w:pPr>
        <w:spacing w:after="0" w:line="124" w:lineRule="exact"/>
        <w:rPr>
          <w:sz w:val="20"/>
          <w:szCs w:val="20"/>
          <w:color w:val="auto"/>
        </w:rPr>
      </w:pPr>
    </w:p>
    <w:p>
      <w:pPr>
        <w:jc w:val="both"/>
        <w:ind w:left="460" w:right="1019"/>
        <w:spacing w:after="0"/>
        <w:rPr>
          <w:sz w:val="20"/>
          <w:szCs w:val="20"/>
          <w:color w:val="auto"/>
        </w:rPr>
      </w:pPr>
      <w:r>
        <w:rPr>
          <w:rFonts w:ascii="Arial" w:cs="Arial" w:eastAsia="Arial" w:hAnsi="Arial"/>
          <w:sz w:val="18"/>
          <w:szCs w:val="18"/>
          <w:color w:val="auto"/>
        </w:rPr>
        <w:t>In August 2020, the Sponsor transferred 25,000 Founder Shares to each of Munib Islam, Emily Leproust and Nat Turner at their original per-share purchase price, for an aggregate of 75,000 Founder Shares transferred.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25400"/>
                    </a:xfrm>
                    <a:prstGeom prst="rect">
                      <a:avLst/>
                    </a:prstGeom>
                    <a:noFill/>
                  </pic:spPr>
                </pic:pic>
              </a:graphicData>
            </a:graphic>
          </wp:anchor>
        </w:drawing>
        <w:t>35,000,000 Units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15"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84"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414655</wp:posOffset>
            </wp:positionV>
            <wp:extent cx="514350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457200</wp:posOffset>
            </wp:positionV>
            <wp:extent cx="514350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723265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52,245</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60,875</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799" w:hanging="426"/>
        <w:spacing w:after="0" w:line="230" w:lineRule="auto"/>
        <w:tabs>
          <w:tab w:leader="none" w:pos="8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53"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36" w:lineRule="exact"/>
        <w:rPr>
          <w:sz w:val="20"/>
          <w:szCs w:val="20"/>
          <w:color w:val="auto"/>
        </w:rPr>
      </w:pPr>
    </w:p>
    <w:p>
      <w:pPr>
        <w:ind w:left="1100" w:right="479" w:hanging="322"/>
        <w:spacing w:after="0" w:line="235" w:lineRule="auto"/>
        <w:tabs>
          <w:tab w:leader="none" w:pos="10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4"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3" w:name="page174"/>
    <w:bookmarkEnd w:id="173"/>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74" w:name="page175"/>
    <w:bookmarkEnd w:id="174"/>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75" w:name="page176"/>
    <w:bookmarkEnd w:id="175"/>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July 16, 2020, CMLS Holdings LLC, our sponsor, purchased an aggregate 10,062,500 founder shares for a total purchase price of $25,000, or approximately $0.002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these shares will be forfeited by our sponsor depending on the extent to which the underwriters’ over-allotment is exercised.</w:t>
      </w:r>
    </w:p>
    <w:p>
      <w:pPr>
        <w:spacing w:after="0" w:line="139"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C-LSH LLC (an entity affiliated with Eli Casdin) and M-LSH LLC (an entity affiliated with Keith Meister) are the managing members of our sponsor. Our sponsor is an accredited investor for purposes of Rule 501 of Regulation 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6" w:name="page177"/>
    <w:bookmarkEnd w:id="176"/>
    <w:p>
      <w:pPr>
        <w:ind w:left="460" w:right="599"/>
        <w:spacing w:after="0" w:line="238" w:lineRule="auto"/>
        <w:rPr>
          <w:sz w:val="20"/>
          <w:szCs w:val="20"/>
          <w:color w:val="auto"/>
        </w:rPr>
      </w:pPr>
      <w:r>
        <w:rPr>
          <w:rFonts w:ascii="Arial" w:cs="Arial" w:eastAsia="Arial" w:hAnsi="Arial"/>
          <w:sz w:val="18"/>
          <w:szCs w:val="18"/>
          <w:color w:val="auto"/>
        </w:rPr>
        <w:t>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sponsor and certain of our independent director nominees have severally committed, pursuant to a written agreement, to purchase from us an aggregate of 6,000,000 private placement warrants (or 6,700,000 warrants if the underwriters’ over-allotment option is exercised in full) at $1.50 per warrant (for an aggregate purchase price of $9,000,000 (or $10,050,000 warrants if the underwriters’ over-allotment option is exercised in full)). Our sponsor has committed to purchase 5,666,668 private placement warrants (or 6,366,668 warrants if the underwriters’ over-allotment option is exercised in full), and each of Mr. Islam and Dr. Leproust (and/or one or more entities controlled by them) has committed to purchase 166,666 private placement warrants.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40" w:lineRule="exact"/>
        <w:rPr>
          <w:sz w:val="20"/>
          <w:szCs w:val="20"/>
          <w:color w:val="auto"/>
        </w:rPr>
      </w:pPr>
    </w:p>
    <w:p>
      <w:pPr>
        <w:ind w:left="1100" w:hanging="322"/>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803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1.1</w:t>
      </w:r>
      <w:r>
        <w:rPr>
          <w:sz w:val="20"/>
          <w:szCs w:val="20"/>
          <w:color w:val="auto"/>
        </w:rPr>
        <w:tab/>
      </w:r>
      <w:hyperlink w:anchor="page180">
        <w:r>
          <w:rPr>
            <w:rFonts w:ascii="Arial" w:cs="Arial" w:eastAsia="Arial" w:hAnsi="Arial"/>
            <w:sz w:val="17"/>
            <w:szCs w:val="17"/>
            <w:u w:val="single" w:color="auto"/>
            <w:color w:val="0000EE"/>
          </w:rPr>
          <w:t>Form of Underwriting Agreement.</w:t>
        </w:r>
      </w:hyperlink>
    </w:p>
    <w:p>
      <w:pPr>
        <w:spacing w:after="0" w:line="63"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w:anchor="page220">
        <w:r>
          <w:rPr>
            <w:rFonts w:ascii="Arial" w:cs="Arial" w:eastAsia="Arial" w:hAnsi="Arial"/>
            <w:sz w:val="17"/>
            <w:szCs w:val="17"/>
            <w:u w:val="single" w:color="auto"/>
            <w:color w:val="0000EE"/>
          </w:rPr>
          <w:t>Amended and Restated Certificate of Incorporation.</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w:anchor="page230">
        <w:r>
          <w:rPr>
            <w:rFonts w:ascii="Arial" w:cs="Arial" w:eastAsia="Arial" w:hAnsi="Arial"/>
            <w:sz w:val="17"/>
            <w:szCs w:val="17"/>
            <w:u w:val="single" w:color="auto"/>
            <w:color w:val="0000EE"/>
          </w:rPr>
          <w:t>Second Amended and Restated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w:anchor="page246">
        <w:r>
          <w:rPr>
            <w:rFonts w:ascii="Arial" w:cs="Arial" w:eastAsia="Arial" w:hAnsi="Arial"/>
            <w:sz w:val="18"/>
            <w:szCs w:val="18"/>
            <w:u w:val="single" w:color="auto"/>
            <w:color w:val="0000EE"/>
          </w:rPr>
          <w:t>Bylaws</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w:anchor="page270">
        <w:r>
          <w:rPr>
            <w:rFonts w:ascii="Arial" w:cs="Arial" w:eastAsia="Arial" w:hAnsi="Arial"/>
            <w:sz w:val="17"/>
            <w:szCs w:val="17"/>
            <w:u w:val="single" w:color="auto"/>
            <w:color w:val="0000EE"/>
          </w:rPr>
          <w:t>Specimen Unit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w:anchor="page273">
        <w:r>
          <w:rPr>
            <w:rFonts w:ascii="Arial" w:cs="Arial" w:eastAsia="Arial" w:hAnsi="Arial"/>
            <w:sz w:val="17"/>
            <w:szCs w:val="17"/>
            <w:u w:val="single" w:color="auto"/>
            <w:color w:val="0000EE"/>
          </w:rPr>
          <w:t>Specimen Class A Common Stock Certificate.</w:t>
        </w:r>
      </w:hyperlink>
    </w:p>
    <w:p>
      <w:pPr>
        <w:spacing w:after="0" w:line="77"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w:anchor="page276">
        <w:r>
          <w:rPr>
            <w:rFonts w:ascii="Arial" w:cs="Arial" w:eastAsia="Arial" w:hAnsi="Arial"/>
            <w:sz w:val="17"/>
            <w:szCs w:val="17"/>
            <w:u w:val="single" w:color="auto"/>
            <w:color w:val="0000EE"/>
          </w:rPr>
          <w:t>Specimen Warrant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479" w:hanging="59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w:anchor="page281">
        <w:r>
          <w:rPr>
            <w:rFonts w:ascii="Arial" w:cs="Arial" w:eastAsia="Arial" w:hAnsi="Arial"/>
            <w:sz w:val="18"/>
            <w:szCs w:val="18"/>
            <w:u w:val="single" w:color="auto"/>
            <w:color w:val="0000EE"/>
          </w:rPr>
          <w:t>Form of Warrant Agreement between Continental Stock Transfer &amp; Trust Company and the</w:t>
        </w:r>
      </w:hyperlink>
      <w:r>
        <w:rPr>
          <w:rFonts w:ascii="Arial" w:cs="Arial" w:eastAsia="Arial" w:hAnsi="Arial"/>
          <w:sz w:val="18"/>
          <w:szCs w:val="18"/>
          <w:u w:val="single" w:color="auto"/>
          <w:color w:val="0000EE"/>
        </w:rPr>
        <w:t xml:space="preserve"> </w:t>
      </w:r>
      <w:hyperlink w:anchor="page281">
        <w:r>
          <w:rPr>
            <w:rFonts w:ascii="Arial" w:cs="Arial" w:eastAsia="Arial" w:hAnsi="Arial"/>
            <w:sz w:val="18"/>
            <w:szCs w:val="18"/>
            <w:u w:val="single" w:color="auto"/>
            <w:color w:val="0000EE"/>
          </w:rPr>
          <w:t>Registrant.</w:t>
        </w:r>
      </w:hyperlink>
    </w:p>
    <w:p>
      <w:pPr>
        <w:spacing w:after="0" w:line="21" w:lineRule="exact"/>
        <w:rPr>
          <w:sz w:val="20"/>
          <w:szCs w:val="20"/>
          <w:color w:val="auto"/>
        </w:rPr>
      </w:pPr>
    </w:p>
    <w:p>
      <w:pPr>
        <w:ind w:left="72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306">
        <w:r>
          <w:rPr>
            <w:rFonts w:ascii="Arial" w:cs="Arial" w:eastAsia="Arial" w:hAnsi="Arial"/>
            <w:sz w:val="17"/>
            <w:szCs w:val="17"/>
            <w:u w:val="single" w:color="auto"/>
            <w:color w:val="0000EE"/>
          </w:rPr>
          <w:t>Opinion of White &amp; Case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85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309">
        <w:r>
          <w:rPr>
            <w:rFonts w:ascii="Arial" w:cs="Arial" w:eastAsia="Arial" w:hAnsi="Arial"/>
            <w:sz w:val="18"/>
            <w:szCs w:val="18"/>
            <w:u w:val="single" w:color="auto"/>
            <w:color w:val="0000EE"/>
          </w:rPr>
          <w:t>Form of Letter Agreement among the Registrant, CMLS Holdings LLC and each of the</w:t>
        </w:r>
      </w:hyperlink>
      <w:r>
        <w:rPr>
          <w:rFonts w:ascii="Arial" w:cs="Arial" w:eastAsia="Arial" w:hAnsi="Arial"/>
          <w:sz w:val="18"/>
          <w:szCs w:val="18"/>
          <w:u w:val="single" w:color="auto"/>
          <w:color w:val="0000EE"/>
        </w:rPr>
        <w:t xml:space="preserve"> </w:t>
      </w:r>
      <w:hyperlink w:anchor="page309">
        <w:r>
          <w:rPr>
            <w:rFonts w:ascii="Arial" w:cs="Arial" w:eastAsia="Arial" w:hAnsi="Arial"/>
            <w:sz w:val="18"/>
            <w:szCs w:val="18"/>
            <w:u w:val="single" w:color="auto"/>
            <w:color w:val="0000EE"/>
          </w:rPr>
          <w:t>executive officers and directors of the Registrant.</w:t>
        </w:r>
      </w:hyperlink>
    </w:p>
    <w:p>
      <w:pPr>
        <w:spacing w:after="0" w:line="21" w:lineRule="exact"/>
        <w:rPr>
          <w:sz w:val="20"/>
          <w:szCs w:val="20"/>
          <w:color w:val="auto"/>
        </w:rPr>
      </w:pPr>
    </w:p>
    <w:p>
      <w:pPr>
        <w:ind w:left="1300" w:right="59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316">
        <w:r>
          <w:rPr>
            <w:rFonts w:ascii="Arial" w:cs="Arial" w:eastAsia="Arial" w:hAnsi="Arial"/>
            <w:sz w:val="18"/>
            <w:szCs w:val="18"/>
            <w:u w:val="single" w:color="auto"/>
            <w:color w:val="0000EE"/>
          </w:rPr>
          <w:t>Form of Investment Management Trust Agreement between Continental Stock Transfer &amp;</w:t>
        </w:r>
      </w:hyperlink>
      <w:r>
        <w:rPr>
          <w:rFonts w:ascii="Arial" w:cs="Arial" w:eastAsia="Arial" w:hAnsi="Arial"/>
          <w:sz w:val="18"/>
          <w:szCs w:val="18"/>
          <w:u w:val="single" w:color="auto"/>
          <w:color w:val="0000EE"/>
        </w:rPr>
        <w:t xml:space="preserve"> </w:t>
      </w:r>
      <w:hyperlink w:anchor="page316">
        <w:r>
          <w:rPr>
            <w:rFonts w:ascii="Arial" w:cs="Arial" w:eastAsia="Arial" w:hAnsi="Arial"/>
            <w:sz w:val="18"/>
            <w:szCs w:val="18"/>
            <w:u w:val="single" w:color="auto"/>
            <w:color w:val="0000EE"/>
          </w:rPr>
          <w:t>Trust Company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1300" w:right="73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329">
        <w:r>
          <w:rPr>
            <w:rFonts w:ascii="Arial" w:cs="Arial" w:eastAsia="Arial" w:hAnsi="Arial"/>
            <w:sz w:val="18"/>
            <w:szCs w:val="18"/>
            <w:u w:val="single" w:color="auto"/>
            <w:color w:val="0000EE"/>
          </w:rPr>
          <w:t>Form of Registration Rights Agreement among the Registrant, CMLS Holdings LLC and</w:t>
        </w:r>
      </w:hyperlink>
      <w:r>
        <w:rPr>
          <w:rFonts w:ascii="Arial" w:cs="Arial" w:eastAsia="Arial" w:hAnsi="Arial"/>
          <w:sz w:val="18"/>
          <w:szCs w:val="18"/>
          <w:u w:val="single" w:color="auto"/>
          <w:color w:val="0000EE"/>
        </w:rPr>
        <w:t xml:space="preserve"> </w:t>
      </w:r>
      <w:hyperlink w:anchor="page329">
        <w:r>
          <w:rPr>
            <w:rFonts w:ascii="Arial" w:cs="Arial" w:eastAsia="Arial" w:hAnsi="Arial"/>
            <w:sz w:val="18"/>
            <w:szCs w:val="18"/>
            <w:u w:val="single" w:color="auto"/>
            <w:color w:val="0000EE"/>
          </w:rPr>
          <w:t>the Holders signatory thereto.</w:t>
        </w:r>
      </w:hyperlink>
    </w:p>
    <w:p>
      <w:pPr>
        <w:spacing w:after="0" w:line="21" w:lineRule="exact"/>
        <w:rPr>
          <w:sz w:val="20"/>
          <w:szCs w:val="20"/>
          <w:color w:val="auto"/>
        </w:rPr>
      </w:pPr>
    </w:p>
    <w:p>
      <w:pPr>
        <w:ind w:left="1300" w:right="579" w:hanging="640"/>
        <w:spacing w:after="0" w:line="246"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345">
        <w:r>
          <w:rPr>
            <w:rFonts w:ascii="Arial" w:cs="Arial" w:eastAsia="Arial" w:hAnsi="Arial"/>
            <w:sz w:val="18"/>
            <w:szCs w:val="18"/>
            <w:u w:val="single" w:color="auto"/>
            <w:color w:val="0000EE"/>
          </w:rPr>
          <w:t>Form of Private Placement Warrants Purchase Agreement between the Registrant, CMLS</w:t>
        </w:r>
      </w:hyperlink>
      <w:r>
        <w:rPr>
          <w:rFonts w:ascii="Arial" w:cs="Arial" w:eastAsia="Arial" w:hAnsi="Arial"/>
          <w:sz w:val="18"/>
          <w:szCs w:val="18"/>
          <w:u w:val="single" w:color="auto"/>
          <w:color w:val="0000EE"/>
        </w:rPr>
        <w:t xml:space="preserve"> </w:t>
      </w:r>
      <w:hyperlink w:anchor="page345">
        <w:r>
          <w:rPr>
            <w:rFonts w:ascii="Arial" w:cs="Arial" w:eastAsia="Arial" w:hAnsi="Arial"/>
            <w:sz w:val="18"/>
            <w:szCs w:val="18"/>
            <w:u w:val="single" w:color="auto"/>
            <w:color w:val="0000EE"/>
          </w:rPr>
          <w:t>Holdings LLC and the individuals named in Exhibit A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353">
        <w:r>
          <w:rPr>
            <w:rFonts w:ascii="Arial" w:cs="Arial" w:eastAsia="Arial" w:hAnsi="Arial"/>
            <w:sz w:val="18"/>
            <w:szCs w:val="18"/>
            <w:u w:val="single" w:color="auto"/>
            <w:color w:val="0000EE"/>
          </w:rPr>
          <w:t>Form of Indemnity Agreement.</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w:anchor="page370">
        <w:r>
          <w:rPr>
            <w:rFonts w:ascii="Arial" w:cs="Arial" w:eastAsia="Arial" w:hAnsi="Arial"/>
            <w:sz w:val="18"/>
            <w:szCs w:val="18"/>
            <w:u w:val="single" w:color="auto"/>
            <w:color w:val="0000EE"/>
          </w:rPr>
          <w:t>Promissory Note issued to CMLS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10.7</w:t>
      </w:r>
      <w:r>
        <w:rPr>
          <w:sz w:val="20"/>
          <w:szCs w:val="20"/>
          <w:color w:val="auto"/>
        </w:rPr>
        <w:tab/>
      </w:r>
      <w:hyperlink w:anchor="page374">
        <w:r>
          <w:rPr>
            <w:rFonts w:ascii="Arial" w:cs="Arial" w:eastAsia="Arial" w:hAnsi="Arial"/>
            <w:sz w:val="17"/>
            <w:szCs w:val="17"/>
            <w:u w:val="single" w:color="auto"/>
            <w:color w:val="0000EE"/>
          </w:rPr>
          <w:t>Securities Subscription Agreement between the Registrant and CMLS Holdings LLC.</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w:anchor="page383">
        <w:r>
          <w:rPr>
            <w:rFonts w:ascii="Arial" w:cs="Arial" w:eastAsia="Arial" w:hAnsi="Arial"/>
            <w:sz w:val="17"/>
            <w:szCs w:val="17"/>
            <w:u w:val="single" w:color="auto"/>
            <w:color w:val="0000EE"/>
          </w:rPr>
          <w:t>Form of Forward Purchase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hanging="561"/>
        <w:spacing w:after="0"/>
        <w:tabs>
          <w:tab w:leader="none" w:pos="1300" w:val="left"/>
        </w:tabs>
        <w:numPr>
          <w:ilvl w:val="0"/>
          <w:numId w:val="97"/>
        </w:numPr>
        <w:rPr>
          <w:rFonts w:ascii="Arial" w:cs="Arial" w:eastAsia="Arial" w:hAnsi="Arial"/>
          <w:sz w:val="18"/>
          <w:szCs w:val="18"/>
          <w:u w:val="single" w:color="auto"/>
          <w:color w:val="0000EE"/>
        </w:rPr>
      </w:pPr>
      <w:hyperlink w:anchor="page402">
        <w:r>
          <w:rPr>
            <w:rFonts w:ascii="Arial" w:cs="Arial" w:eastAsia="Arial" w:hAnsi="Arial"/>
            <w:sz w:val="18"/>
            <w:szCs w:val="18"/>
            <w:u w:val="single" w:color="auto"/>
            <w:color w:val="0000EE"/>
          </w:rPr>
          <w:t>Form of Code of Ethics.</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23.1</w:t>
      </w:r>
      <w:r>
        <w:rPr>
          <w:sz w:val="20"/>
          <w:szCs w:val="20"/>
          <w:color w:val="auto"/>
        </w:rPr>
        <w:tab/>
      </w:r>
      <w:hyperlink w:anchor="page407">
        <w:r>
          <w:rPr>
            <w:rFonts w:ascii="Arial" w:cs="Arial" w:eastAsia="Arial" w:hAnsi="Arial"/>
            <w:sz w:val="17"/>
            <w:szCs w:val="17"/>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w:anchor="page306">
        <w:r>
          <w:rPr>
            <w:rFonts w:ascii="Arial" w:cs="Arial" w:eastAsia="Arial" w:hAnsi="Arial"/>
            <w:sz w:val="17"/>
            <w:szCs w:val="17"/>
            <w:u w:val="single" w:color="auto"/>
            <w:color w:val="0000EE"/>
          </w:rPr>
          <w:t>Consent of White &amp; Case LLP (included on Exhibit 5.1)</w:t>
        </w:r>
        <w:r>
          <w:rPr>
            <w:rFonts w:ascii="Arial" w:cs="Arial" w:eastAsia="Arial" w:hAnsi="Arial"/>
            <w:sz w:val="17"/>
            <w:szCs w:val="17"/>
            <w:color w:val="0000EE"/>
          </w:rPr>
          <w:t>.</w:t>
        </w:r>
      </w:hyperlink>
    </w:p>
    <w:p>
      <w:pPr>
        <w:spacing w:after="0" w:line="77" w:lineRule="exact"/>
        <w:rPr>
          <w:sz w:val="20"/>
          <w:szCs w:val="20"/>
          <w:color w:val="auto"/>
        </w:rPr>
      </w:pPr>
    </w:p>
    <w:p>
      <w:pPr>
        <w:ind w:left="660" w:right="3959" w:firstLine="79"/>
        <w:spacing w:after="0" w:line="340" w:lineRule="auto"/>
        <w:tabs>
          <w:tab w:leader="none" w:pos="1301" w:val="left"/>
        </w:tabs>
        <w:numPr>
          <w:ilvl w:val="0"/>
          <w:numId w:val="98"/>
        </w:numPr>
        <w:rPr>
          <w:rFonts w:ascii="Arial" w:cs="Arial" w:eastAsia="Arial" w:hAnsi="Arial"/>
          <w:sz w:val="18"/>
          <w:szCs w:val="18"/>
          <w:color w:val="000000"/>
        </w:rPr>
      </w:pPr>
      <w:hyperlink w:anchor="page179">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xml:space="preserve">99.1 </w:t>
      </w:r>
      <w:hyperlink w:anchor="page408">
        <w:r>
          <w:rPr>
            <w:rFonts w:ascii="Arial" w:cs="Arial" w:eastAsia="Arial" w:hAnsi="Arial"/>
            <w:sz w:val="18"/>
            <w:szCs w:val="18"/>
            <w:u w:val="single" w:color="auto"/>
            <w:color w:val="0000EE"/>
          </w:rPr>
          <w:t>Form of Audit Committee Charter.</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-371475</wp:posOffset>
            </wp:positionV>
            <wp:extent cx="514350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3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7" w:name="page178"/>
    <w:bookmarkEnd w:id="177"/>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99.2</w:t>
      </w:r>
      <w:r>
        <w:rPr>
          <w:sz w:val="20"/>
          <w:szCs w:val="20"/>
          <w:color w:val="auto"/>
        </w:rPr>
        <w:tab/>
      </w:r>
      <w:hyperlink w:anchor="page415">
        <w:r>
          <w:rPr>
            <w:rFonts w:ascii="Arial" w:cs="Arial" w:eastAsia="Arial" w:hAnsi="Arial"/>
            <w:sz w:val="17"/>
            <w:szCs w:val="17"/>
            <w:u w:val="single" w:color="auto"/>
            <w:color w:val="0000EE"/>
          </w:rPr>
          <w:t>Form of Compensation Committee Charter.</w:t>
        </w:r>
      </w:hyperlink>
    </w:p>
    <w:p>
      <w:pPr>
        <w:spacing w:after="0" w:line="63"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99.3</w:t>
      </w:r>
      <w:r>
        <w:rPr>
          <w:sz w:val="20"/>
          <w:szCs w:val="20"/>
          <w:color w:val="auto"/>
        </w:rPr>
        <w:tab/>
      </w:r>
      <w:hyperlink w:anchor="page419">
        <w:r>
          <w:rPr>
            <w:rFonts w:ascii="Arial" w:cs="Arial" w:eastAsia="Arial" w:hAnsi="Arial"/>
            <w:sz w:val="17"/>
            <w:szCs w:val="17"/>
            <w:u w:val="single" w:color="auto"/>
            <w:color w:val="0000EE"/>
          </w:rPr>
          <w:t>Form of Nominating &amp; Corporate Governance Committee Charter.</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99.4</w:t>
      </w:r>
      <w:r>
        <w:rPr>
          <w:sz w:val="20"/>
          <w:szCs w:val="20"/>
          <w:color w:val="auto"/>
        </w:rPr>
        <w:tab/>
      </w:r>
      <w:hyperlink r:id="rId248">
        <w:r>
          <w:rPr>
            <w:rFonts w:ascii="Arial" w:cs="Arial" w:eastAsia="Arial" w:hAnsi="Arial"/>
            <w:sz w:val="18"/>
            <w:szCs w:val="18"/>
            <w:u w:val="single" w:color="auto"/>
            <w:color w:val="0000EE"/>
          </w:rPr>
          <w:t>Consent of Munib Islam.*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99.5</w:t>
      </w:r>
      <w:r>
        <w:rPr>
          <w:sz w:val="20"/>
          <w:szCs w:val="20"/>
          <w:color w:val="auto"/>
        </w:rPr>
        <w:tab/>
      </w:r>
      <w:hyperlink w:anchor="page423">
        <w:r>
          <w:rPr>
            <w:rFonts w:ascii="Arial" w:cs="Arial" w:eastAsia="Arial" w:hAnsi="Arial"/>
            <w:sz w:val="17"/>
            <w:szCs w:val="17"/>
            <w:u w:val="single" w:color="auto"/>
            <w:color w:val="0000EE"/>
          </w:rPr>
          <w:t>Consent of Sean George.</w:t>
        </w:r>
      </w:hyperlink>
    </w:p>
    <w:p>
      <w:pPr>
        <w:spacing w:after="0" w:line="7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99.6</w:t>
      </w:r>
      <w:r>
        <w:rPr>
          <w:sz w:val="20"/>
          <w:szCs w:val="20"/>
          <w:color w:val="auto"/>
        </w:rPr>
        <w:tab/>
      </w:r>
      <w:hyperlink w:anchor="page424">
        <w:r>
          <w:rPr>
            <w:rFonts w:ascii="Arial" w:cs="Arial" w:eastAsia="Arial" w:hAnsi="Arial"/>
            <w:sz w:val="17"/>
            <w:szCs w:val="17"/>
            <w:u w:val="single" w:color="auto"/>
            <w:color w:val="0000EE"/>
          </w:rPr>
          <w:t>Consent of Emily Leproust.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99.7</w:t>
      </w:r>
      <w:r>
        <w:rPr>
          <w:sz w:val="20"/>
          <w:szCs w:val="20"/>
          <w:color w:val="auto"/>
        </w:rPr>
        <w:tab/>
      </w:r>
      <w:hyperlink w:anchor="page425">
        <w:r>
          <w:rPr>
            <w:rFonts w:ascii="Arial" w:cs="Arial" w:eastAsia="Arial" w:hAnsi="Arial"/>
            <w:sz w:val="17"/>
            <w:szCs w:val="17"/>
            <w:u w:val="single" w:color="auto"/>
            <w:color w:val="0000EE"/>
          </w:rPr>
          <w:t>Consent of Nat Turner.</w:t>
        </w:r>
      </w:hyperlink>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60" w:hanging="406"/>
        <w:spacing w:after="0"/>
        <w:tabs>
          <w:tab w:leader="none" w:pos="860" w:val="left"/>
        </w:tabs>
        <w:numPr>
          <w:ilvl w:val="0"/>
          <w:numId w:val="99"/>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21" w:lineRule="exact"/>
        <w:rPr>
          <w:rFonts w:ascii="Arial" w:cs="Arial" w:eastAsia="Arial" w:hAnsi="Arial"/>
          <w:sz w:val="13"/>
          <w:szCs w:val="13"/>
          <w:color w:val="auto"/>
        </w:rPr>
      </w:pPr>
    </w:p>
    <w:p>
      <w:pPr>
        <w:ind w:left="1100" w:right="559" w:hanging="322"/>
        <w:spacing w:after="0" w:line="267" w:lineRule="auto"/>
        <w:tabs>
          <w:tab w:leader="none" w:pos="1096"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45" w:lineRule="exact"/>
        <w:rPr>
          <w:sz w:val="20"/>
          <w:szCs w:val="20"/>
          <w:color w:val="auto"/>
        </w:rPr>
      </w:pPr>
    </w:p>
    <w:p>
      <w:pPr>
        <w:ind w:left="1100" w:right="499" w:hanging="322"/>
        <w:spacing w:after="0"/>
        <w:tabs>
          <w:tab w:leader="none" w:pos="10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jc w:val="both"/>
        <w:ind w:left="460" w:right="899"/>
        <w:spacing w:after="0" w:line="255"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NY, on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August, 2020.</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CM LIFE SCIENCES, INC.</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23495</wp:posOffset>
            </wp:positionV>
            <wp:extent cx="22974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Brian Emes</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 and Secretary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6"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0" w:type="dxa"/>
            <w:vAlign w:val="bottom"/>
            <w:gridSpan w:val="2"/>
          </w:tcPr>
          <w:p>
            <w:pPr>
              <w:ind w:left="1680"/>
              <w:spacing w:after="0"/>
              <w:rPr>
                <w:sz w:val="20"/>
                <w:szCs w:val="20"/>
                <w:color w:val="auto"/>
              </w:rPr>
            </w:pPr>
            <w:r>
              <w:rPr>
                <w:rFonts w:ascii="Arial" w:cs="Arial" w:eastAsia="Arial" w:hAnsi="Arial"/>
                <w:sz w:val="14"/>
                <w:szCs w:val="14"/>
                <w:b w:val="1"/>
                <w:bCs w:val="1"/>
                <w:color w:val="auto"/>
              </w:rPr>
              <w:t>Position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6"/>
        </w:trPr>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 Director</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24, 2020</w:t>
            </w:r>
          </w:p>
        </w:tc>
      </w:tr>
      <w:tr>
        <w:trPr>
          <w:trHeight w:val="27"/>
        </w:trPr>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460" w:type="dxa"/>
            <w:vAlign w:val="bottom"/>
            <w:gridSpan w:val="2"/>
          </w:tcPr>
          <w:p>
            <w:pPr>
              <w:spacing w:after="0"/>
              <w:rPr>
                <w:sz w:val="20"/>
                <w:szCs w:val="20"/>
                <w:color w:val="auto"/>
              </w:rPr>
            </w:pPr>
            <w:r>
              <w:rPr>
                <w:rFonts w:ascii="Arial" w:cs="Arial" w:eastAsia="Arial" w:hAnsi="Arial"/>
                <w:sz w:val="18"/>
                <w:szCs w:val="18"/>
                <w:color w:val="auto"/>
              </w:rPr>
              <w:t>Eli Casdin</w:t>
            </w:r>
          </w:p>
        </w:tc>
        <w:tc>
          <w:tcPr>
            <w:tcW w:w="60" w:type="dxa"/>
            <w:vAlign w:val="bottom"/>
          </w:tcPr>
          <w:p>
            <w:pPr>
              <w:spacing w:after="0"/>
              <w:rPr>
                <w:sz w:val="20"/>
                <w:szCs w:val="20"/>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20"/>
                <w:szCs w:val="20"/>
                <w:color w:val="auto"/>
              </w:rPr>
            </w:pPr>
          </w:p>
        </w:tc>
      </w:tr>
      <w:tr>
        <w:trPr>
          <w:trHeight w:val="392"/>
        </w:trPr>
        <w:tc>
          <w:tcPr>
            <w:tcW w:w="2460" w:type="dxa"/>
            <w:vAlign w:val="bottom"/>
            <w:gridSpan w:val="2"/>
          </w:tcPr>
          <w:p>
            <w:pPr>
              <w:spacing w:after="0"/>
              <w:rPr>
                <w:sz w:val="20"/>
                <w:szCs w:val="20"/>
                <w:color w:val="auto"/>
              </w:rPr>
            </w:pPr>
            <w:r>
              <w:rPr>
                <w:rFonts w:ascii="Arial" w:cs="Arial" w:eastAsia="Arial" w:hAnsi="Arial"/>
                <w:sz w:val="18"/>
                <w:szCs w:val="18"/>
                <w:color w:val="auto"/>
              </w:rPr>
              <w:t>/s/ Brian Emes</w:t>
            </w:r>
          </w:p>
        </w:tc>
        <w:tc>
          <w:tcPr>
            <w:tcW w:w="60" w:type="dxa"/>
            <w:vAlign w:val="bottom"/>
          </w:tcPr>
          <w:p>
            <w:pPr>
              <w:spacing w:after="0"/>
              <w:rPr>
                <w:sz w:val="24"/>
                <w:szCs w:val="24"/>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Chief Financial Officer and Secretary</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24, 2020</w:t>
            </w:r>
          </w:p>
        </w:tc>
      </w:tr>
      <w:tr>
        <w:trPr>
          <w:trHeight w:val="27"/>
        </w:trPr>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46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60" w:type="dxa"/>
            <w:vAlign w:val="bottom"/>
          </w:tcPr>
          <w:p>
            <w:pPr>
              <w:spacing w:after="0"/>
              <w:rPr>
                <w:sz w:val="20"/>
                <w:szCs w:val="20"/>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tcPr>
          <w:p>
            <w:pPr>
              <w:spacing w:after="0"/>
              <w:rPr>
                <w:sz w:val="20"/>
                <w:szCs w:val="20"/>
                <w:color w:val="auto"/>
              </w:rPr>
            </w:pPr>
          </w:p>
        </w:tc>
      </w:tr>
      <w:tr>
        <w:trPr>
          <w:trHeight w:val="392"/>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Chairman of the Board</w:t>
            </w:r>
          </w:p>
        </w:tc>
        <w:tc>
          <w:tcPr>
            <w:tcW w:w="1560" w:type="dxa"/>
            <w:vAlign w:val="bottom"/>
          </w:tcPr>
          <w:p>
            <w:pPr>
              <w:jc w:val="center"/>
              <w:spacing w:after="0"/>
              <w:rPr>
                <w:sz w:val="20"/>
                <w:szCs w:val="20"/>
                <w:color w:val="auto"/>
              </w:rPr>
            </w:pPr>
            <w:r>
              <w:rPr>
                <w:rFonts w:ascii="Arial" w:cs="Arial" w:eastAsia="Arial" w:hAnsi="Arial"/>
                <w:sz w:val="18"/>
                <w:szCs w:val="18"/>
                <w:color w:val="auto"/>
              </w:rPr>
              <w:t>August 24, 2020</w:t>
            </w:r>
          </w:p>
        </w:tc>
      </w:tr>
      <w:tr>
        <w:trPr>
          <w:trHeight w:val="27"/>
        </w:trPr>
        <w:tc>
          <w:tcPr>
            <w:tcW w:w="4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2460" w:type="dxa"/>
            <w:vAlign w:val="bottom"/>
            <w:gridSpan w:val="2"/>
          </w:tcPr>
          <w:p>
            <w:pPr>
              <w:spacing w:after="0"/>
              <w:rPr>
                <w:sz w:val="20"/>
                <w:szCs w:val="20"/>
                <w:color w:val="auto"/>
              </w:rPr>
            </w:pPr>
            <w:r>
              <w:rPr>
                <w:rFonts w:ascii="Arial" w:cs="Arial" w:eastAsia="Arial" w:hAnsi="Arial"/>
                <w:sz w:val="18"/>
                <w:szCs w:val="18"/>
                <w:color w:val="auto"/>
              </w:rPr>
              <w:t>Keith Meister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9"/>
        </w:trPr>
        <w:tc>
          <w:tcPr>
            <w:tcW w:w="2460" w:type="dxa"/>
            <w:vAlign w:val="bottom"/>
            <w:gridSpan w:val="2"/>
          </w:tcPr>
          <w:p>
            <w:pPr>
              <w:spacing w:after="0"/>
              <w:rPr>
                <w:sz w:val="20"/>
                <w:szCs w:val="20"/>
                <w:color w:val="auto"/>
              </w:rPr>
            </w:pPr>
            <w:r>
              <w:rPr>
                <w:rFonts w:ascii="Arial" w:cs="Arial" w:eastAsia="Arial" w:hAnsi="Arial"/>
                <w:sz w:val="18"/>
                <w:szCs w:val="18"/>
                <w:color w:val="auto"/>
              </w:rPr>
              <w:t>*By:  /s/ Brian Emes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4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5"/>
        </w:trPr>
        <w:tc>
          <w:tcPr>
            <w:tcW w:w="460" w:type="dxa"/>
            <w:vAlign w:val="bottom"/>
          </w:tcPr>
          <w:p>
            <w:pPr>
              <w:spacing w:after="0"/>
              <w:rPr>
                <w:sz w:val="16"/>
                <w:szCs w:val="16"/>
                <w:color w:val="auto"/>
              </w:rPr>
            </w:pPr>
          </w:p>
        </w:tc>
        <w:tc>
          <w:tcPr>
            <w:tcW w:w="2000" w:type="dxa"/>
            <w:vAlign w:val="bottom"/>
          </w:tcPr>
          <w:p>
            <w:pPr>
              <w:spacing w:after="0" w:line="195" w:lineRule="exact"/>
              <w:rPr>
                <w:sz w:val="20"/>
                <w:szCs w:val="20"/>
                <w:color w:val="auto"/>
              </w:rPr>
            </w:pPr>
            <w:r>
              <w:rPr>
                <w:rFonts w:ascii="Arial" w:cs="Arial" w:eastAsia="Arial" w:hAnsi="Arial"/>
                <w:sz w:val="18"/>
                <w:szCs w:val="18"/>
                <w:color w:val="auto"/>
              </w:rPr>
              <w:t>Brian Emes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7"/>
        </w:trPr>
        <w:tc>
          <w:tcPr>
            <w:tcW w:w="4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Attorney-in-Fact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8"/>
        </w:trPr>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II-7</w:t>
            </w: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Introductory. </w:t>
      </w:r>
      <w:r>
        <w:rPr>
          <w:rFonts w:ascii="Arial" w:cs="Arial" w:eastAsia="Arial" w:hAnsi="Arial"/>
          <w:sz w:val="18"/>
          <w:szCs w:val="18"/>
          <w:color w:val="auto"/>
        </w:rPr>
        <w:t>CM Life 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upon the terms and subject to the conditions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to issue and sell to the several underwriters named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Underwriters</w:t>
      </w:r>
      <w:r>
        <w:rPr>
          <w:rFonts w:ascii="Arial" w:cs="Arial" w:eastAsia="Arial" w:hAnsi="Arial"/>
          <w:sz w:val="18"/>
          <w:szCs w:val="18"/>
          <w:color w:val="auto"/>
        </w:rPr>
        <w:t>”) an aggregate of 35,000,000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The 35,000,000 Units to be sold by the Company are called the “</w:t>
      </w:r>
      <w:r>
        <w:rPr>
          <w:rFonts w:ascii="Arial" w:cs="Arial" w:eastAsia="Arial" w:hAnsi="Arial"/>
          <w:sz w:val="18"/>
          <w:szCs w:val="18"/>
          <w:b w:val="1"/>
          <w:bCs w:val="1"/>
          <w:color w:val="auto"/>
        </w:rPr>
        <w:t>Firm Securities</w:t>
      </w:r>
      <w:r>
        <w:rPr>
          <w:rFonts w:ascii="Arial" w:cs="Arial" w:eastAsia="Arial" w:hAnsi="Arial"/>
          <w:sz w:val="18"/>
          <w:szCs w:val="18"/>
          <w:color w:val="auto"/>
        </w:rPr>
        <w:t>.” In addition, the Company has granted to the Underwriters an option to purchase up to an additional 5,250,000 Units as provided in Section 2. The additional 5,250,000 Units to be sold by the Company pursuant to such option are collectively called the “</w:t>
      </w:r>
      <w:r>
        <w:rPr>
          <w:rFonts w:ascii="Arial" w:cs="Arial" w:eastAsia="Arial" w:hAnsi="Arial"/>
          <w:sz w:val="18"/>
          <w:szCs w:val="18"/>
          <w:b w:val="1"/>
          <w:bCs w:val="1"/>
          <w:color w:val="auto"/>
        </w:rPr>
        <w:t>Optional Securities</w:t>
      </w:r>
      <w:r>
        <w:rPr>
          <w:rFonts w:ascii="Arial" w:cs="Arial" w:eastAsia="Arial" w:hAnsi="Arial"/>
          <w:sz w:val="18"/>
          <w:szCs w:val="18"/>
          <w:color w:val="auto"/>
        </w:rPr>
        <w:t>.” The Firm Securities and, if and to the extent such option is exercised, the Optional Securities are collectively called the “</w:t>
      </w:r>
      <w:r>
        <w:rPr>
          <w:rFonts w:ascii="Arial" w:cs="Arial" w:eastAsia="Arial" w:hAnsi="Arial"/>
          <w:sz w:val="18"/>
          <w:szCs w:val="18"/>
          <w:b w:val="1"/>
          <w:bCs w:val="1"/>
          <w:color w:val="auto"/>
        </w:rPr>
        <w:t>Offered Securities</w:t>
      </w:r>
      <w:r>
        <w:rPr>
          <w:rFonts w:ascii="Arial" w:cs="Arial" w:eastAsia="Arial" w:hAnsi="Arial"/>
          <w:sz w:val="18"/>
          <w:szCs w:val="18"/>
          <w:color w:val="auto"/>
        </w:rPr>
        <w:t>.” Jefferies LLC has agreed to act as a Representative of the several Underwriters (together in such capacity, the “</w:t>
      </w:r>
      <w:r>
        <w:rPr>
          <w:rFonts w:ascii="Arial" w:cs="Arial" w:eastAsia="Arial" w:hAnsi="Arial"/>
          <w:sz w:val="18"/>
          <w:szCs w:val="18"/>
          <w:b w:val="1"/>
          <w:bCs w:val="1"/>
          <w:color w:val="auto"/>
        </w:rPr>
        <w:t>Representative</w:t>
      </w:r>
      <w:r>
        <w:rPr>
          <w:rFonts w:ascii="Arial" w:cs="Arial" w:eastAsia="Arial" w:hAnsi="Arial"/>
          <w:sz w:val="18"/>
          <w:szCs w:val="18"/>
          <w:color w:val="auto"/>
        </w:rPr>
        <w:t>”) in connection with the offering of the Offered Securities for sale to the public as contemplated in the Prospectus (as defined below)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To the extent there are no additional underwriters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the term “Representative” as used herein shall mean you, as Underwriter, and the term “Underwriters” shall mean either the singular or the plural, as the context requires.</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Unit consists of one share of the Company’s Class A common stock, par value $0.0001 per share ( “</w:t>
      </w:r>
      <w:r>
        <w:rPr>
          <w:rFonts w:ascii="Arial" w:cs="Arial" w:eastAsia="Arial" w:hAnsi="Arial"/>
          <w:sz w:val="17"/>
          <w:szCs w:val="17"/>
          <w:b w:val="1"/>
          <w:bCs w:val="1"/>
          <w:color w:val="auto"/>
        </w:rPr>
        <w:t>Class A Common Stock</w:t>
      </w:r>
      <w:r>
        <w:rPr>
          <w:rFonts w:ascii="Arial" w:cs="Arial" w:eastAsia="Arial" w:hAnsi="Arial"/>
          <w:sz w:val="17"/>
          <w:szCs w:val="17"/>
          <w:color w:val="auto"/>
        </w:rPr>
        <w:t>”), and one-third of one redeemable warrant, each whole warrant entitling the holder to purchase one share of Class A Common Stock (the “</w:t>
      </w:r>
      <w:r>
        <w:rPr>
          <w:rFonts w:ascii="Arial" w:cs="Arial" w:eastAsia="Arial" w:hAnsi="Arial"/>
          <w:sz w:val="17"/>
          <w:szCs w:val="17"/>
          <w:b w:val="1"/>
          <w:bCs w:val="1"/>
          <w:color w:val="auto"/>
        </w:rPr>
        <w:t>Public Warrant(s</w:t>
      </w:r>
      <w:r>
        <w:rPr>
          <w:rFonts w:ascii="Arial" w:cs="Arial" w:eastAsia="Arial" w:hAnsi="Arial"/>
          <w:sz w:val="17"/>
          <w:szCs w:val="17"/>
          <w:color w:val="auto"/>
        </w:rPr>
        <w:t>)”). The shares of Class A Common Stock and the Public Warrants included in the Units will not trade separately until the 52nd day following the date of the Prospectus (unless the Representative informs the Company of its decision to allow earlier separate trading), subject to (a) the Company’s preparation of an audited balance sheet reflecting the receipt by the Company of the proceeds of the Offering, (b) the filing of such audited balance sheet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a Form 8-K or similar form by the Company that includes such audited balance sheet (the “</w:t>
      </w:r>
      <w:r>
        <w:rPr>
          <w:rFonts w:ascii="Arial" w:cs="Arial" w:eastAsia="Arial" w:hAnsi="Arial"/>
          <w:sz w:val="17"/>
          <w:szCs w:val="17"/>
          <w:b w:val="1"/>
          <w:bCs w:val="1"/>
          <w:color w:val="auto"/>
        </w:rPr>
        <w:t>Closing Form 8-K</w:t>
      </w:r>
      <w:r>
        <w:rPr>
          <w:rFonts w:ascii="Arial" w:cs="Arial" w:eastAsia="Arial" w:hAnsi="Arial"/>
          <w:sz w:val="17"/>
          <w:szCs w:val="17"/>
          <w:color w:val="auto"/>
        </w:rPr>
        <w:t xml:space="preserve">”), and (c) the Company having issued a press release announcing when such separate trading will begin. Each whole Public Warrant entitles its holder, upon exercise, to purchase one share of Common Stock for $11.50 per share during the period commencing on the later of 30 days after the completion of an initial Business Combination (as defined below) and 12 months from the date of the closing of the Offering and terminating on the five-year anniversary of the date of the completion of such initial Business Combination or earlier upon redemption or liquidation of the Company;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pursuant to the Warrant Agreement (as defined below), a fractional warrant may not be exercised, so that only a whole warrant may</w:t>
      </w:r>
      <w:r>
        <w:rPr>
          <w:rFonts w:ascii="Arial" w:cs="Arial" w:eastAsia="Arial" w:hAnsi="Arial"/>
          <w:sz w:val="17"/>
          <w:szCs w:val="17"/>
          <w:i w:val="1"/>
          <w:iCs w:val="1"/>
          <w:color w:val="auto"/>
        </w:rPr>
        <w:t xml:space="preserve"> </w:t>
      </w:r>
      <w:r>
        <w:rPr>
          <w:rFonts w:ascii="Arial" w:cs="Arial" w:eastAsia="Arial" w:hAnsi="Arial"/>
          <w:sz w:val="17"/>
          <w:szCs w:val="17"/>
          <w:color w:val="auto"/>
        </w:rPr>
        <w:t>be exercised at any given time by a holder thereof.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(as described more fully in the Registration Statement (as defined below)) shall mean a merger, capital stock exchange, asset acquisition, stock purchase, reorganization or similar business combination with one or more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both"/>
        <w:ind w:firstLine="648"/>
        <w:spacing w:after="0" w:line="284" w:lineRule="auto"/>
        <w:rPr>
          <w:sz w:val="20"/>
          <w:szCs w:val="20"/>
          <w:color w:val="auto"/>
        </w:rPr>
      </w:pPr>
      <w:r>
        <w:rPr>
          <w:rFonts w:ascii="Arial" w:cs="Arial" w:eastAsia="Arial" w:hAnsi="Arial"/>
          <w:sz w:val="16"/>
          <w:szCs w:val="16"/>
          <w:color w:val="auto"/>
        </w:rPr>
        <w:t>The Company has prepared and filed with the Commission a registration statement on Form S-1, File No. 333-246251 which contains a form of prospectus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Securities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Securities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August [●], 2020 describing the Offered Securities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Securities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 (New York City time) on August [●], 2020. As used herein,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at which such registration statement, or the most recent post-effective amendment thereto, was declared effective by the Commission in accordance with the rules and regulations under the Securities Act.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together with the Time of Delivery Information, if any,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 defined in Rule 433 under the Securities Act) relating to the Offering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w:t>
      </w:r>
      <w:r>
        <w:rPr>
          <w:rFonts w:ascii="Arial" w:cs="Arial" w:eastAsia="Arial" w:hAnsi="Arial"/>
          <w:sz w:val="16"/>
          <w:szCs w:val="16"/>
          <w:b w:val="1"/>
          <w:bCs w:val="1"/>
          <w:color w:val="auto"/>
        </w:rPr>
        <w:t>Section 5(d) Oral</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each oral communication, if any, made in reliance on Section 5(d) of the Securities Act by the Company or any person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to act on behalf of the Company made to one or more QIBs and/or one or more IAIs to determine whether such investors might have an interest in the Offering;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including any Road 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xml:space="preserve">” means the Section 5(d) Written Communication(s) and Marketing Materials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w:t>
      </w:r>
    </w:p>
    <w:p>
      <w:pPr>
        <w:spacing w:after="0" w:line="3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The Company has entered into a Securities Subscription Agreement, dated as of July 16, 2020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with CMLS Holdings LLC, a Delaware limited liability company (the “</w:t>
      </w:r>
      <w:r>
        <w:rPr>
          <w:rFonts w:ascii="Arial" w:cs="Arial" w:eastAsia="Arial" w:hAnsi="Arial"/>
          <w:sz w:val="17"/>
          <w:szCs w:val="17"/>
          <w:b w:val="1"/>
          <w:bCs w:val="1"/>
          <w:color w:val="auto"/>
        </w:rPr>
        <w:t>Sponsor</w:t>
      </w:r>
      <w:r>
        <w:rPr>
          <w:rFonts w:ascii="Arial" w:cs="Arial" w:eastAsia="Arial" w:hAnsi="Arial"/>
          <w:sz w:val="17"/>
          <w:szCs w:val="17"/>
          <w:color w:val="auto"/>
        </w:rPr>
        <w:t>”), in substantially the form filed as Exhibit 10.7 to the Registration Statement, pursuant to which the Sponsor purchased an aggregate of 10,062,500 shares of Class B common stock for an aggregate purchase price of $25,000, or approximately $0.002 per share. [On August [●], 2020, the Company effected a stock conversion resulting in an aggregate of [●] shares of Class B common stock outstanding as of the date hereof (including the Class A Common Stock issuable upon conversion thereof, the “</w:t>
      </w:r>
      <w:r>
        <w:rPr>
          <w:rFonts w:ascii="Arial" w:cs="Arial" w:eastAsia="Arial" w:hAnsi="Arial"/>
          <w:sz w:val="17"/>
          <w:szCs w:val="17"/>
          <w:b w:val="1"/>
          <w:bCs w:val="1"/>
          <w:color w:val="auto"/>
        </w:rPr>
        <w:t>Founder Shares</w:t>
      </w:r>
      <w:r>
        <w:rPr>
          <w:rFonts w:ascii="Arial" w:cs="Arial" w:eastAsia="Arial" w:hAnsi="Arial"/>
          <w:sz w:val="17"/>
          <w:szCs w:val="17"/>
          <w:color w:val="auto"/>
        </w:rPr>
        <w:t>”).] The Founder Shares are substantially similar to the shares of Class A Common Stock included in the Units except as described in the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56" w:lineRule="auto"/>
        <w:rPr>
          <w:sz w:val="20"/>
          <w:szCs w:val="20"/>
          <w:color w:val="auto"/>
        </w:rPr>
      </w:pPr>
      <w:r>
        <w:rPr>
          <w:rFonts w:ascii="Arial" w:cs="Arial" w:eastAsia="Arial" w:hAnsi="Arial"/>
          <w:sz w:val="18"/>
          <w:szCs w:val="18"/>
          <w:color w:val="auto"/>
        </w:rPr>
        <w:t>The Company has entered into separate forward purchase agreements, each dated as of [●], 2020 (the “</w:t>
      </w:r>
      <w:r>
        <w:rPr>
          <w:rFonts w:ascii="Arial" w:cs="Arial" w:eastAsia="Arial" w:hAnsi="Arial"/>
          <w:sz w:val="18"/>
          <w:szCs w:val="18"/>
          <w:b w:val="1"/>
          <w:bCs w:val="1"/>
          <w:color w:val="auto"/>
        </w:rPr>
        <w:t>Forward Purchase Agreements</w:t>
      </w:r>
      <w:r>
        <w:rPr>
          <w:rFonts w:ascii="Arial" w:cs="Arial" w:eastAsia="Arial" w:hAnsi="Arial"/>
          <w:sz w:val="18"/>
          <w:szCs w:val="18"/>
          <w:color w:val="auto"/>
        </w:rPr>
        <w:t>”), with affiliates of the Sponsor, Casdin Capital, LLC (“</w:t>
      </w:r>
      <w:r>
        <w:rPr>
          <w:rFonts w:ascii="Arial" w:cs="Arial" w:eastAsia="Arial" w:hAnsi="Arial"/>
          <w:sz w:val="18"/>
          <w:szCs w:val="18"/>
          <w:b w:val="1"/>
          <w:bCs w:val="1"/>
          <w:color w:val="auto"/>
        </w:rPr>
        <w:t>Casdin Capital</w:t>
      </w:r>
      <w:r>
        <w:rPr>
          <w:rFonts w:ascii="Arial" w:cs="Arial" w:eastAsia="Arial" w:hAnsi="Arial"/>
          <w:sz w:val="18"/>
          <w:szCs w:val="18"/>
          <w:color w:val="auto"/>
        </w:rPr>
        <w:t>”) and Corvex Management LP (“</w:t>
      </w:r>
      <w:r>
        <w:rPr>
          <w:rFonts w:ascii="Arial" w:cs="Arial" w:eastAsia="Arial" w:hAnsi="Arial"/>
          <w:sz w:val="18"/>
          <w:szCs w:val="18"/>
          <w:b w:val="1"/>
          <w:bCs w:val="1"/>
          <w:color w:val="auto"/>
        </w:rPr>
        <w:t>Corvex Management</w:t>
      </w:r>
      <w:r>
        <w:rPr>
          <w:rFonts w:ascii="Arial" w:cs="Arial" w:eastAsia="Arial" w:hAnsi="Arial"/>
          <w:sz w:val="18"/>
          <w:szCs w:val="18"/>
          <w:color w:val="auto"/>
        </w:rPr>
        <w:t>”), in substantially the form filed as Exhibit 10.8 to the Registration Statement, pursuant to which Casdin Capital and Corvex Management will, subject to the terms thereof, cause certain of their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the initial business combination.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First Closing Date (as defined below), the Sponsor and Munib Islam (“</w:t>
      </w:r>
      <w:r>
        <w:rPr>
          <w:rFonts w:ascii="Arial" w:cs="Arial" w:eastAsia="Arial" w:hAnsi="Arial"/>
          <w:sz w:val="18"/>
          <w:szCs w:val="18"/>
          <w:b w:val="1"/>
          <w:bCs w:val="1"/>
          <w:color w:val="auto"/>
        </w:rPr>
        <w:t>Islam</w:t>
      </w:r>
      <w:r>
        <w:rPr>
          <w:rFonts w:ascii="Arial" w:cs="Arial" w:eastAsia="Arial" w:hAnsi="Arial"/>
          <w:sz w:val="18"/>
          <w:szCs w:val="18"/>
          <w:color w:val="auto"/>
        </w:rPr>
        <w:t>”) and Emily Leproust (“</w:t>
      </w:r>
      <w:r>
        <w:rPr>
          <w:rFonts w:ascii="Arial" w:cs="Arial" w:eastAsia="Arial" w:hAnsi="Arial"/>
          <w:sz w:val="18"/>
          <w:szCs w:val="18"/>
          <w:b w:val="1"/>
          <w:bCs w:val="1"/>
          <w:color w:val="auto"/>
        </w:rPr>
        <w:t>Leproust</w:t>
      </w:r>
      <w:r>
        <w:rPr>
          <w:rFonts w:ascii="Arial" w:cs="Arial" w:eastAsia="Arial" w:hAnsi="Arial"/>
          <w:sz w:val="18"/>
          <w:szCs w:val="18"/>
          <w:color w:val="auto"/>
        </w:rPr>
        <w:t>”), two of the Company’s independent director nominees, will subscribe to purchase an aggregate of 6,000,000 warrants (or up to 6,700,000 warrants if the option to purchase additional Units as provided in Section 2 is exercised in full)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each whole Private Placement Warrant entitling the holder to purchase one Class A share of Common Stock at an exercise price of $11.50 per share, and the Company will enter into a Private Placement Warrants Purchase Agreement with the Sponsor, Islam and Leproust (the “</w:t>
      </w:r>
      <w:r>
        <w:rPr>
          <w:rFonts w:ascii="Arial" w:cs="Arial" w:eastAsia="Arial" w:hAnsi="Arial"/>
          <w:sz w:val="18"/>
          <w:szCs w:val="18"/>
          <w:b w:val="1"/>
          <w:bCs w:val="1"/>
          <w:color w:val="auto"/>
        </w:rPr>
        <w:t>Private Placement Warrants Purchase Agreement</w:t>
      </w:r>
      <w:r>
        <w:rPr>
          <w:rFonts w:ascii="Arial" w:cs="Arial" w:eastAsia="Arial" w:hAnsi="Arial"/>
          <w:sz w:val="18"/>
          <w:szCs w:val="18"/>
          <w:color w:val="auto"/>
        </w:rPr>
        <w:t>”) in substantially the form filed as Exhibit 10.4 to the Registration Statement. Except as described in the Registration Statement, the Time of Sale Prospectus and the Prospectus, the Private Placement Warrants, and the shares of Class A Common Stock issuable upon conversion or exercise thereof, have the same terms as the Units, the shares of Class A Common Stock, the Public Warrants and the shares of Class A Common Stock underlying the Public Warrants,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enter into an Investment Management Trust Agreement, effective as of the First Closing Date, with Continental Stock Transfer</w:t>
      </w:r>
    </w:p>
    <w:p>
      <w:pPr>
        <w:spacing w:after="0" w:line="46" w:lineRule="exact"/>
        <w:rPr>
          <w:sz w:val="20"/>
          <w:szCs w:val="20"/>
          <w:color w:val="auto"/>
        </w:rPr>
      </w:pPr>
    </w:p>
    <w:p>
      <w:pPr>
        <w:jc w:val="both"/>
        <w:ind w:firstLine="8"/>
        <w:spacing w:after="0" w:line="253" w:lineRule="auto"/>
        <w:tabs>
          <w:tab w:leader="none" w:pos="1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Trust Company (“</w:t>
      </w:r>
      <w:r>
        <w:rPr>
          <w:rFonts w:ascii="Arial" w:cs="Arial" w:eastAsia="Arial" w:hAnsi="Arial"/>
          <w:sz w:val="18"/>
          <w:szCs w:val="18"/>
          <w:b w:val="1"/>
          <w:bCs w:val="1"/>
          <w:color w:val="auto"/>
        </w:rPr>
        <w:t>CST</w:t>
      </w:r>
      <w:r>
        <w:rPr>
          <w:rFonts w:ascii="Arial" w:cs="Arial" w:eastAsia="Arial" w:hAnsi="Arial"/>
          <w:sz w:val="18"/>
          <w:szCs w:val="18"/>
          <w:color w:val="auto"/>
        </w:rPr>
        <w:t>”), as trustee, in substantially the form filed as Exhibit 10.2 to the Registration Statement (the “</w:t>
      </w:r>
      <w:r>
        <w:rPr>
          <w:rFonts w:ascii="Arial" w:cs="Arial" w:eastAsia="Arial" w:hAnsi="Arial"/>
          <w:sz w:val="18"/>
          <w:szCs w:val="18"/>
          <w:b w:val="1"/>
          <w:bCs w:val="1"/>
          <w:color w:val="auto"/>
        </w:rPr>
        <w:t>Trust Agreement</w:t>
      </w:r>
      <w:r>
        <w:rPr>
          <w:rFonts w:ascii="Arial" w:cs="Arial" w:eastAsia="Arial" w:hAnsi="Arial"/>
          <w:sz w:val="18"/>
          <w:szCs w:val="18"/>
          <w:color w:val="auto"/>
        </w:rPr>
        <w:t>”), pursuant to which proceeds from the sale of the Private Placement Warrants and proceeds from the Offering and sale of the Offered Securities will be deposited and held in a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for the benefit of the Company, the Underwriters and the holders of the Firm Securities and the Optional Securities, if and when issued.</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enter into a Warrant Agreement, effective as of the First Closing Date, with respect to the Warrants, the Private Placement Warrants and any warrants issued upon the conversion of working capital loans by the Sponsor, the Company’s officers and directors or their respective affiliates, to the Company (the “</w:t>
      </w:r>
      <w:r>
        <w:rPr>
          <w:rFonts w:ascii="Arial" w:cs="Arial" w:eastAsia="Arial" w:hAnsi="Arial"/>
          <w:sz w:val="17"/>
          <w:szCs w:val="17"/>
          <w:b w:val="1"/>
          <w:bCs w:val="1"/>
          <w:color w:val="auto"/>
        </w:rPr>
        <w:t>Working Capital Warrants</w:t>
      </w:r>
      <w:r>
        <w:rPr>
          <w:rFonts w:ascii="Arial" w:cs="Arial" w:eastAsia="Arial" w:hAnsi="Arial"/>
          <w:sz w:val="17"/>
          <w:szCs w:val="17"/>
          <w:color w:val="auto"/>
        </w:rPr>
        <w:t>”) with CST, as warrant agent, in substantially the form filed as Exhibit 4.4 to the Registration Statement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pursuant to which CST will act as warrant agent in connection with the issuance, registration, transfer, exchange, redemption, and exercise of the Warrants, the Private Placement Warrants and the Working Capital Warrants.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enter into a Registration Rights Agreement, dated as of the First Closing Date, with the Sponsor and the other parties thereto, in substantially the form filed as Exhibit 10.3 to the Registration Statement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in respect of the Founder Shares, the Private Placement Warrants, the Working Capital Warrants and the shares of Class A Common Stock issuable upon the exercise of the Private Placement Warrants and the Working Capital Warrants and upon conversion of the Founder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firstLine="648"/>
        <w:spacing w:after="0" w:line="277" w:lineRule="auto"/>
        <w:rPr>
          <w:sz w:val="20"/>
          <w:szCs w:val="20"/>
          <w:color w:val="auto"/>
        </w:rPr>
      </w:pPr>
      <w:r>
        <w:rPr>
          <w:rFonts w:ascii="Arial" w:cs="Arial" w:eastAsia="Arial" w:hAnsi="Arial"/>
          <w:sz w:val="18"/>
          <w:szCs w:val="18"/>
          <w:color w:val="auto"/>
        </w:rPr>
        <w:t>The Company has entered into a letter agreement, dated as of the date hereof, with the Sponsor and the Company’s officers and directors, in substantially the form filed as Exhibit 10.1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 Representations and Warranties of the Company.</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hereby represents, warrants and covenants to each Underwriter, as of the date of this Agreement, as of the First Closing Date (as defined below) and for the period from the First Closing Date though and as of each Option Closing Date (as defined below), if any, as follows:</w:t>
      </w:r>
    </w:p>
    <w:p>
      <w:pPr>
        <w:spacing w:after="0" w:line="142" w:lineRule="exact"/>
        <w:rPr>
          <w:sz w:val="20"/>
          <w:szCs w:val="20"/>
          <w:color w:val="auto"/>
        </w:rPr>
      </w:pPr>
    </w:p>
    <w:p>
      <w:pPr>
        <w:jc w:val="both"/>
        <w:ind w:firstLine="656"/>
        <w:spacing w:after="0" w:line="261" w:lineRule="auto"/>
        <w:tabs>
          <w:tab w:leader="none" w:pos="916"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79" w:lineRule="exact"/>
        <w:rPr>
          <w:rFonts w:ascii="Arial" w:cs="Arial" w:eastAsia="Arial" w:hAnsi="Arial"/>
          <w:sz w:val="18"/>
          <w:szCs w:val="18"/>
          <w:b w:val="1"/>
          <w:bCs w:val="1"/>
          <w:color w:val="auto"/>
        </w:rPr>
      </w:pPr>
    </w:p>
    <w:p>
      <w:pPr>
        <w:jc w:val="both"/>
        <w:ind w:firstLine="656"/>
        <w:spacing w:after="0" w:line="268" w:lineRule="auto"/>
        <w:tabs>
          <w:tab w:leader="none" w:pos="913"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Securities Act and, if filed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179" w:lineRule="exact"/>
        <w:rPr>
          <w:rFonts w:ascii="Arial" w:cs="Arial" w:eastAsia="Arial" w:hAnsi="Arial"/>
          <w:sz w:val="17"/>
          <w:szCs w:val="17"/>
          <w:b w:val="1"/>
          <w:bCs w:val="1"/>
          <w:color w:val="auto"/>
        </w:rPr>
      </w:pPr>
    </w:p>
    <w:p>
      <w:pPr>
        <w:jc w:val="both"/>
        <w:ind w:firstLine="656"/>
        <w:spacing w:after="0" w:line="271" w:lineRule="auto"/>
        <w:tabs>
          <w:tab w:leader="none" w:pos="906"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and as of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656"/>
        <w:spacing w:after="0" w:line="303" w:lineRule="auto"/>
        <w:tabs>
          <w:tab w:leader="none" w:pos="913"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in Section 2, (ii) the completion of the Underwriters’ distribution of the Offered Securities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50" w:lineRule="exact"/>
        <w:rPr>
          <w:rFonts w:ascii="Arial" w:cs="Arial" w:eastAsia="Arial" w:hAnsi="Arial"/>
          <w:sz w:val="16"/>
          <w:szCs w:val="16"/>
          <w:b w:val="1"/>
          <w:bCs w:val="1"/>
          <w:color w:val="auto"/>
        </w:rPr>
      </w:pPr>
    </w:p>
    <w:p>
      <w:pPr>
        <w:ind w:left="900" w:hanging="244"/>
        <w:spacing w:after="0"/>
        <w:tabs>
          <w:tab w:leader="none" w:pos="9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and validly authorized, executed and delivered by the Company.</w:t>
      </w:r>
    </w:p>
    <w:p>
      <w:pPr>
        <w:spacing w:after="0" w:line="225" w:lineRule="exact"/>
        <w:rPr>
          <w:rFonts w:ascii="Arial" w:cs="Arial" w:eastAsia="Arial" w:hAnsi="Arial"/>
          <w:sz w:val="18"/>
          <w:szCs w:val="18"/>
          <w:b w:val="1"/>
          <w:bCs w:val="1"/>
          <w:color w:val="auto"/>
        </w:rPr>
      </w:pPr>
    </w:p>
    <w:p>
      <w:pPr>
        <w:jc w:val="both"/>
        <w:ind w:firstLine="656"/>
        <w:spacing w:after="0" w:line="303" w:lineRule="auto"/>
        <w:tabs>
          <w:tab w:leader="none" w:pos="873"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Filing of a Form 8-A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filed with the Commission a registration statement (the “</w:t>
      </w:r>
      <w:r>
        <w:rPr>
          <w:rFonts w:ascii="Arial" w:cs="Arial" w:eastAsia="Arial" w:hAnsi="Arial"/>
          <w:sz w:val="16"/>
          <w:szCs w:val="16"/>
          <w:b w:val="1"/>
          <w:bCs w:val="1"/>
          <w:color w:val="auto"/>
        </w:rPr>
        <w:t>Exchange Act Registration Statement</w:t>
      </w:r>
      <w:r>
        <w:rPr>
          <w:rFonts w:ascii="Arial" w:cs="Arial" w:eastAsia="Arial" w:hAnsi="Arial"/>
          <w:sz w:val="16"/>
          <w:szCs w:val="16"/>
          <w:color w:val="auto"/>
        </w:rPr>
        <w: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8-A (file number 001-[ ● ]) providing for the registration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of the Units, the shares of Class A Common Stock and the Public Warrants, which registration is currently effective on the date hereof. The Exchange Act Registration Statement has become effective as provided in Section 12 of the Exchange Act.</w:t>
      </w:r>
    </w:p>
    <w:p>
      <w:pPr>
        <w:spacing w:after="0" w:line="150" w:lineRule="exact"/>
        <w:rPr>
          <w:rFonts w:ascii="Arial" w:cs="Arial" w:eastAsia="Arial" w:hAnsi="Arial"/>
          <w:sz w:val="16"/>
          <w:szCs w:val="16"/>
          <w:b w:val="1"/>
          <w:bCs w:val="1"/>
          <w:color w:val="auto"/>
        </w:rPr>
      </w:pPr>
    </w:p>
    <w:p>
      <w:pPr>
        <w:ind w:firstLine="656"/>
        <w:spacing w:after="0" w:line="282" w:lineRule="auto"/>
        <w:tabs>
          <w:tab w:leader="none" w:pos="90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the shares of Class A Common Stock and the Public Warrants have been approved for listing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subject only to official notice of issuance.</w:t>
      </w:r>
    </w:p>
    <w:p>
      <w:pPr>
        <w:spacing w:after="0" w:line="161" w:lineRule="exact"/>
        <w:rPr>
          <w:rFonts w:ascii="Arial" w:cs="Arial" w:eastAsia="Arial" w:hAnsi="Arial"/>
          <w:sz w:val="18"/>
          <w:szCs w:val="18"/>
          <w:b w:val="1"/>
          <w:bCs w:val="1"/>
          <w:color w:val="auto"/>
        </w:rPr>
      </w:pPr>
    </w:p>
    <w:p>
      <w:pPr>
        <w:ind w:firstLine="656"/>
        <w:spacing w:after="0" w:line="312" w:lineRule="auto"/>
        <w:tabs>
          <w:tab w:leader="none" w:pos="926"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Integration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affiliates has, prior to the date hereof, made any offer or sale of any securities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be “integrated” pursuant to the Securities Act with the offer and sale of the Offered Securities pursuant to the Registration Statement.</w:t>
      </w:r>
    </w:p>
    <w:p>
      <w:pPr>
        <w:spacing w:after="0" w:line="139" w:lineRule="exact"/>
        <w:rPr>
          <w:rFonts w:ascii="Arial" w:cs="Arial" w:eastAsia="Arial" w:hAnsi="Arial"/>
          <w:sz w:val="17"/>
          <w:szCs w:val="17"/>
          <w:b w:val="1"/>
          <w:bCs w:val="1"/>
          <w:color w:val="auto"/>
        </w:rPr>
      </w:pPr>
    </w:p>
    <w:p>
      <w:pPr>
        <w:jc w:val="both"/>
        <w:ind w:firstLine="656"/>
        <w:spacing w:after="0" w:line="258" w:lineRule="auto"/>
        <w:tabs>
          <w:tab w:leader="none" w:pos="876"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Private Placement Warrants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Private Placement Warrants have been duly authorized by the Company and,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delivered in the manner set forth in the Private Placement Warrants Purchase Agreement against payment therefor,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3" w:lineRule="exact"/>
        <w:rPr>
          <w:rFonts w:ascii="Arial" w:cs="Arial" w:eastAsia="Arial" w:hAnsi="Arial"/>
          <w:sz w:val="18"/>
          <w:szCs w:val="18"/>
          <w:b w:val="1"/>
          <w:bCs w:val="1"/>
          <w:color w:val="auto"/>
        </w:rPr>
      </w:pPr>
    </w:p>
    <w:p>
      <w:pPr>
        <w:ind w:left="900" w:hanging="244"/>
        <w:spacing w:after="0"/>
        <w:tabs>
          <w:tab w:leader="none" w:pos="90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Authorization of the Founder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Founder Shares have been duly authorized, were validly issued and are fully paid and non-</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assessable.</w:t>
      </w:r>
    </w:p>
    <w:p>
      <w:pPr>
        <w:spacing w:after="0" w:line="206" w:lineRule="exact"/>
        <w:rPr>
          <w:rFonts w:ascii="Arial" w:cs="Arial" w:eastAsia="Arial" w:hAnsi="Arial"/>
          <w:sz w:val="17"/>
          <w:szCs w:val="17"/>
          <w:b w:val="1"/>
          <w:bCs w:val="1"/>
          <w:color w:val="auto"/>
        </w:rPr>
      </w:pPr>
    </w:p>
    <w:p>
      <w:pPr>
        <w:jc w:val="both"/>
        <w:ind w:firstLine="656"/>
        <w:spacing w:after="0" w:line="255" w:lineRule="auto"/>
        <w:tabs>
          <w:tab w:leader="none" w:pos="91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have been duly authorized for issuance and sale pursuant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issued and delivered by the Company (by the entry of the name of the registered owner thereof in the register of members of the Company confirming that such securities have been issued credited as fully paid) against payment therefor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and the issuance and sale of the Offered Securities will be free of any preemptive rights, rights of first refusal and similar rights.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56"/>
        <w:spacing w:after="0" w:line="301" w:lineRule="auto"/>
        <w:tabs>
          <w:tab w:leader="none" w:pos="86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shares of Class A Common Stock</w:t>
      </w:r>
      <w:r>
        <w:rPr>
          <w:rFonts w:ascii="Arial" w:cs="Arial" w:eastAsia="Arial" w:hAnsi="Arial"/>
          <w:sz w:val="16"/>
          <w:szCs w:val="16"/>
          <w:color w:val="auto"/>
        </w:rPr>
        <w:t>. The shares of Class A Common Stock included in the Units have been duly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when issued and delivered (by the entry of the name of the registered owner thereof in the register of members of the Company confirming that such shares of Class A Common Stock have been issued credited as fully paid) against payment for the Offered Securities by the Underwriters pursuant to this Agreement, will be validly issued, fully paid and non-assessable and free of preemptive rights, rights of first refusal and similar rights.</w:t>
      </w:r>
    </w:p>
    <w:p>
      <w:pPr>
        <w:spacing w:after="0" w:line="153" w:lineRule="exact"/>
        <w:rPr>
          <w:rFonts w:ascii="Arial" w:cs="Arial" w:eastAsia="Arial" w:hAnsi="Arial"/>
          <w:sz w:val="16"/>
          <w:szCs w:val="16"/>
          <w:b w:val="1"/>
          <w:bCs w:val="1"/>
          <w:color w:val="auto"/>
        </w:rPr>
      </w:pPr>
    </w:p>
    <w:p>
      <w:pPr>
        <w:jc w:val="both"/>
        <w:ind w:firstLine="656"/>
        <w:spacing w:after="0" w:line="258" w:lineRule="auto"/>
        <w:tabs>
          <w:tab w:leader="none" w:pos="97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Public Warrants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Warrants included in the Units have been duly authorized by the Company and,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delivered in the manner set forth in the Warrant Agreement against 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3" w:lineRule="exact"/>
        <w:rPr>
          <w:rFonts w:ascii="Arial" w:cs="Arial" w:eastAsia="Arial" w:hAnsi="Arial"/>
          <w:sz w:val="18"/>
          <w:szCs w:val="18"/>
          <w:b w:val="1"/>
          <w:bCs w:val="1"/>
          <w:color w:val="auto"/>
        </w:rPr>
      </w:pPr>
    </w:p>
    <w:p>
      <w:pPr>
        <w:jc w:val="both"/>
        <w:ind w:firstLine="656"/>
        <w:spacing w:after="0" w:line="271" w:lineRule="auto"/>
        <w:tabs>
          <w:tab w:leader="none" w:pos="913"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Authorization of the shares of Class A Common Stock Issuable Upon Exercise of the Public Warrants and the Private Placement 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of Class A Common Stock issuable upon exercise of the Public Warrants and the Private Placement Warrants have been duly authorized and reserved for issuance upon exercise thereof and, when issued and delivered (by the entry of the name of the registered owner thereof in the register of members of the Company confirming that such shares of Class A Common Stock have been issued credited as fully paid) against payment therefor pursuant to the Public Warrants and the Private Placement Warrants, as applicable, and the Warrant Agreement, will be validly issued, fully paid and non-assessable. The holders of such shares of Class A Common Stock are not and will not be subject to personal liability by reason of being such holders; such shares of Class A Common Stock are free of preemptive rights, rights of first refusal and similar rights; and all corporate action required to be taken for the authorization, issuance and sale of such shares of Class A Common Stock (other than such execution (if applicable), countersignature (if applicable) and delivery at the time of issuance) has been validly taken.</w:t>
      </w:r>
    </w:p>
    <w:p>
      <w:pPr>
        <w:spacing w:after="0" w:line="173" w:lineRule="exact"/>
        <w:rPr>
          <w:rFonts w:ascii="Arial" w:cs="Arial" w:eastAsia="Arial" w:hAnsi="Arial"/>
          <w:sz w:val="17"/>
          <w:szCs w:val="17"/>
          <w:b w:val="1"/>
          <w:bCs w:val="1"/>
          <w:color w:val="auto"/>
        </w:rPr>
      </w:pPr>
    </w:p>
    <w:p>
      <w:pPr>
        <w:jc w:val="both"/>
        <w:ind w:firstLine="656"/>
        <w:spacing w:after="0" w:line="261" w:lineRule="auto"/>
        <w:tabs>
          <w:tab w:leader="none" w:pos="93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Trust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Trust Agreement has been duly authorized and on the First Closing Date, the Trust Agreement will be duly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1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Warrant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 Agreement has been duly authorized and on the First Closing Date, the Warrant Agreement will be duly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Subscription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Subscription Agreement has been duly authorized, executed and delivered by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jc w:val="both"/>
        <w:ind w:firstLine="656"/>
        <w:spacing w:after="0" w:line="303" w:lineRule="auto"/>
        <w:tabs>
          <w:tab w:leader="none" w:pos="89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Forward Purchase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Forward Purchase Agreements have been duly authorized, executed and delivered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Casdin Capital and Corvex Management, and are valid and binding agreements of the Company, Casdin Capital, and Corvex Management, enforceable against the Company, Casdin Capital and Corvex Management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50" w:lineRule="exact"/>
        <w:rPr>
          <w:rFonts w:ascii="Arial" w:cs="Arial" w:eastAsia="Arial" w:hAnsi="Arial"/>
          <w:sz w:val="16"/>
          <w:szCs w:val="16"/>
          <w:b w:val="1"/>
          <w:bCs w:val="1"/>
          <w:color w:val="auto"/>
        </w:rPr>
      </w:pPr>
    </w:p>
    <w:p>
      <w:pPr>
        <w:jc w:val="both"/>
        <w:ind w:firstLine="656"/>
        <w:spacing w:after="0" w:line="303" w:lineRule="auto"/>
        <w:tabs>
          <w:tab w:leader="none" w:pos="91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Private Placement Warrants Purchase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Private Placement Warrants Purchase Agreement has been duly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executed and delivered by the Company, and the Sponsor, and is a valid and binding agreement of the Company, the Sponsor, Islam and Leproust, enforceable against the Company, the Sponsor, Islam and Leproust,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50" w:lineRule="exact"/>
        <w:rPr>
          <w:rFonts w:ascii="Arial" w:cs="Arial" w:eastAsia="Arial" w:hAnsi="Arial"/>
          <w:sz w:val="16"/>
          <w:szCs w:val="16"/>
          <w:b w:val="1"/>
          <w:bCs w:val="1"/>
          <w:color w:val="auto"/>
        </w:rPr>
      </w:pPr>
    </w:p>
    <w:p>
      <w:pPr>
        <w:jc w:val="both"/>
        <w:ind w:firstLine="656"/>
        <w:spacing w:after="0" w:line="281" w:lineRule="auto"/>
        <w:tabs>
          <w:tab w:leader="none" w:pos="913"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Registration Rights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Rights Agreement has been duly authorized and on the First Closing Date,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Rights Agreement will be 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7"/>
          <w:szCs w:val="17"/>
          <w:b w:val="1"/>
          <w:bCs w:val="1"/>
          <w:color w:val="auto"/>
        </w:rPr>
      </w:pPr>
    </w:p>
    <w:p>
      <w:pPr>
        <w:jc w:val="both"/>
        <w:ind w:firstLine="656"/>
        <w:spacing w:after="0" w:line="256" w:lineRule="auto"/>
        <w:tabs>
          <w:tab w:leader="none" w:pos="9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Insider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Insider Letter has been duly authorized, executed and delivered by the Company and the Sponsor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each 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b w:val="1"/>
          <w:bCs w:val="1"/>
          <w:color w:val="auto"/>
        </w:rPr>
      </w:pPr>
    </w:p>
    <w:p>
      <w:pPr>
        <w:ind w:firstLine="656"/>
        <w:spacing w:after="0" w:line="282" w:lineRule="auto"/>
        <w:tabs>
          <w:tab w:leader="none" w:pos="91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97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WithumSmith+Brown, PC (“</w:t>
      </w:r>
      <w:r>
        <w:rPr>
          <w:rFonts w:ascii="Arial" w:cs="Arial" w:eastAsia="Arial" w:hAnsi="Arial"/>
          <w:sz w:val="18"/>
          <w:szCs w:val="18"/>
          <w:b w:val="1"/>
          <w:bCs w:val="1"/>
          <w:color w:val="auto"/>
        </w:rPr>
        <w:t>Withum</w:t>
      </w:r>
      <w:r>
        <w:rPr>
          <w:rFonts w:ascii="Arial" w:cs="Arial" w:eastAsia="Arial" w:hAnsi="Arial"/>
          <w:sz w:val="18"/>
          <w:szCs w:val="18"/>
          <w:color w:val="auto"/>
        </w:rPr>
        <w:t>”), who have certified certain financial statements of the Company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56"/>
        <w:spacing w:after="0" w:line="289" w:lineRule="auto"/>
        <w:tabs>
          <w:tab w:leader="none" w:pos="903"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including the notes thereto and the supporting schedules, if any, filed with the Commission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 of the Registration Statement, the Time of Sale Prospectus and the Prospectus present fairly the financial position of the Company as of the dates indicated and the results of its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60" w:lineRule="exact"/>
        <w:rPr>
          <w:rFonts w:ascii="Arial" w:cs="Arial" w:eastAsia="Arial" w:hAnsi="Arial"/>
          <w:sz w:val="16"/>
          <w:szCs w:val="16"/>
          <w:b w:val="1"/>
          <w:bCs w:val="1"/>
          <w:color w:val="auto"/>
        </w:rPr>
      </w:pPr>
    </w:p>
    <w:p>
      <w:pPr>
        <w:jc w:val="both"/>
        <w:ind w:firstLine="656"/>
        <w:spacing w:after="0" w:line="298" w:lineRule="auto"/>
        <w:tabs>
          <w:tab w:leader="none" w:pos="93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maintain a system of internal accounting controls sufficient to provide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3" w:lineRule="exact"/>
        <w:rPr>
          <w:rFonts w:ascii="Arial" w:cs="Arial" w:eastAsia="Arial" w:hAnsi="Arial"/>
          <w:sz w:val="16"/>
          <w:szCs w:val="16"/>
          <w:b w:val="1"/>
          <w:bCs w:val="1"/>
          <w:color w:val="auto"/>
        </w:rPr>
      </w:pPr>
    </w:p>
    <w:p>
      <w:pPr>
        <w:ind w:right="20" w:firstLine="656"/>
        <w:spacing w:after="0" w:line="347" w:lineRule="auto"/>
        <w:tabs>
          <w:tab w:leader="none" w:pos="906"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maintains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“disclosure controls and procedures” as defined under Rule 13a-15(e) under the Exchange Act, to the extent required by such rule.</w:t>
      </w:r>
    </w:p>
    <w:p>
      <w:pPr>
        <w:spacing w:after="0" w:line="116" w:lineRule="exact"/>
        <w:rPr>
          <w:sz w:val="20"/>
          <w:szCs w:val="20"/>
          <w:color w:val="auto"/>
        </w:rPr>
      </w:pPr>
    </w:p>
    <w:p>
      <w:pPr>
        <w:jc w:val="both"/>
        <w:ind w:firstLine="656"/>
        <w:spacing w:after="0" w:line="258" w:lineRule="auto"/>
        <w:tabs>
          <w:tab w:leader="none" w:pos="10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to the extent that the Sarbanes-Oxley Act of 2002, as amended, and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promulgated by the Commission and Nasdaq thereunder (the “</w:t>
      </w:r>
      <w:r>
        <w:rPr>
          <w:rFonts w:ascii="Arial" w:cs="Arial" w:eastAsia="Arial" w:hAnsi="Arial"/>
          <w:sz w:val="18"/>
          <w:szCs w:val="18"/>
          <w:b w:val="1"/>
          <w:bCs w:val="1"/>
          <w:color w:val="auto"/>
        </w:rPr>
        <w:t>Sarbanes-Oxley Act</w:t>
      </w:r>
      <w:r>
        <w:rPr>
          <w:rFonts w:ascii="Arial" w:cs="Arial" w:eastAsia="Arial" w:hAnsi="Arial"/>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83" w:lineRule="exact"/>
        <w:rPr>
          <w:rFonts w:ascii="Arial" w:cs="Arial" w:eastAsia="Arial" w:hAnsi="Arial"/>
          <w:sz w:val="18"/>
          <w:szCs w:val="18"/>
          <w:b w:val="1"/>
          <w:bCs w:val="1"/>
          <w:color w:val="auto"/>
        </w:rPr>
      </w:pPr>
    </w:p>
    <w:p>
      <w:pPr>
        <w:jc w:val="both"/>
        <w:ind w:firstLine="656"/>
        <w:spacing w:after="0" w:line="274" w:lineRule="auto"/>
        <w:tabs>
          <w:tab w:leader="none" w:pos="1013"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Nasdaq Rules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and has been no failure on the part of the Company or, to the knowledge of the Company, any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officers 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73" w:lineRule="exact"/>
        <w:rPr>
          <w:rFonts w:ascii="Arial" w:cs="Arial" w:eastAsia="Arial" w:hAnsi="Arial"/>
          <w:sz w:val="17"/>
          <w:szCs w:val="17"/>
          <w:b w:val="1"/>
          <w:bCs w:val="1"/>
          <w:color w:val="auto"/>
        </w:rPr>
      </w:pPr>
    </w:p>
    <w:p>
      <w:pPr>
        <w:jc w:val="both"/>
        <w:ind w:firstLine="656"/>
        <w:spacing w:after="0" w:line="281" w:lineRule="auto"/>
        <w:tabs>
          <w:tab w:leader="none" w:pos="972"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Fees Related to this Agreement or the Offering of Offered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transfer, stamp, issue, registration, documentary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56"/>
        <w:spacing w:after="0" w:line="271" w:lineRule="auto"/>
        <w:tabs>
          <w:tab w:leader="none" w:pos="1026"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Incorporation and Good Standing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been duly incorporated and is validly existing as a corporation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Warrant Agreement, the Subscription Agreement, the Forward Purchase Agreements, the Private Placement Warrants Purchase Agreement, the Registration Rights Agreement and the Insider Letter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on the Company.</w:t>
      </w:r>
    </w:p>
    <w:p>
      <w:pPr>
        <w:spacing w:after="0" w:line="173" w:lineRule="exact"/>
        <w:rPr>
          <w:rFonts w:ascii="Arial" w:cs="Arial" w:eastAsia="Arial" w:hAnsi="Arial"/>
          <w:sz w:val="17"/>
          <w:szCs w:val="17"/>
          <w:b w:val="1"/>
          <w:bCs w:val="1"/>
          <w:color w:val="auto"/>
        </w:rPr>
      </w:pPr>
    </w:p>
    <w:p>
      <w:pPr>
        <w:ind w:firstLine="656"/>
        <w:spacing w:after="0" w:line="312" w:lineRule="auto"/>
        <w:tabs>
          <w:tab w:leader="none" w:pos="972"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Interests in Other Entities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does not own or control, directly or indirectly, an interest in any corporation, partnership, limited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company, joint venture, trust or other entity.</w:t>
      </w:r>
    </w:p>
    <w:p>
      <w:pPr>
        <w:spacing w:after="0" w:line="139" w:lineRule="exact"/>
        <w:rPr>
          <w:rFonts w:ascii="Arial" w:cs="Arial" w:eastAsia="Arial" w:hAnsi="Arial"/>
          <w:sz w:val="17"/>
          <w:szCs w:val="17"/>
          <w:b w:val="1"/>
          <w:bCs w:val="1"/>
          <w:color w:val="auto"/>
        </w:rPr>
      </w:pPr>
    </w:p>
    <w:p>
      <w:pPr>
        <w:jc w:val="both"/>
        <w:ind w:firstLine="656"/>
        <w:spacing w:after="0" w:line="289" w:lineRule="auto"/>
        <w:tabs>
          <w:tab w:leader="none" w:pos="946"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w:t>
      </w:r>
    </w:p>
    <w:p>
      <w:pPr>
        <w:spacing w:after="0" w:line="160" w:lineRule="exact"/>
        <w:rPr>
          <w:rFonts w:ascii="Arial" w:cs="Arial" w:eastAsia="Arial" w:hAnsi="Arial"/>
          <w:sz w:val="16"/>
          <w:szCs w:val="16"/>
          <w:b w:val="1"/>
          <w:bCs w:val="1"/>
          <w:color w:val="auto"/>
        </w:rPr>
      </w:pPr>
    </w:p>
    <w:p>
      <w:pPr>
        <w:jc w:val="both"/>
        <w:ind w:right="20" w:firstLine="656"/>
        <w:spacing w:after="0" w:line="289" w:lineRule="auto"/>
        <w:tabs>
          <w:tab w:leader="none" w:pos="993"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Sale of Securities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 securities of the Company have been sold by the Company or by or on behalf of, or for the benefit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157" w:lineRule="exact"/>
        <w:rPr>
          <w:rFonts w:ascii="Arial" w:cs="Arial" w:eastAsia="Arial" w:hAnsi="Arial"/>
          <w:sz w:val="17"/>
          <w:szCs w:val="17"/>
          <w:b w:val="1"/>
          <w:bCs w:val="1"/>
          <w:color w:val="auto"/>
        </w:rPr>
      </w:pPr>
    </w:p>
    <w:p>
      <w:pPr>
        <w:jc w:val="both"/>
        <w:ind w:firstLine="656"/>
        <w:spacing w:after="0" w:line="266" w:lineRule="auto"/>
        <w:tabs>
          <w:tab w:leader="none" w:pos="1013"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“Penny Stock”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delivery and payment for the Units on the First Closing Date and any Option Closing Dates,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subject to Rule 419 under the Securities Act and none of the Company’s outstanding securities will be deemed to be a “penny stock” as defined in Rule 3a51-1 under the Exchange 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56"/>
        <w:spacing w:after="0" w:line="284" w:lineRule="auto"/>
        <w:tabs>
          <w:tab w:leader="none" w:pos="926"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certificate of incorporation, and, as of the First Closing Date, will not be in violation of its second amended and restated certificate of incorporation (as it may be amended from time to time, the “</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and is not in default (or, with the giving of notice or lapse of time, would not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could not be reasonably expected, individually or in the aggregate, to have a Material Adverse Effect. The Company’s execution, delivery and performance of this Agreement, the Trust Agreement, the Warrant Agreement, the Subscription Agreement, the Forward Purchase Agreements, the Private Placement Warrants Purchase Agreement, the Registration Rights Agreement or the Insider Letter,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Certificate of Incorporation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Warrant Agreement, the Subscription Agreement, the Forward Purchase Agreements, the Private Placement Warrants Purchase Agreement, the Registration Rights Agreement, or the Insider Letter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82" w:lineRule="exact"/>
        <w:rPr>
          <w:rFonts w:ascii="Arial" w:cs="Arial" w:eastAsia="Arial" w:hAnsi="Arial"/>
          <w:sz w:val="16"/>
          <w:szCs w:val="16"/>
          <w:b w:val="1"/>
          <w:bCs w:val="1"/>
          <w:color w:val="auto"/>
        </w:rPr>
      </w:pPr>
    </w:p>
    <w:p>
      <w:pPr>
        <w:ind w:firstLine="656"/>
        <w:spacing w:after="0" w:line="277" w:lineRule="auto"/>
        <w:tabs>
          <w:tab w:leader="none" w:pos="933"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in compliance could not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jc w:val="both"/>
        <w:ind w:firstLine="656"/>
        <w:spacing w:after="0" w:line="256" w:lineRule="auto"/>
        <w:tabs>
          <w:tab w:leader="none" w:pos="1026"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Actions or Proceedings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is no action, suit, proceeding, inquiry or investigation brought by or before any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Warrant Agreement, the Subscription Agreement, the Forward Purchase Agreements, the Private Placement Warrants Purchase Agreement, the Registration Rights Agreement, or the Insider Letter or the performance by the Company of its obligations hereunder and thereunder.</w:t>
      </w:r>
    </w:p>
    <w:p>
      <w:pPr>
        <w:spacing w:after="0" w:line="187" w:lineRule="exact"/>
        <w:rPr>
          <w:rFonts w:ascii="Arial" w:cs="Arial" w:eastAsia="Arial" w:hAnsi="Arial"/>
          <w:sz w:val="18"/>
          <w:szCs w:val="18"/>
          <w:b w:val="1"/>
          <w:bCs w:val="1"/>
          <w:color w:val="auto"/>
        </w:rPr>
      </w:pPr>
    </w:p>
    <w:p>
      <w:pPr>
        <w:jc w:val="both"/>
        <w:ind w:firstLine="656"/>
        <w:spacing w:after="0" w:line="258" w:lineRule="auto"/>
        <w:tabs>
          <w:tab w:leader="none" w:pos="913"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Necessary Permits,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possesses such valid and current licenses, certificates, authorizations or permits required by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or foreign 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83" w:lineRule="exact"/>
        <w:rPr>
          <w:rFonts w:ascii="Arial" w:cs="Arial" w:eastAsia="Arial" w:hAnsi="Arial"/>
          <w:sz w:val="18"/>
          <w:szCs w:val="18"/>
          <w:b w:val="1"/>
          <w:bCs w:val="1"/>
          <w:color w:val="auto"/>
        </w:rPr>
      </w:pPr>
    </w:p>
    <w:p>
      <w:pPr>
        <w:ind w:left="1120" w:hanging="464"/>
        <w:spacing w:after="0"/>
        <w:tabs>
          <w:tab w:leader="none" w:pos="112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Title to Properties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owns or leases all such properties as are necessary to the conduct of its operations as presently conducted.</w:t>
      </w:r>
    </w:p>
    <w:p>
      <w:pPr>
        <w:spacing w:after="0" w:line="259" w:lineRule="exact"/>
        <w:rPr>
          <w:rFonts w:ascii="Arial" w:cs="Arial" w:eastAsia="Arial" w:hAnsi="Arial"/>
          <w:sz w:val="15"/>
          <w:szCs w:val="15"/>
          <w:b w:val="1"/>
          <w:bCs w:val="1"/>
          <w:color w:val="auto"/>
        </w:rPr>
      </w:pPr>
    </w:p>
    <w:p>
      <w:pPr>
        <w:jc w:val="both"/>
        <w:ind w:firstLine="656"/>
        <w:spacing w:after="0" w:line="277" w:lineRule="auto"/>
        <w:tabs>
          <w:tab w:leader="none" w:pos="1026"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filed all necessary federal, state and foreign income and franchise tax returns or has properly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requested extensions thereof (except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656"/>
        <w:spacing w:after="0" w:line="282" w:lineRule="auto"/>
        <w:tabs>
          <w:tab w:leader="none" w:pos="103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ERISA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established or maintained any “employee benefit plan” (as defined under the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and thus is not subject to ERISA.</w:t>
      </w:r>
    </w:p>
    <w:p>
      <w:pPr>
        <w:spacing w:after="0" w:line="165" w:lineRule="exact"/>
        <w:rPr>
          <w:rFonts w:ascii="Arial" w:cs="Arial" w:eastAsia="Arial" w:hAnsi="Arial"/>
          <w:sz w:val="18"/>
          <w:szCs w:val="18"/>
          <w:b w:val="1"/>
          <w:bCs w:val="1"/>
          <w:color w:val="auto"/>
        </w:rPr>
      </w:pPr>
    </w:p>
    <w:p>
      <w:pPr>
        <w:jc w:val="both"/>
        <w:ind w:firstLine="656"/>
        <w:spacing w:after="0" w:line="311" w:lineRule="auto"/>
        <w:tabs>
          <w:tab w:leader="none" w:pos="1013"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Securities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4" w:lineRule="exact"/>
        <w:rPr>
          <w:rFonts w:ascii="Arial" w:cs="Arial" w:eastAsia="Arial" w:hAnsi="Arial"/>
          <w:sz w:val="16"/>
          <w:szCs w:val="16"/>
          <w:b w:val="1"/>
          <w:bCs w:val="1"/>
          <w:color w:val="auto"/>
        </w:rPr>
      </w:pPr>
    </w:p>
    <w:p>
      <w:pPr>
        <w:jc w:val="both"/>
        <w:ind w:firstLine="656"/>
        <w:spacing w:after="0" w:line="289" w:lineRule="auto"/>
        <w:tabs>
          <w:tab w:leader="none" w:pos="1026"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not taken, directly or indirectly, any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w:t>
      </w:r>
    </w:p>
    <w:p>
      <w:pPr>
        <w:spacing w:after="0" w:line="157" w:lineRule="exact"/>
        <w:rPr>
          <w:rFonts w:ascii="Arial" w:cs="Arial" w:eastAsia="Arial" w:hAnsi="Arial"/>
          <w:sz w:val="17"/>
          <w:szCs w:val="17"/>
          <w:b w:val="1"/>
          <w:bCs w:val="1"/>
          <w:color w:val="auto"/>
        </w:rPr>
      </w:pPr>
    </w:p>
    <w:p>
      <w:pPr>
        <w:ind w:firstLine="656"/>
        <w:spacing w:after="0" w:line="347" w:lineRule="auto"/>
        <w:tabs>
          <w:tab w:leader="none" w:pos="986"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115" w:lineRule="exact"/>
        <w:rPr>
          <w:rFonts w:ascii="Arial" w:cs="Arial" w:eastAsia="Arial" w:hAnsi="Arial"/>
          <w:sz w:val="16"/>
          <w:szCs w:val="16"/>
          <w:b w:val="1"/>
          <w:bCs w:val="1"/>
          <w:color w:val="auto"/>
        </w:rPr>
      </w:pPr>
    </w:p>
    <w:p>
      <w:pPr>
        <w:jc w:val="both"/>
        <w:ind w:firstLine="656"/>
        <w:spacing w:after="0" w:line="303" w:lineRule="auto"/>
        <w:tabs>
          <w:tab w:leader="none" w:pos="953"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Sponsor, the Company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knowledge of the 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150" w:lineRule="exact"/>
        <w:rPr>
          <w:rFonts w:ascii="Arial" w:cs="Arial" w:eastAsia="Arial" w:hAnsi="Arial"/>
          <w:sz w:val="16"/>
          <w:szCs w:val="16"/>
          <w:b w:val="1"/>
          <w:bCs w:val="1"/>
          <w:color w:val="auto"/>
        </w:rPr>
      </w:pPr>
    </w:p>
    <w:p>
      <w:pPr>
        <w:jc w:val="both"/>
        <w:ind w:firstLine="656"/>
        <w:spacing w:after="0" w:line="258" w:lineRule="auto"/>
        <w:tabs>
          <w:tab w:leader="none" w:pos="933"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Conflict of Interest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Company’s knowledge after reasonable inquiry, there are no affiliations or associations between (i)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87" w:lineRule="exact"/>
        <w:rPr>
          <w:rFonts w:ascii="Arial" w:cs="Arial" w:eastAsia="Arial" w:hAnsi="Arial"/>
          <w:sz w:val="18"/>
          <w:szCs w:val="18"/>
          <w:b w:val="1"/>
          <w:bCs w:val="1"/>
          <w:color w:val="auto"/>
        </w:rPr>
      </w:pPr>
    </w:p>
    <w:p>
      <w:pPr>
        <w:jc w:val="both"/>
        <w:ind w:firstLine="656"/>
        <w:spacing w:after="0" w:line="259" w:lineRule="auto"/>
        <w:tabs>
          <w:tab w:leader="none" w:pos="10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Non-Compete/Non-Solicit</w:t>
      </w:r>
      <w:r>
        <w:rPr>
          <w:rFonts w:ascii="Arial" w:cs="Arial" w:eastAsia="Arial" w:hAnsi="Arial"/>
          <w:sz w:val="18"/>
          <w:szCs w:val="18"/>
          <w:color w:val="auto"/>
        </w:rPr>
        <w:t>. Except as described in the Registration Statement, the Time of Sale Prospectus and the Prospectus,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stockholder, officer or director of the Company, as applicable.</w:t>
      </w:r>
    </w:p>
    <w:p>
      <w:pPr>
        <w:spacing w:after="0" w:line="182" w:lineRule="exact"/>
        <w:rPr>
          <w:rFonts w:ascii="Arial" w:cs="Arial" w:eastAsia="Arial" w:hAnsi="Arial"/>
          <w:sz w:val="18"/>
          <w:szCs w:val="18"/>
          <w:b w:val="1"/>
          <w:bCs w:val="1"/>
          <w:color w:val="auto"/>
        </w:rPr>
      </w:pPr>
    </w:p>
    <w:p>
      <w:pPr>
        <w:jc w:val="both"/>
        <w:ind w:firstLine="656"/>
        <w:spacing w:after="0" w:line="289" w:lineRule="auto"/>
        <w:tabs>
          <w:tab w:leader="none" w:pos="993"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industry-related and market-related data included in the Registration Statement,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 Prospectus or 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57" w:lineRule="exact"/>
        <w:rPr>
          <w:rFonts w:ascii="Arial" w:cs="Arial" w:eastAsia="Arial" w:hAnsi="Arial"/>
          <w:sz w:val="17"/>
          <w:szCs w:val="17"/>
          <w:b w:val="1"/>
          <w:bCs w:val="1"/>
          <w:color w:val="auto"/>
        </w:rPr>
      </w:pPr>
    </w:p>
    <w:p>
      <w:pPr>
        <w:jc w:val="both"/>
        <w:ind w:firstLine="656"/>
        <w:spacing w:after="0" w:line="266" w:lineRule="auto"/>
        <w:tabs>
          <w:tab w:leader="none" w:pos="108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Company, the Sponsor, or, to the knowledge of the Company, any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nominee, officer, employee or controlled affiliate of the Company, has made any contribution or other payment to any official of, or candidate for, any federal, state or foreign office in violation of the FCPA (as defined below).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56"/>
        <w:spacing w:after="0" w:line="289" w:lineRule="auto"/>
        <w:tabs>
          <w:tab w:leader="none" w:pos="1006"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Foreign Corrupt Practices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Company, the Sponsor, or, to the knowledge of the Company, any director, director nominee,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employee or controlled 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60" w:lineRule="exact"/>
        <w:rPr>
          <w:rFonts w:ascii="Arial" w:cs="Arial" w:eastAsia="Arial" w:hAnsi="Arial"/>
          <w:sz w:val="16"/>
          <w:szCs w:val="16"/>
          <w:b w:val="1"/>
          <w:bCs w:val="1"/>
          <w:color w:val="auto"/>
        </w:rPr>
      </w:pPr>
    </w:p>
    <w:p>
      <w:pPr>
        <w:jc w:val="both"/>
        <w:ind w:firstLine="656"/>
        <w:spacing w:after="0" w:line="256" w:lineRule="auto"/>
        <w:tabs>
          <w:tab w:leader="none" w:pos="993"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and the Sponsor have been conducted at all times, in compliance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87" w:lineRule="exact"/>
        <w:rPr>
          <w:rFonts w:ascii="Arial" w:cs="Arial" w:eastAsia="Arial" w:hAnsi="Arial"/>
          <w:sz w:val="18"/>
          <w:szCs w:val="18"/>
          <w:b w:val="1"/>
          <w:bCs w:val="1"/>
          <w:color w:val="auto"/>
        </w:rPr>
      </w:pPr>
    </w:p>
    <w:p>
      <w:pPr>
        <w:jc w:val="both"/>
        <w:ind w:firstLine="656"/>
        <w:spacing w:after="0" w:line="272" w:lineRule="auto"/>
        <w:tabs>
          <w:tab w:leader="none" w:pos="999"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any director, director nominee, officer, employee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controlled affiliate of the Company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72" w:lineRule="exact"/>
        <w:rPr>
          <w:sz w:val="20"/>
          <w:szCs w:val="20"/>
          <w:color w:val="auto"/>
        </w:rPr>
      </w:pPr>
    </w:p>
    <w:p>
      <w:pPr>
        <w:jc w:val="both"/>
        <w:ind w:firstLine="656"/>
        <w:spacing w:after="0" w:line="266" w:lineRule="auto"/>
        <w:tabs>
          <w:tab w:leader="none" w:pos="1096"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in the Registration Statement, the Time of Sale Prospectus and the Prospectus, there is no broker, finder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party that is entitled to receive from the Company any brokerage or finder’s fee or other fee or commission as a result of any transactions contemplated by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56"/>
        <w:spacing w:after="0" w:line="285" w:lineRule="auto"/>
        <w:tabs>
          <w:tab w:leader="none" w:pos="1113"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Cybersecurity. </w:t>
      </w:r>
      <w:r>
        <w:rPr>
          <w:rFonts w:ascii="Arial" w:cs="Arial" w:eastAsia="Arial" w:hAnsi="Arial"/>
          <w:sz w:val="16"/>
          <w:szCs w:val="16"/>
          <w:color w:val="auto"/>
        </w:rPr>
        <w:t>The Company’s information technology assets and equipment, computers, systems, networks, hardware, software, websites,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European Union General Data Protection Regulation (EU 2016/679);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173" w:lineRule="exact"/>
        <w:rPr>
          <w:rFonts w:ascii="Arial" w:cs="Arial" w:eastAsia="Arial" w:hAnsi="Arial"/>
          <w:sz w:val="16"/>
          <w:szCs w:val="16"/>
          <w:b w:val="1"/>
          <w:bCs w:val="1"/>
          <w:color w:val="auto"/>
        </w:rPr>
      </w:pPr>
    </w:p>
    <w:p>
      <w:pPr>
        <w:jc w:val="both"/>
        <w:ind w:firstLine="656"/>
        <w:spacing w:after="0" w:line="309" w:lineRule="auto"/>
        <w:tabs>
          <w:tab w:leader="none" w:pos="1052"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Emerging Growth Company Status</w:t>
      </w:r>
      <w:r>
        <w:rPr>
          <w:rFonts w:ascii="Arial" w:cs="Arial" w:eastAsia="Arial" w:hAnsi="Arial"/>
          <w:sz w:val="16"/>
          <w:szCs w:val="16"/>
          <w:color w:val="auto"/>
        </w:rPr>
        <w:t>. From the time of the initial confidential submission of the Registration Statement to the Commission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365" w:lineRule="exact"/>
        <w:rPr>
          <w:rFonts w:ascii="Arial" w:cs="Arial" w:eastAsia="Arial" w:hAnsi="Arial"/>
          <w:sz w:val="16"/>
          <w:szCs w:val="16"/>
          <w:b w:val="1"/>
          <w:bCs w:val="1"/>
          <w:color w:val="auto"/>
        </w:rPr>
      </w:pPr>
    </w:p>
    <w:p>
      <w:pPr>
        <w:jc w:val="both"/>
        <w:ind w:firstLine="656"/>
        <w:spacing w:after="0" w:line="266" w:lineRule="auto"/>
        <w:tabs>
          <w:tab w:leader="none" w:pos="112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Communications with Potential Business Combination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date hereof, neither the Company nor anyone on its behalf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and as of the First Closing Date, neither the Company nor anyone on its behalf will have selected any Business Combination target or initiated any substantive discussions, directly or indirectly, with any Business Combination target.</w:t>
      </w:r>
    </w:p>
    <w:p>
      <w:pPr>
        <w:spacing w:after="0" w:line="179" w:lineRule="exact"/>
        <w:rPr>
          <w:rFonts w:ascii="Arial" w:cs="Arial" w:eastAsia="Arial" w:hAnsi="Arial"/>
          <w:sz w:val="18"/>
          <w:szCs w:val="18"/>
          <w:b w:val="1"/>
          <w:bCs w:val="1"/>
          <w:color w:val="auto"/>
        </w:rPr>
      </w:pPr>
    </w:p>
    <w:p>
      <w:pPr>
        <w:jc w:val="both"/>
        <w:ind w:firstLine="656"/>
        <w:spacing w:after="0" w:line="269" w:lineRule="auto"/>
        <w:tabs>
          <w:tab w:leader="none" w:pos="1066"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The Company (i) has not alone engaged in communications with potential investors in reliance on Section 5(d)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and delivered to the Representative, any Underwriters or to counsel for the Underwriters in connection with the Offering, or the purchase and sale, of the Offered Securities shall be deemed a representation and warranty by the Company to each Underwriter as to the matters covered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2. Purchase, Sale and Delivery of the Offered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303" w:lineRule="auto"/>
        <w:tabs>
          <w:tab w:leader="none" w:pos="916"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35,000,000 Units.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Unit to be paid by the several Underwriters to the Company shall be $9.80 per Unit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50" w:lineRule="exact"/>
        <w:rPr>
          <w:rFonts w:ascii="Arial" w:cs="Arial" w:eastAsia="Arial" w:hAnsi="Arial"/>
          <w:sz w:val="16"/>
          <w:szCs w:val="16"/>
          <w:b w:val="1"/>
          <w:bCs w:val="1"/>
          <w:color w:val="auto"/>
        </w:rPr>
      </w:pPr>
    </w:p>
    <w:p>
      <w:pPr>
        <w:jc w:val="both"/>
        <w:ind w:firstLine="656"/>
        <w:spacing w:after="0" w:line="255" w:lineRule="auto"/>
        <w:tabs>
          <w:tab w:leader="none" w:pos="913"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the Firm Securities to be purchased by the Underwriters and payment therefor shall be made at [●]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City time, on [●], 2020, or such other time and date not later than [●] New York City time on [●], 2020 as the Representative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unless the Representative shall otherwise instruct.</w:t>
      </w:r>
    </w:p>
    <w:p>
      <w:pPr>
        <w:spacing w:after="0" w:line="188" w:lineRule="exact"/>
        <w:rPr>
          <w:rFonts w:ascii="Arial" w:cs="Arial" w:eastAsia="Arial" w:hAnsi="Arial"/>
          <w:sz w:val="18"/>
          <w:szCs w:val="18"/>
          <w:b w:val="1"/>
          <w:bCs w:val="1"/>
          <w:color w:val="auto"/>
        </w:rPr>
      </w:pPr>
    </w:p>
    <w:p>
      <w:pPr>
        <w:jc w:val="both"/>
        <w:ind w:firstLine="656"/>
        <w:spacing w:after="0" w:line="286" w:lineRule="auto"/>
        <w:tabs>
          <w:tab w:leader="none" w:pos="89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Securities;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upon the terms but subject to the conditions herein set forth, the Company hereby grants an option to the several Underwriters to purchase, severally and not jointly, up to an aggregate of 5,250,000 Units from the Company at the purchase price per Unit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and shall be determined by the Representative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170" w:lineRule="exact"/>
        <w:rPr>
          <w:rFonts w:ascii="Arial" w:cs="Arial" w:eastAsia="Arial" w:hAnsi="Arial"/>
          <w:sz w:val="16"/>
          <w:szCs w:val="16"/>
          <w:b w:val="1"/>
          <w:bCs w:val="1"/>
          <w:color w:val="auto"/>
        </w:rPr>
      </w:pPr>
    </w:p>
    <w:p>
      <w:pPr>
        <w:jc w:val="both"/>
        <w:ind w:firstLine="656"/>
        <w:spacing w:after="0" w:line="261" w:lineRule="auto"/>
        <w:tabs>
          <w:tab w:leader="none" w:pos="913"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 hereby advises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656"/>
        <w:spacing w:after="0" w:line="273" w:lineRule="auto"/>
        <w:tabs>
          <w:tab w:leader="none" w:pos="906"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and Payment for the Offered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In addition to the discount from the public offering price represented by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set forth in the last sentence of Section 2(a) of this Agreement, the Company hereby agrees to pay to the Underwriters a deferred discount of $0.35 per Unit (including both Firm Securities and Optional Securities) purchased hereunder (the “</w:t>
      </w:r>
      <w:r>
        <w:rPr>
          <w:rFonts w:ascii="Arial" w:cs="Arial" w:eastAsia="Arial" w:hAnsi="Arial"/>
          <w:sz w:val="17"/>
          <w:szCs w:val="17"/>
          <w:b w:val="1"/>
          <w:bCs w:val="1"/>
          <w:color w:val="auto"/>
        </w:rPr>
        <w:t>Deferred Discount</w:t>
      </w:r>
      <w:r>
        <w:rPr>
          <w:rFonts w:ascii="Arial" w:cs="Arial" w:eastAsia="Arial" w:hAnsi="Arial"/>
          <w:sz w:val="17"/>
          <w:szCs w:val="17"/>
          <w:color w:val="auto"/>
        </w:rPr>
        <w:t>”). The Underwriters hereby agree that if no Business Combination is consummated within the time period provided in the Trust Agreement and the funds held under the Trust Agreement are distributed to the holders of the shares of Class A Common Stock included in the Offered Securities sold pursuant to this Agreement (the “</w:t>
      </w:r>
      <w:r>
        <w:rPr>
          <w:rFonts w:ascii="Arial" w:cs="Arial" w:eastAsia="Arial" w:hAnsi="Arial"/>
          <w:sz w:val="17"/>
          <w:szCs w:val="17"/>
          <w:b w:val="1"/>
          <w:b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w:t>
      </w:r>
      <w:r>
        <w:rPr>
          <w:rFonts w:ascii="Arial" w:cs="Arial" w:eastAsia="Arial" w:hAnsi="Arial"/>
          <w:sz w:val="17"/>
          <w:szCs w:val="17"/>
          <w:color w:val="auto"/>
        </w:rPr>
        <w:t>”), (x) the Underwriters will forfeit any rights or claims to the Deferred Discount and (y) the trustee under the Trust Agreement is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to distribute the Deferred Discount to the Public Stockholders on a pro rata basis.</w:t>
      </w:r>
    </w:p>
    <w:p>
      <w:pPr>
        <w:spacing w:after="0" w:line="175" w:lineRule="exact"/>
        <w:rPr>
          <w:rFonts w:ascii="Arial" w:cs="Arial" w:eastAsia="Arial" w:hAnsi="Arial"/>
          <w:sz w:val="17"/>
          <w:szCs w:val="17"/>
          <w:b w:val="1"/>
          <w:bCs w:val="1"/>
          <w:color w:val="auto"/>
        </w:rPr>
      </w:pPr>
    </w:p>
    <w:p>
      <w:pPr>
        <w:jc w:val="both"/>
        <w:ind w:firstLine="1304"/>
        <w:spacing w:after="0" w:line="254" w:lineRule="auto"/>
        <w:tabs>
          <w:tab w:leader="none" w:pos="158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The Representative,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94" w:lineRule="exact"/>
        <w:rPr>
          <w:rFonts w:ascii="Arial" w:cs="Arial" w:eastAsia="Arial" w:hAnsi="Arial"/>
          <w:sz w:val="18"/>
          <w:szCs w:val="18"/>
          <w:color w:val="auto"/>
        </w:rPr>
      </w:pPr>
    </w:p>
    <w:p>
      <w:pPr>
        <w:jc w:val="both"/>
        <w:ind w:firstLine="1304"/>
        <w:spacing w:after="0" w:line="288" w:lineRule="auto"/>
        <w:tabs>
          <w:tab w:leader="none" w:pos="161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Private Placement Warrants in order for the Trust Account to equal the product of the number of Units sold and the public offering price per Unit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one business day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w:t>
      </w:r>
    </w:p>
    <w:p>
      <w:pPr>
        <w:spacing w:after="0" w:line="168" w:lineRule="exact"/>
        <w:rPr>
          <w:rFonts w:ascii="Arial" w:cs="Arial" w:eastAsia="Arial" w:hAnsi="Arial"/>
          <w:sz w:val="16"/>
          <w:szCs w:val="16"/>
          <w:color w:val="auto"/>
        </w:rPr>
      </w:pPr>
    </w:p>
    <w:p>
      <w:pPr>
        <w:jc w:val="both"/>
        <w:ind w:firstLine="1304"/>
        <w:spacing w:after="0" w:line="290" w:lineRule="auto"/>
        <w:tabs>
          <w:tab w:leader="none" w:pos="163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ind w:left="1300"/>
        <w:spacing w:after="0"/>
        <w:rPr>
          <w:sz w:val="20"/>
          <w:szCs w:val="20"/>
          <w:color w:val="auto"/>
        </w:rPr>
      </w:pPr>
      <w:r>
        <w:rPr>
          <w:rFonts w:ascii="Arial" w:cs="Arial" w:eastAsia="Arial" w:hAnsi="Arial"/>
          <w:sz w:val="18"/>
          <w:szCs w:val="18"/>
          <w:b w:val="1"/>
          <w:bCs w:val="1"/>
          <w:color w:val="auto"/>
        </w:rPr>
        <w:t>Section 3. Additional Covenants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jc w:val="both"/>
        <w:ind w:firstLine="656"/>
        <w:spacing w:after="0" w:line="275" w:lineRule="auto"/>
        <w:tabs>
          <w:tab w:leader="none" w:pos="903"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176" w:lineRule="exact"/>
        <w:rPr>
          <w:rFonts w:ascii="Arial" w:cs="Arial" w:eastAsia="Arial" w:hAnsi="Arial"/>
          <w:sz w:val="17"/>
          <w:szCs w:val="17"/>
          <w:b w:val="1"/>
          <w:bCs w:val="1"/>
          <w:color w:val="auto"/>
        </w:rPr>
      </w:pPr>
    </w:p>
    <w:p>
      <w:pPr>
        <w:jc w:val="both"/>
        <w:ind w:firstLine="656"/>
        <w:spacing w:after="0" w:line="270" w:lineRule="auto"/>
        <w:tabs>
          <w:tab w:leader="none" w:pos="913"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0" w:lineRule="exact"/>
        <w:rPr>
          <w:rFonts w:ascii="Arial" w:cs="Arial" w:eastAsia="Arial" w:hAnsi="Arial"/>
          <w:sz w:val="17"/>
          <w:szCs w:val="17"/>
          <w:b w:val="1"/>
          <w:bCs w:val="1"/>
          <w:color w:val="auto"/>
        </w:rPr>
      </w:pPr>
    </w:p>
    <w:p>
      <w:pPr>
        <w:jc w:val="both"/>
        <w:ind w:right="20" w:firstLine="656"/>
        <w:spacing w:after="0" w:line="342" w:lineRule="auto"/>
        <w:tabs>
          <w:tab w:leader="none" w:pos="906"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will not make any offer relating to the Units that constitutes or would constitute a free writing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or a portion thereof required to be filed by the Company with the Commission or retained by the Company under Rule 433 of the Securities Act.</w:t>
      </w:r>
    </w:p>
    <w:p>
      <w:pPr>
        <w:spacing w:after="0" w:line="123" w:lineRule="exact"/>
        <w:rPr>
          <w:rFonts w:ascii="Arial" w:cs="Arial" w:eastAsia="Arial" w:hAnsi="Arial"/>
          <w:sz w:val="16"/>
          <w:szCs w:val="16"/>
          <w:b w:val="1"/>
          <w:bCs w:val="1"/>
          <w:color w:val="auto"/>
        </w:rPr>
      </w:pPr>
    </w:p>
    <w:p>
      <w:pPr>
        <w:jc w:val="both"/>
        <w:ind w:firstLine="656"/>
        <w:spacing w:after="0" w:line="287" w:lineRule="auto"/>
        <w:tabs>
          <w:tab w:leader="none" w:pos="913"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left="920" w:hanging="264"/>
        <w:spacing w:after="0"/>
        <w:tabs>
          <w:tab w:leader="none" w:pos="92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 in</w:t>
      </w:r>
    </w:p>
    <w:p>
      <w:pPr>
        <w:spacing w:after="0" w:line="50" w:lineRule="exact"/>
        <w:rPr>
          <w:rFonts w:ascii="Arial" w:cs="Arial" w:eastAsia="Arial" w:hAnsi="Arial"/>
          <w:sz w:val="16"/>
          <w:szCs w:val="16"/>
          <w:b w:val="1"/>
          <w:bCs w:val="1"/>
          <w:color w:val="auto"/>
        </w:rPr>
      </w:pPr>
    </w:p>
    <w:p>
      <w:pPr>
        <w:jc w:val="both"/>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Units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184" w:lineRule="exact"/>
        <w:rPr>
          <w:rFonts w:ascii="Arial" w:cs="Arial" w:eastAsia="Arial" w:hAnsi="Arial"/>
          <w:sz w:val="16"/>
          <w:szCs w:val="16"/>
          <w:b w:val="1"/>
          <w:bCs w:val="1"/>
          <w:color w:val="auto"/>
        </w:rPr>
      </w:pPr>
    </w:p>
    <w:p>
      <w:pPr>
        <w:jc w:val="both"/>
        <w:ind w:firstLine="656"/>
        <w:spacing w:after="0" w:line="287" w:lineRule="auto"/>
        <w:tabs>
          <w:tab w:leader="none" w:pos="873"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at any time when a prospectus relating to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is required 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163" w:lineRule="exact"/>
        <w:rPr>
          <w:rFonts w:ascii="Arial" w:cs="Arial" w:eastAsia="Arial" w:hAnsi="Arial"/>
          <w:sz w:val="16"/>
          <w:szCs w:val="16"/>
          <w:b w:val="1"/>
          <w:bCs w:val="1"/>
          <w:color w:val="auto"/>
        </w:rPr>
      </w:pPr>
    </w:p>
    <w:p>
      <w:pPr>
        <w:jc w:val="both"/>
        <w:ind w:firstLine="656"/>
        <w:spacing w:after="0" w:line="271" w:lineRule="auto"/>
        <w:tabs>
          <w:tab w:leader="none" w:pos="93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Securities for sale under (or obtain exemptions from the application of)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56"/>
        <w:spacing w:after="0" w:line="266" w:lineRule="auto"/>
        <w:tabs>
          <w:tab w:leader="none" w:pos="91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Securities and the Private Placement Warrants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it in a manner consistent in all material respects with the applications described under the caption “Use of Proceeds” in the Registration Statement, the Time of Sale Prospectus and the Prospectus.</w:t>
      </w:r>
    </w:p>
    <w:p>
      <w:pPr>
        <w:spacing w:after="0" w:line="175" w:lineRule="exact"/>
        <w:rPr>
          <w:rFonts w:ascii="Arial" w:cs="Arial" w:eastAsia="Arial" w:hAnsi="Arial"/>
          <w:sz w:val="18"/>
          <w:szCs w:val="18"/>
          <w:b w:val="1"/>
          <w:bCs w:val="1"/>
          <w:color w:val="auto"/>
        </w:rPr>
      </w:pPr>
    </w:p>
    <w:p>
      <w:pPr>
        <w:jc w:val="both"/>
        <w:ind w:firstLine="656"/>
        <w:spacing w:after="0" w:line="298" w:lineRule="auto"/>
        <w:tabs>
          <w:tab w:leader="none" w:pos="863"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Transfer and Warrant Agent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commencing on the Effective Date and ending at least five years from the date of the consummation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Business Combination or until such earlier time at which the distributions of the Trust Account to the Public Stockholders in connection with the redemption of the shares of Class A Common Stock held by the Public Stockholders pursuant to the terms of the Company’s Amended and Restated Certificate of Incorporation, if the Company fails to consummate a Business Combination (the “</w:t>
      </w:r>
      <w:r>
        <w:rPr>
          <w:rFonts w:ascii="Arial" w:cs="Arial" w:eastAsia="Arial" w:hAnsi="Arial"/>
          <w:sz w:val="16"/>
          <w:szCs w:val="16"/>
          <w:b w:val="1"/>
          <w:bCs w:val="1"/>
          <w:color w:val="auto"/>
        </w:rPr>
        <w:t>Liquidation</w:t>
      </w:r>
      <w:r>
        <w:rPr>
          <w:rFonts w:ascii="Arial" w:cs="Arial" w:eastAsia="Arial" w:hAnsi="Arial"/>
          <w:sz w:val="16"/>
          <w:szCs w:val="16"/>
          <w:color w:val="auto"/>
        </w:rPr>
        <w:t>”) occurs or the shares of Class A Common Stock and Public Warrants cease to be registered under the Exchange Act, the Company shall retain a transfer agent and warrant agent.</w:t>
      </w:r>
    </w:p>
    <w:p>
      <w:pPr>
        <w:spacing w:after="0" w:line="153" w:lineRule="exact"/>
        <w:rPr>
          <w:rFonts w:ascii="Arial" w:cs="Arial" w:eastAsia="Arial" w:hAnsi="Arial"/>
          <w:sz w:val="16"/>
          <w:szCs w:val="16"/>
          <w:b w:val="1"/>
          <w:bCs w:val="1"/>
          <w:color w:val="auto"/>
        </w:rPr>
      </w:pPr>
    </w:p>
    <w:p>
      <w:pPr>
        <w:jc w:val="both"/>
        <w:ind w:firstLine="656"/>
        <w:spacing w:after="0" w:line="261" w:lineRule="auto"/>
        <w:tabs>
          <w:tab w:leader="none" w:pos="88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jc w:val="both"/>
        <w:ind w:firstLine="656"/>
        <w:spacing w:after="0" w:line="294" w:lineRule="auto"/>
        <w:tabs>
          <w:tab w:leader="none" w:pos="926"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163" w:lineRule="exact"/>
        <w:rPr>
          <w:rFonts w:ascii="Arial" w:cs="Arial" w:eastAsia="Arial" w:hAnsi="Arial"/>
          <w:sz w:val="16"/>
          <w:szCs w:val="16"/>
          <w:b w:val="1"/>
          <w:bCs w:val="1"/>
          <w:color w:val="auto"/>
        </w:rPr>
      </w:pPr>
    </w:p>
    <w:p>
      <w:pPr>
        <w:jc w:val="both"/>
        <w:ind w:firstLine="656"/>
        <w:spacing w:after="0" w:line="255" w:lineRule="auto"/>
        <w:tabs>
          <w:tab w:leader="none" w:pos="8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Continued Registration of the Securities of the Company. </w:t>
      </w:r>
      <w:r>
        <w:rPr>
          <w:rFonts w:ascii="Arial" w:cs="Arial" w:eastAsia="Arial" w:hAnsi="Arial"/>
          <w:sz w:val="18"/>
          <w:szCs w:val="18"/>
          <w:color w:val="auto"/>
        </w:rPr>
        <w:t>For a period commencing on the Effective Date and ending at least five years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the consummation of the Business Combination or until such earlier time at which the Liquidation occurs, the Company will use its best efforts to maintain the registration of the Units, shares of Class A Common Stock, and Public Warrants under the provisions of the Exchange Act, except after giving effect to a going private transaction after the completion of a Business Combination. The Company will not deregister the Units, shares of Class A Common Stock or Public Warrants under the Exchange Act (except in connection with a going private transaction after the completion of a Business Combination) without the prior written consent of the Representative.</w:t>
      </w:r>
    </w:p>
    <w:p>
      <w:pPr>
        <w:spacing w:after="0" w:line="188" w:lineRule="exact"/>
        <w:rPr>
          <w:rFonts w:ascii="Arial" w:cs="Arial" w:eastAsia="Arial" w:hAnsi="Arial"/>
          <w:sz w:val="18"/>
          <w:szCs w:val="18"/>
          <w:b w:val="1"/>
          <w:bCs w:val="1"/>
          <w:color w:val="auto"/>
        </w:rPr>
      </w:pPr>
    </w:p>
    <w:p>
      <w:pPr>
        <w:jc w:val="both"/>
        <w:ind w:firstLine="656"/>
        <w:spacing w:after="0" w:line="277" w:lineRule="auto"/>
        <w:tabs>
          <w:tab w:leader="none" w:pos="963"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use commercially reasonable efforts to effect and maintain the listing of (x) the Units and the Public Warrants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for a period commencing on the Effective Date and ending on the date of the consummation of the Business Combination or until such earlier time at which the Liquidation occurs or the Public Warrants cease to be publicly traded, and (y) the Class A Common Stock on Nasdaq for a period commencing on the Effective Date and ending at least five years from the date of the consummation of the initial Business Combination or until such earlier time at which the Liquidation occurs or the shares of Class A Common Stock cease to be publicly traded.</w:t>
      </w:r>
    </w:p>
    <w:p>
      <w:pPr>
        <w:spacing w:after="0" w:line="168" w:lineRule="exact"/>
        <w:rPr>
          <w:sz w:val="20"/>
          <w:szCs w:val="20"/>
          <w:color w:val="auto"/>
        </w:rPr>
      </w:pPr>
    </w:p>
    <w:p>
      <w:pPr>
        <w:jc w:val="both"/>
        <w:ind w:firstLine="656"/>
        <w:spacing w:after="0" w:line="266" w:lineRule="auto"/>
        <w:tabs>
          <w:tab w:leader="none" w:pos="963"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Reservation of Unissued Securities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reserve and keep available that maximum number of its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unissued securities that are issuable upon exercise of any of the Public Warrants and Private Placement Warrants outstanding from time to time and the conversion of the Founder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56"/>
        <w:spacing w:after="0" w:line="254" w:lineRule="auto"/>
        <w:tabs>
          <w:tab w:leader="none" w:pos="913"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Agreement Not to Issue Additional Shares of Class A Common Stock or Warrants</w:t>
      </w:r>
      <w:r>
        <w:rPr>
          <w:rFonts w:ascii="Arial" w:cs="Arial" w:eastAsia="Arial" w:hAnsi="Arial"/>
          <w:sz w:val="18"/>
          <w:szCs w:val="18"/>
          <w:color w:val="auto"/>
        </w:rPr>
        <w:t>. Prior to the consummation of a Business Combination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Liquidation, the Company shall not issue any shares of Class A Common Stock, Public Warrants, Private Placement Warrants or any options or other securities convertible into or exercisable or exchangeable for shares of Class A Common Stock, or any shares of preferred stock, in each case, that would entitle the holders thereof to (i) receive funds from the Trust Account or (ii) vote as a class with the shares of Class A Common Stock (a) on a Business Combination or on any other proposal presented to the Public Stockholders prior to or in connection with the completion of a Business Combination or (b) to approve an amendment to the Amended and Restated Certificate of Incorporation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187" w:lineRule="exact"/>
        <w:rPr>
          <w:rFonts w:ascii="Arial" w:cs="Arial" w:eastAsia="Arial" w:hAnsi="Arial"/>
          <w:sz w:val="18"/>
          <w:szCs w:val="18"/>
          <w:b w:val="1"/>
          <w:bCs w:val="1"/>
          <w:color w:val="auto"/>
        </w:rPr>
      </w:pPr>
    </w:p>
    <w:p>
      <w:pPr>
        <w:jc w:val="both"/>
        <w:ind w:firstLine="656"/>
        <w:spacing w:after="0" w:line="283" w:lineRule="auto"/>
        <w:tabs>
          <w:tab w:leader="none" w:pos="903" w:val="left"/>
        </w:tabs>
        <w:numPr>
          <w:ilvl w:val="1"/>
          <w:numId w:val="12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continuing through and including the 180th day following the date of the Prospectus (such period, as extended as described below, being referred to herein as the “Lock-up Period”),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units, shares of Class A Common Stock, Public Warrants, Private Placement Warrants and their underlying securities or any securities convertible into, or exercisable or exchangeable for, shares of Class A Common Stock or publicly announce an intention to effect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(1) issue and sell the Private Placement Warrants, (2) issue and sell the Optional Securities on exercise of the option provided for in Section 2 hereof,</w:t>
      </w:r>
    </w:p>
    <w:p>
      <w:pPr>
        <w:spacing w:after="0" w:line="7" w:lineRule="exact"/>
        <w:rPr>
          <w:rFonts w:ascii="Arial" w:cs="Arial" w:eastAsia="Arial" w:hAnsi="Arial"/>
          <w:sz w:val="16"/>
          <w:szCs w:val="16"/>
          <w:b w:val="1"/>
          <w:bCs w:val="1"/>
          <w:color w:val="auto"/>
        </w:rPr>
      </w:pPr>
    </w:p>
    <w:p>
      <w:pPr>
        <w:jc w:val="both"/>
        <w:ind w:firstLine="8"/>
        <w:spacing w:after="0" w:line="295" w:lineRule="auto"/>
        <w:tabs>
          <w:tab w:leader="none" w:pos="26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register with the Commission pursuant to the Registration Rights Agreement, in accordance with the terms of the Registration Rights Agreement, the resale of the Founder Shares, the Private Placement Warrants and their underlying securities, the Working Capital Warrants or the Public Warrants and the shares of Class A Common Stock issuable upon exercise of such warrants or Founder Shares and, (4) issue securities in connection with a Business Combination, or (y) release the Sponsor or any officer, director or director nominee from the 180-day lock-up contained in the Insider Letter.</w:t>
      </w:r>
    </w:p>
    <w:p>
      <w:pPr>
        <w:spacing w:after="0" w:line="157" w:lineRule="exact"/>
        <w:rPr>
          <w:rFonts w:ascii="Arial" w:cs="Arial" w:eastAsia="Arial" w:hAnsi="Arial"/>
          <w:sz w:val="16"/>
          <w:szCs w:val="16"/>
          <w:color w:val="auto"/>
        </w:rPr>
      </w:pPr>
    </w:p>
    <w:p>
      <w:pPr>
        <w:jc w:val="both"/>
        <w:ind w:firstLine="656"/>
        <w:spacing w:after="0" w:line="266" w:lineRule="auto"/>
        <w:tabs>
          <w:tab w:leader="none" w:pos="926"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the Private Placement Warrants in such a manner as would require the Company to register as an investment company under the Investment Company Act.</w:t>
      </w:r>
    </w:p>
    <w:p>
      <w:pPr>
        <w:spacing w:after="0" w:line="175" w:lineRule="exact"/>
        <w:rPr>
          <w:rFonts w:ascii="Arial" w:cs="Arial" w:eastAsia="Arial" w:hAnsi="Arial"/>
          <w:sz w:val="18"/>
          <w:szCs w:val="18"/>
          <w:b w:val="1"/>
          <w:bCs w:val="1"/>
          <w:color w:val="auto"/>
        </w:rPr>
      </w:pPr>
    </w:p>
    <w:p>
      <w:pPr>
        <w:jc w:val="both"/>
        <w:ind w:right="20" w:firstLine="656"/>
        <w:spacing w:after="0" w:line="289" w:lineRule="auto"/>
        <w:tabs>
          <w:tab w:leader="none" w:pos="913" w:val="left"/>
        </w:tabs>
        <w:numPr>
          <w:ilvl w:val="1"/>
          <w:numId w:val="12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not take, directly or indirectly, any action designed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56"/>
        <w:spacing w:after="0" w:line="254" w:lineRule="auto"/>
        <w:tabs>
          <w:tab w:leader="none" w:pos="89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File a Current Report on Form 8-K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on or prior to the date hereof, retain its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to audit the balance sheet of the Company as of the First Closing Date (the “</w:t>
      </w:r>
      <w:r>
        <w:rPr>
          <w:rFonts w:ascii="Arial" w:cs="Arial" w:eastAsia="Arial" w:hAnsi="Arial"/>
          <w:sz w:val="18"/>
          <w:szCs w:val="18"/>
          <w:b w:val="1"/>
          <w:bCs w:val="1"/>
          <w:color w:val="auto"/>
        </w:rPr>
        <w:t>Audited Balance Sheet</w:t>
      </w:r>
      <w:r>
        <w:rPr>
          <w:rFonts w:ascii="Arial" w:cs="Arial" w:eastAsia="Arial" w:hAnsi="Arial"/>
          <w:sz w:val="18"/>
          <w:szCs w:val="18"/>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the Closing Form 8-K with the Commission, which report shall contain the Company’s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92" w:lineRule="exact"/>
        <w:rPr>
          <w:rFonts w:ascii="Arial" w:cs="Arial" w:eastAsia="Arial" w:hAnsi="Arial"/>
          <w:sz w:val="18"/>
          <w:szCs w:val="18"/>
          <w:b w:val="1"/>
          <w:bCs w:val="1"/>
          <w:color w:val="auto"/>
        </w:rPr>
      </w:pPr>
    </w:p>
    <w:p>
      <w:pPr>
        <w:jc w:val="both"/>
        <w:ind w:firstLine="656"/>
        <w:spacing w:after="0" w:line="255" w:lineRule="auto"/>
        <w:tabs>
          <w:tab w:leader="none" w:pos="896"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Procure Review of Unaudited Quarterly Financial Statements</w:t>
      </w:r>
      <w:r>
        <w:rPr>
          <w:rFonts w:ascii="Arial" w:cs="Arial" w:eastAsia="Arial" w:hAnsi="Arial"/>
          <w:sz w:val="18"/>
          <w:szCs w:val="18"/>
          <w:color w:val="auto"/>
        </w:rPr>
        <w:t>. For a period commencing on the Effective Date and ending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least five years from the date of the consummation of the Business Combination or until such earlier time at which the Liquidation occurs or the shares of Class A Common Stock and Public Warrants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stockholders.</w:t>
      </w:r>
    </w:p>
    <w:p>
      <w:pPr>
        <w:spacing w:after="0" w:line="192" w:lineRule="exact"/>
        <w:rPr>
          <w:rFonts w:ascii="Arial" w:cs="Arial" w:eastAsia="Arial" w:hAnsi="Arial"/>
          <w:sz w:val="18"/>
          <w:szCs w:val="18"/>
          <w:b w:val="1"/>
          <w:bCs w:val="1"/>
          <w:color w:val="auto"/>
        </w:rPr>
      </w:pPr>
    </w:p>
    <w:p>
      <w:pPr>
        <w:jc w:val="both"/>
        <w:ind w:firstLine="656"/>
        <w:spacing w:after="0" w:line="269" w:lineRule="auto"/>
        <w:tabs>
          <w:tab w:leader="none" w:pos="945"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Future Reports to the Representative. </w:t>
      </w:r>
      <w:r>
        <w:rPr>
          <w:rFonts w:ascii="Arial" w:cs="Arial" w:eastAsia="Arial" w:hAnsi="Arial"/>
          <w:sz w:val="17"/>
          <w:szCs w:val="17"/>
          <w:color w:val="auto"/>
        </w:rPr>
        <w:t>For a period commencing on the Effective Date and ending at least five years from the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consummation of the Business Combination or until such earlier time at which the Liquidation occurs, the Company will furnish to the Representative, c/o Jefferies,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capital stock; and (iv) such additional documents and information with respect to the Company and the affairs of any future subsidiaries of the Company as the Representative may from time to time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requirements of this Section 3(u) shall be satisfied to the extent that such reports, statement, communications, financial statements or other documents are available on EDGAR.</w:t>
      </w:r>
    </w:p>
    <w:p>
      <w:pPr>
        <w:spacing w:after="0" w:line="181" w:lineRule="exact"/>
        <w:rPr>
          <w:rFonts w:ascii="Arial" w:cs="Arial" w:eastAsia="Arial" w:hAnsi="Arial"/>
          <w:sz w:val="17"/>
          <w:szCs w:val="17"/>
          <w:b w:val="1"/>
          <w:bCs w:val="1"/>
          <w:color w:val="auto"/>
        </w:rPr>
      </w:pPr>
    </w:p>
    <w:p>
      <w:pPr>
        <w:jc w:val="both"/>
        <w:ind w:firstLine="656"/>
        <w:spacing w:after="0" w:line="296" w:lineRule="auto"/>
        <w:tabs>
          <w:tab w:leader="none" w:pos="913"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color w:val="auto"/>
        </w:rPr>
        <w:t>. If at any time following the distribution of any Permitted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61" w:lineRule="exact"/>
        <w:rPr>
          <w:rFonts w:ascii="Arial" w:cs="Arial" w:eastAsia="Arial" w:hAnsi="Arial"/>
          <w:sz w:val="16"/>
          <w:szCs w:val="16"/>
          <w:b w:val="1"/>
          <w:bCs w:val="1"/>
          <w:color w:val="auto"/>
        </w:rPr>
      </w:pPr>
    </w:p>
    <w:p>
      <w:pPr>
        <w:jc w:val="both"/>
        <w:ind w:firstLine="656"/>
        <w:spacing w:after="0" w:line="259" w:lineRule="auto"/>
        <w:tabs>
          <w:tab w:leader="none" w:pos="90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The Company will promptly notify the Representative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56"/>
        <w:spacing w:after="0" w:line="254" w:lineRule="auto"/>
        <w:tabs>
          <w:tab w:leader="none" w:pos="943"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Announcement of Release or Waiver of the Transfer Restrictions. </w:t>
      </w:r>
      <w:r>
        <w:rPr>
          <w:rFonts w:ascii="Arial" w:cs="Arial" w:eastAsia="Arial" w:hAnsi="Arial"/>
          <w:sz w:val="18"/>
          <w:szCs w:val="18"/>
          <w:color w:val="auto"/>
        </w:rPr>
        <w:t>If the Representative, in its sole discretion, agrees to release or waive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transfer restrictions set forth in any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A hereto through a major news service at least two business days before the effective date of the release or waiver;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announcement by the Company shall be made of any release or waiver granted solely to permit a transfer of securities that is not for consideration and where the transferee has agreed in writing to be bound by the terms of an Insider Letter.</w:t>
      </w:r>
    </w:p>
    <w:p>
      <w:pPr>
        <w:spacing w:after="0" w:line="190" w:lineRule="exact"/>
        <w:rPr>
          <w:rFonts w:ascii="Arial" w:cs="Arial" w:eastAsia="Arial" w:hAnsi="Arial"/>
          <w:sz w:val="18"/>
          <w:szCs w:val="18"/>
          <w:b w:val="1"/>
          <w:bCs w:val="1"/>
          <w:color w:val="auto"/>
        </w:rPr>
      </w:pPr>
    </w:p>
    <w:p>
      <w:pPr>
        <w:jc w:val="both"/>
        <w:ind w:firstLine="656"/>
        <w:spacing w:after="0" w:line="253" w:lineRule="auto"/>
        <w:tabs>
          <w:tab w:leader="none" w:pos="903"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Business Combination with Affiliates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consummate a Business Combination with any entity that is affiliated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Sponsor or any of 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Section 3(y), an entity will not be deemed an affiliate solely by virtue of ownership by the Sponsor or its affiliates, or any of their or the Company’s executive officers or directors, of less than 10% of its common stock, individually or in the aggregate.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and (ii) may be repaid for loans as described in the Registration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56"/>
        <w:spacing w:after="0" w:line="282" w:lineRule="auto"/>
        <w:tabs>
          <w:tab w:leader="none" w:pos="943" w:val="left"/>
        </w:tabs>
        <w:numPr>
          <w:ilvl w:val="1"/>
          <w:numId w:val="1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Consummation of the Initial Business Combination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may consummate the initial Business Combination and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of the shares of Class A Common Stock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shares of Class A Common Stock held by such stockholder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Private Placement Warrants and (y) any interest earned on the funds held in the Trust Account and not previously released to the Company to pay its income taxes, divided by (B) the total number of shares of Class A Common Stock sold as part of the Units in the Offering (the “</w:t>
      </w:r>
      <w:r>
        <w:rPr>
          <w:rFonts w:ascii="Arial" w:cs="Arial" w:eastAsia="Arial" w:hAnsi="Arial"/>
          <w:sz w:val="16"/>
          <w:szCs w:val="16"/>
          <w:b w:val="1"/>
          <w:bCs w:val="1"/>
          <w:color w:val="auto"/>
        </w:rPr>
        <w:t>Public Shares</w:t>
      </w:r>
      <w:r>
        <w:rPr>
          <w:rFonts w:ascii="Arial" w:cs="Arial" w:eastAsia="Arial" w:hAnsi="Arial"/>
          <w:sz w:val="16"/>
          <w:szCs w:val="16"/>
          <w:color w:val="auto"/>
        </w:rPr>
        <w:t>”) then outstanding. If, however, the Company elects not to file such tender offer documents, a stockholder vote is required by applicable law or stock exchange rule in connection with the initial Business Combination, or the Company decides to hold a stockholder vote for business or other legal reasons, the Company will submit such Business Combination to the Company’s stockholders for their approval (“</w:t>
      </w:r>
      <w:r>
        <w:rPr>
          <w:rFonts w:ascii="Arial" w:cs="Arial" w:eastAsia="Arial" w:hAnsi="Arial"/>
          <w:sz w:val="16"/>
          <w:szCs w:val="16"/>
          <w:b w:val="1"/>
          <w:bCs w:val="1"/>
          <w:color w:val="auto"/>
        </w:rPr>
        <w:t>Business Combination Vote</w:t>
      </w:r>
      <w:r>
        <w:rPr>
          <w:rFonts w:ascii="Arial" w:cs="Arial" w:eastAsia="Arial" w:hAnsi="Arial"/>
          <w:sz w:val="16"/>
          <w:szCs w:val="16"/>
          <w:color w:val="auto"/>
        </w:rPr>
        <w:t>”). With respect to the initial Business Combination Vote, if any, the Sponsor and each of the Company’s directors and officers party to the Insider Letter has agreed to vote all of his, her or its respective Founder Shares and any other shares of Class A Common Stock purchased by him, her or it during or after the Offering in favor of the Company’s initial Business Combination. If the Company seeks stockholder approval of the initial Business Combination, the Company will offer to each Public Stockholder holding shares of Class A Common Stock the right to have such Public Stockholder’s shares of Class A Common Stock redeemed in conjunction with a proxy solicitation pursuant to the proxy rules of the Commission at a per share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Private Placement Warrants and (2) any interest earned on the funds held in the Trust Account and not previously released to the Company to pay its income taxes, divided by (II) the total number of Public Shares then issued and outstanding. If the Company seeks stockholder approval of the initial Business Combination, the Company may proceed with such Business Combination only if a majority of the outstanding shares of common stock, represented in person or by proxy and entitled to vote thereon, voted by the stockholders at a duly held stockholders meeting are voted in favor of such Business Combination. If, after seeking and receiving such stockholder approval, the Company elects to so proceed, it will redeem the shares of Class A Common Stock, at the Redemption Price, from those Public Stockholders who affirmatively requested such redemption. Only Public Stockholders holding shares of Class A Common Stock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capital stock of the Company in connection therewith. In the event that the Company does not effect a Business Combination by 24 months from the closing of the Offering (or such later date as may be approved by the Company’s stockholders), the Company will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Only Public Stockholders holding shares of Class A Common Stock included in the Offered Securities shall be entitled to receive such redemption amounts and the Company shall pay no such redemption amounts or any distributions in liquidation with respect to any other holders or capital stock of the Company. The Sponsor, and the Company’s officers, directors and director nominees will not propose any amendment to the Company’s Amended and Restated Certificate of Incorporation</w:t>
      </w:r>
    </w:p>
    <w:p>
      <w:pPr>
        <w:spacing w:after="0" w:line="11" w:lineRule="exact"/>
        <w:rPr>
          <w:rFonts w:ascii="Arial" w:cs="Arial" w:eastAsia="Arial" w:hAnsi="Arial"/>
          <w:sz w:val="16"/>
          <w:szCs w:val="16"/>
          <w:b w:val="1"/>
          <w:bCs w:val="1"/>
          <w:color w:val="auto"/>
        </w:rPr>
      </w:pPr>
    </w:p>
    <w:p>
      <w:pPr>
        <w:jc w:val="both"/>
        <w:ind w:firstLine="8"/>
        <w:spacing w:after="0" w:line="281" w:lineRule="auto"/>
        <w:tabs>
          <w:tab w:leader="none" w:pos="30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that would modify the substance or timing of the Company’s obligation to redeem 100% of the Public Shares if the Company does not complete its initial Business Combination within 24 months from the closing of the Offering (or such later date as may be approved by the Company’s stockholders) or</w:t>
      </w:r>
    </w:p>
    <w:p>
      <w:pPr>
        <w:spacing w:after="0" w:line="1" w:lineRule="exact"/>
        <w:rPr>
          <w:rFonts w:ascii="Arial" w:cs="Arial" w:eastAsia="Arial" w:hAnsi="Arial"/>
          <w:sz w:val="16"/>
          <w:szCs w:val="16"/>
          <w:color w:val="auto"/>
        </w:rPr>
      </w:pPr>
    </w:p>
    <w:p>
      <w:pPr>
        <w:ind w:firstLine="8"/>
        <w:spacing w:after="0" w:line="260" w:lineRule="auto"/>
        <w:tabs>
          <w:tab w:leader="none" w:pos="2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the shares of Class A Common Stock, unless the Company offers the opportunity to redeem the Public Shares upon approval of any such amendment at the Redemption Price.</w:t>
      </w:r>
    </w:p>
    <w:p>
      <w:pPr>
        <w:spacing w:after="0" w:line="181" w:lineRule="exact"/>
        <w:rPr>
          <w:rFonts w:ascii="Arial" w:cs="Arial" w:eastAsia="Arial" w:hAnsi="Arial"/>
          <w:sz w:val="18"/>
          <w:szCs w:val="18"/>
          <w:color w:val="auto"/>
        </w:rPr>
      </w:pPr>
    </w:p>
    <w:p>
      <w:pPr>
        <w:jc w:val="both"/>
        <w:ind w:firstLine="656"/>
        <w:spacing w:after="0" w:line="255" w:lineRule="auto"/>
        <w:tabs>
          <w:tab w:leader="none" w:pos="919"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of the Consummation of the Initial Business Combination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the Company desires or is required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law or regulation to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56"/>
        <w:spacing w:after="0" w:line="291" w:lineRule="auto"/>
        <w:tabs>
          <w:tab w:leader="none" w:pos="993"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Payment of Deferred Discount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consummation of the initial Business Combination, the Company will pay to the Representative,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stockholders),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59" w:lineRule="exact"/>
        <w:rPr>
          <w:rFonts w:ascii="Arial" w:cs="Arial" w:eastAsia="Arial" w:hAnsi="Arial"/>
          <w:sz w:val="16"/>
          <w:szCs w:val="16"/>
          <w:b w:val="1"/>
          <w:bCs w:val="1"/>
          <w:color w:val="auto"/>
        </w:rPr>
      </w:pPr>
    </w:p>
    <w:p>
      <w:pPr>
        <w:jc w:val="both"/>
        <w:ind w:firstLine="656"/>
        <w:spacing w:after="0" w:line="256" w:lineRule="auto"/>
        <w:tabs>
          <w:tab w:leader="none" w:pos="101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Cancellation of Founder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earlier to occur of the expiration or termination of the Underwriters’ over-allotment option,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cancel or otherwise effect the forfeiture of Founder Shares from the Sponsor in an aggregate amount equal to the number of Founder Shares determined by multiplying (a) 1,312,500 by (b) a fraction, (i) the numerator of which is 5,250,000 minus the number of Optional Securities purchased by the Underwriters upon the exercise of their over-allotment option, and (ii) the denominator of which is 5,250,000. For the avoidance of doubt, if the Underwriters exercise their over-allotment option in full, the Company shall not cancel or otherwise effect the forfeiture of any of the Founder Shares pursuant to this subsection.</w:t>
      </w:r>
    </w:p>
    <w:p>
      <w:pPr>
        <w:spacing w:after="0" w:line="187" w:lineRule="exact"/>
        <w:rPr>
          <w:rFonts w:ascii="Arial" w:cs="Arial" w:eastAsia="Arial" w:hAnsi="Arial"/>
          <w:sz w:val="18"/>
          <w:szCs w:val="18"/>
          <w:b w:val="1"/>
          <w:bCs w:val="1"/>
          <w:color w:val="auto"/>
        </w:rPr>
      </w:pPr>
    </w:p>
    <w:p>
      <w:pPr>
        <w:jc w:val="both"/>
        <w:ind w:firstLine="656"/>
        <w:spacing w:after="0" w:line="289" w:lineRule="auto"/>
        <w:tabs>
          <w:tab w:leader="none" w:pos="972"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Review of All Payments to the Sponsor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consummation of the initial Business Combination or the Liquidation,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will review on a quarterly basis all payments made by the Company to the Sponsor, to the Company’s officers or directors, or to the Company’s or any of such other persons’ respective affiliates.</w:t>
      </w:r>
    </w:p>
    <w:p>
      <w:pPr>
        <w:spacing w:after="0" w:line="157" w:lineRule="exact"/>
        <w:rPr>
          <w:rFonts w:ascii="Arial" w:cs="Arial" w:eastAsia="Arial" w:hAnsi="Arial"/>
          <w:sz w:val="17"/>
          <w:szCs w:val="17"/>
          <w:b w:val="1"/>
          <w:bCs w:val="1"/>
          <w:color w:val="auto"/>
        </w:rPr>
      </w:pPr>
    </w:p>
    <w:p>
      <w:pPr>
        <w:jc w:val="both"/>
        <w:ind w:firstLine="656"/>
        <w:spacing w:after="0" w:line="261" w:lineRule="auto"/>
        <w:tabs>
          <w:tab w:leader="none" w:pos="1026"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“Penny Stock”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agrees that it will use commercially reasonable efforts to prevent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9" w:lineRule="exact"/>
        <w:rPr>
          <w:rFonts w:ascii="Arial" w:cs="Arial" w:eastAsia="Arial" w:hAnsi="Arial"/>
          <w:sz w:val="18"/>
          <w:szCs w:val="18"/>
          <w:b w:val="1"/>
          <w:bCs w:val="1"/>
          <w:color w:val="auto"/>
        </w:rPr>
      </w:pPr>
    </w:p>
    <w:p>
      <w:pPr>
        <w:jc w:val="both"/>
        <w:ind w:firstLine="656"/>
        <w:spacing w:after="0" w:line="294" w:lineRule="auto"/>
        <w:tabs>
          <w:tab w:leader="none" w:pos="986"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Maintenance of Disclosure Controls, Procedures and Internal Accounting Controls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required by Rule 13a-15(e)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9" w:lineRule="exact"/>
        <w:rPr>
          <w:rFonts w:ascii="Arial" w:cs="Arial" w:eastAsia="Arial" w:hAnsi="Arial"/>
          <w:sz w:val="16"/>
          <w:szCs w:val="16"/>
          <w:b w:val="1"/>
          <w:bCs w:val="1"/>
          <w:color w:val="auto"/>
        </w:rPr>
      </w:pPr>
    </w:p>
    <w:p>
      <w:pPr>
        <w:jc w:val="both"/>
        <w:ind w:firstLine="656"/>
        <w:spacing w:after="0" w:line="266" w:lineRule="auto"/>
        <w:tabs>
          <w:tab w:leader="none" w:pos="93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soon as legally required to do so, the Company and its directors and officers, in their capacities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shall take all actions necessary to comply with any provision of the Sarbanes-Oxley Act, including Section 402 related to loans and Sections 302 and 906 related to certifications, and to comply with the Nasdaq Marketplace Rules.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firstLine="656"/>
        <w:spacing w:after="0" w:line="282" w:lineRule="auto"/>
        <w:tabs>
          <w:tab w:leader="none" w:pos="1006"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Organizational Documents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take any action or omit to take any action that would 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be in breach or violation of the Amended and Restated Certificate of Incorporation.</w:t>
      </w:r>
    </w:p>
    <w:p>
      <w:pPr>
        <w:spacing w:after="0" w:line="161" w:lineRule="exact"/>
        <w:rPr>
          <w:rFonts w:ascii="Arial" w:cs="Arial" w:eastAsia="Arial" w:hAnsi="Arial"/>
          <w:sz w:val="18"/>
          <w:szCs w:val="18"/>
          <w:b w:val="1"/>
          <w:bCs w:val="1"/>
          <w:color w:val="auto"/>
        </w:rPr>
      </w:pPr>
    </w:p>
    <w:p>
      <w:pPr>
        <w:jc w:val="both"/>
        <w:ind w:firstLine="656"/>
        <w:spacing w:after="0" w:line="273" w:lineRule="auto"/>
        <w:tabs>
          <w:tab w:leader="none" w:pos="101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Waiver of Interests to the Funds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consummation of the initial Business Combination, the Company will seek to have all vendors,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providers (other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prior to the consummation of the initial Business Combination, the Company’s management will consider whether competitive alternatives are reasonably available and will only enter into an agreement with a third party that has not executed such wavier if the Company’s management believes that such third party’s engagement would be in the best interests of the company under the circumstances.</w:t>
      </w:r>
    </w:p>
    <w:p>
      <w:pPr>
        <w:spacing w:after="0" w:line="171" w:lineRule="exact"/>
        <w:rPr>
          <w:rFonts w:ascii="Arial" w:cs="Arial" w:eastAsia="Arial" w:hAnsi="Arial"/>
          <w:sz w:val="17"/>
          <w:szCs w:val="17"/>
          <w:b w:val="1"/>
          <w:bCs w:val="1"/>
          <w:color w:val="auto"/>
        </w:rPr>
      </w:pPr>
    </w:p>
    <w:p>
      <w:pPr>
        <w:jc w:val="both"/>
        <w:ind w:firstLine="656"/>
        <w:spacing w:after="0" w:line="269" w:lineRule="auto"/>
        <w:tabs>
          <w:tab w:leader="none" w:pos="926"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Maintenance of Funds in the Trust Account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period prior to the Company’s initial Business Combination or Liquidation,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may instruct the trustee under the Trust Agreement to release from the Trust Account funds (i) solely from interest income earned on the funds held in the Trust Account, the amounts necessary to pay taxes and (ii) to Public Stockholders who properly redeem their Public Shares in connection with a vote to approve an amendment to the Amended and Restated Certificate of Incorporation (A) that would modify the substance or timing of the Company’s obligation to redeem 100% of the Public Shares if the Company does not complete its initial Business Combination within 24 months from the closing of the Offering (or such later date as may be approved by the Company’s stockholders) or (B) with respect to any other material provisions relating to the rights of holders of the shares of Class A Common Stock.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1" w:lineRule="exact"/>
        <w:rPr>
          <w:rFonts w:ascii="Arial" w:cs="Arial" w:eastAsia="Arial" w:hAnsi="Arial"/>
          <w:sz w:val="17"/>
          <w:szCs w:val="17"/>
          <w:b w:val="1"/>
          <w:bCs w:val="1"/>
          <w:color w:val="auto"/>
        </w:rPr>
      </w:pPr>
    </w:p>
    <w:p>
      <w:pPr>
        <w:jc w:val="both"/>
        <w:ind w:firstLine="656"/>
        <w:spacing w:after="0" w:line="270" w:lineRule="auto"/>
        <w:tabs>
          <w:tab w:leader="none" w:pos="933"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 and Disclosure of Arrangements Relating to a Business Combination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90 days following the Effective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firstLine="656"/>
        <w:spacing w:after="0" w:line="347" w:lineRule="auto"/>
        <w:tabs>
          <w:tab w:leader="none" w:pos="1026"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Conflict of Interest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advise FINRA, the Representative and its counsel if it is aware that any 5% or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the Company becomes an affiliate or associated person of a member of FINRA participating in the distribution of the Offered Securities.</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6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and the cost of any aircraft and any other transportation chartered in connection with the Road Show with the prior consent of the Company,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Section 5.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jc w:val="both"/>
        <w:ind w:firstLine="656"/>
        <w:spacing w:after="0" w:line="258" w:lineRule="auto"/>
        <w:tabs>
          <w:tab w:leader="none" w:pos="91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 shall have received from Withum, independent registered public accountants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187" w:lineRule="exact"/>
        <w:rPr>
          <w:rFonts w:ascii="Arial" w:cs="Arial" w:eastAsia="Arial" w:hAnsi="Arial"/>
          <w:sz w:val="18"/>
          <w:szCs w:val="18"/>
          <w:b w:val="1"/>
          <w:bCs w:val="1"/>
          <w:color w:val="auto"/>
        </w:rPr>
      </w:pPr>
    </w:p>
    <w:p>
      <w:pPr>
        <w:ind w:left="920" w:hanging="264"/>
        <w:spacing w:after="0"/>
        <w:tabs>
          <w:tab w:leader="none" w:pos="9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53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70" w:lineRule="exact"/>
        <w:rPr>
          <w:rFonts w:ascii="Arial" w:cs="Arial" w:eastAsia="Arial" w:hAnsi="Arial"/>
          <w:sz w:val="18"/>
          <w:szCs w:val="18"/>
          <w:color w:val="auto"/>
        </w:rPr>
      </w:pPr>
    </w:p>
    <w:p>
      <w:pPr>
        <w:ind w:firstLine="1304"/>
        <w:spacing w:after="0" w:line="277" w:lineRule="auto"/>
        <w:tabs>
          <w:tab w:leader="none" w:pos="159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Prevention or Suspension. </w:t>
      </w:r>
      <w:r>
        <w:rPr>
          <w:rFonts w:ascii="Arial" w:cs="Arial" w:eastAsia="Arial" w:hAnsi="Arial"/>
          <w:sz w:val="18"/>
          <w:szCs w:val="18"/>
          <w:color w:val="auto"/>
        </w:rPr>
        <w:t>No order preventing or suspending the sale of the Units in any jurisdiction designated by the Representative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Section 3(g) hereof shall have been issued as of the First Closing Date and each Option Closing Date, and no proceedings for that purpose shall have been instituted or shall have been threatened.</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913"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Effect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period from and after the date of this Agreement and through and including the First Closing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Optional Securities purchased after the First Closing Date, each Option Closing Date, in the judgment of the Representative, there shall not have been any Material Adverse Effect.</w:t>
      </w:r>
    </w:p>
    <w:p>
      <w:pPr>
        <w:spacing w:after="0" w:line="175" w:lineRule="exact"/>
        <w:rPr>
          <w:rFonts w:ascii="Arial" w:cs="Arial" w:eastAsia="Arial" w:hAnsi="Arial"/>
          <w:sz w:val="18"/>
          <w:szCs w:val="18"/>
          <w:b w:val="1"/>
          <w:bCs w:val="1"/>
          <w:color w:val="auto"/>
        </w:rPr>
      </w:pPr>
    </w:p>
    <w:p>
      <w:pPr>
        <w:ind w:firstLine="656"/>
        <w:spacing w:after="0" w:line="347" w:lineRule="auto"/>
        <w:tabs>
          <w:tab w:leader="none" w:pos="892"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 shall have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opinion of White &amp; Case LLP, U.S. counsel for the Company, dated as of such date, in form and substance satisfactory to the Representative.</w:t>
      </w:r>
    </w:p>
    <w:p>
      <w:pPr>
        <w:spacing w:after="0" w:line="115" w:lineRule="exact"/>
        <w:rPr>
          <w:rFonts w:ascii="Arial" w:cs="Arial" w:eastAsia="Arial" w:hAnsi="Arial"/>
          <w:sz w:val="16"/>
          <w:szCs w:val="16"/>
          <w:b w:val="1"/>
          <w:bCs w:val="1"/>
          <w:color w:val="auto"/>
        </w:rPr>
      </w:pPr>
    </w:p>
    <w:p>
      <w:pPr>
        <w:jc w:val="both"/>
        <w:ind w:firstLine="656"/>
        <w:spacing w:after="0" w:line="261" w:lineRule="auto"/>
        <w:tabs>
          <w:tab w:leader="none" w:pos="88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Skadden, Arps, Slate, Meagher &amp; Flom LLP, counsel for the Underwriters in connection with the offer and sale of the Offered Securities, in form and substance satisfactory to the Representative, dated as of such date, with executed copies for each of the other Underwriters named on the Prospectus cover page.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56"/>
        <w:spacing w:after="0" w:line="266" w:lineRule="auto"/>
        <w:tabs>
          <w:tab w:leader="none" w:pos="91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and the Chief Financial Officer of the Company, dated as of such date, to the effect set forth in Section 5(b)(ii) and further to the effect that:</w:t>
      </w:r>
    </w:p>
    <w:p>
      <w:pPr>
        <w:spacing w:after="0" w:line="179" w:lineRule="exact"/>
        <w:rPr>
          <w:rFonts w:ascii="Arial" w:cs="Arial" w:eastAsia="Arial" w:hAnsi="Arial"/>
          <w:sz w:val="18"/>
          <w:szCs w:val="18"/>
          <w:b w:val="1"/>
          <w:bCs w:val="1"/>
          <w:color w:val="auto"/>
        </w:rPr>
      </w:pPr>
    </w:p>
    <w:p>
      <w:pPr>
        <w:ind w:left="1540" w:hanging="236"/>
        <w:spacing w:after="0"/>
        <w:tabs>
          <w:tab w:leader="none" w:pos="15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been no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firstLine="1304"/>
        <w:spacing w:after="0" w:line="277" w:lineRule="auto"/>
        <w:tabs>
          <w:tab w:leader="none" w:pos="157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firstLine="1304"/>
        <w:spacing w:after="0" w:line="277" w:lineRule="auto"/>
        <w:tabs>
          <w:tab w:leader="none" w:pos="161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913"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Secretary’s Certificate</w:t>
      </w:r>
      <w:r>
        <w:rPr>
          <w:rFonts w:ascii="Arial" w:cs="Arial" w:eastAsia="Arial" w:hAnsi="Arial"/>
          <w:sz w:val="16"/>
          <w:szCs w:val="16"/>
          <w:color w:val="auto"/>
        </w:rPr>
        <w:t>The Company shall have furnished to the Representative a certificate signed by the Secretary or Assistant Secretary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dated the First Closing Date and each Option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57" w:lineRule="exact"/>
        <w:rPr>
          <w:rFonts w:ascii="Arial" w:cs="Arial" w:eastAsia="Arial" w:hAnsi="Arial"/>
          <w:sz w:val="16"/>
          <w:szCs w:val="16"/>
          <w:b w:val="1"/>
          <w:bCs w:val="1"/>
          <w:color w:val="auto"/>
        </w:rPr>
      </w:pPr>
    </w:p>
    <w:p>
      <w:pPr>
        <w:jc w:val="both"/>
        <w:ind w:firstLine="656"/>
        <w:spacing w:after="0" w:line="277" w:lineRule="auto"/>
        <w:tabs>
          <w:tab w:leader="none" w:pos="876"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 shall have received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71" w:lineRule="exact"/>
        <w:rPr>
          <w:rFonts w:ascii="Arial" w:cs="Arial" w:eastAsia="Arial" w:hAnsi="Arial"/>
          <w:sz w:val="17"/>
          <w:szCs w:val="17"/>
          <w:b w:val="1"/>
          <w:bCs w:val="1"/>
          <w:color w:val="auto"/>
        </w:rPr>
      </w:pPr>
    </w:p>
    <w:p>
      <w:pPr>
        <w:jc w:val="both"/>
        <w:ind w:firstLine="656"/>
        <w:spacing w:after="0" w:line="273" w:lineRule="auto"/>
        <w:tabs>
          <w:tab w:leader="none" w:pos="873"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Transactional Documents</w:t>
      </w:r>
      <w:r>
        <w:rPr>
          <w:rFonts w:ascii="Arial" w:cs="Arial" w:eastAsia="Arial" w:hAnsi="Arial"/>
          <w:sz w:val="17"/>
          <w:szCs w:val="17"/>
          <w:color w:val="auto"/>
        </w:rPr>
        <w:t>. On or prior to the First Closing Date, the Company shall have delivered to the Representative executed copies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Trust Agreement, the Warrant Agreement, the Subscription Agreement, the Private Placement Warrants Purchase Agreement, the Forward Purchase Agreements, the Insider Letter, and the Registration Rights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73" w:lineRule="exact"/>
        <w:rPr>
          <w:rFonts w:ascii="Arial" w:cs="Arial" w:eastAsia="Arial" w:hAnsi="Arial"/>
          <w:sz w:val="17"/>
          <w:szCs w:val="17"/>
          <w:b w:val="1"/>
          <w:bCs w:val="1"/>
          <w:color w:val="auto"/>
        </w:rPr>
      </w:pPr>
    </w:p>
    <w:p>
      <w:pPr>
        <w:jc w:val="both"/>
        <w:ind w:firstLine="656"/>
        <w:spacing w:after="0" w:line="258" w:lineRule="auto"/>
        <w:tabs>
          <w:tab w:leader="none" w:pos="913"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Deposit to the Trust Account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(at least one business day prior to the First Closing Date and each Option Closing Date),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caused proceeds from the sale of the Private Placement Warrants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Units issued and the public offering price per Unit as set forth on the cover of the Prospectus.</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03"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9" w:lineRule="exact"/>
        <w:rPr>
          <w:rFonts w:ascii="Arial" w:cs="Arial" w:eastAsia="Arial" w:hAnsi="Arial"/>
          <w:sz w:val="18"/>
          <w:szCs w:val="18"/>
          <w:b w:val="1"/>
          <w:bCs w:val="1"/>
          <w:color w:val="auto"/>
        </w:rPr>
      </w:pPr>
    </w:p>
    <w:p>
      <w:pPr>
        <w:ind w:firstLine="656"/>
        <w:spacing w:after="0" w:line="277" w:lineRule="auto"/>
        <w:tabs>
          <w:tab w:leader="none" w:pos="963"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Securities shall have been approved for listing on Nasdaq, subject only to official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issuance.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56"/>
        <w:spacing w:after="0" w:line="273" w:lineRule="auto"/>
        <w:tabs>
          <w:tab w:leader="none" w:pos="926"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 and counsel for the Underwriters.</w:t>
      </w:r>
    </w:p>
    <w:p>
      <w:pPr>
        <w:spacing w:after="0" w:line="17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6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Section 6. Reimbursement of Underwriters’ Expenses</w:t>
      </w:r>
      <w:r>
        <w:rPr>
          <w:rFonts w:ascii="Arial" w:cs="Arial" w:eastAsia="Arial" w:hAnsi="Arial"/>
          <w:sz w:val="17"/>
          <w:szCs w:val="17"/>
          <w:color w:val="auto"/>
        </w:rPr>
        <w:t>. If this Agreement is terminated by the Representative pursuant to 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Section 7. Effectiveness of this Agreement</w:t>
      </w:r>
      <w:r>
        <w:rPr>
          <w:rFonts w:ascii="Arial" w:cs="Arial" w:eastAsia="Arial" w:hAnsi="Arial"/>
          <w:sz w:val="16"/>
          <w:szCs w:val="16"/>
          <w:color w:val="auto"/>
        </w:rPr>
        <w:t>. This Agreement shall become effective upon the execution and delivery hereof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1300"/>
        <w:spacing w:after="0"/>
        <w:rPr>
          <w:sz w:val="20"/>
          <w:szCs w:val="20"/>
          <w:color w:val="auto"/>
        </w:rPr>
      </w:pPr>
      <w:r>
        <w:rPr>
          <w:rFonts w:ascii="Arial" w:cs="Arial" w:eastAsia="Arial" w:hAnsi="Arial"/>
          <w:sz w:val="18"/>
          <w:szCs w:val="18"/>
          <w:b w:val="1"/>
          <w:bCs w:val="1"/>
          <w:color w:val="auto"/>
        </w:rPr>
        <w:t>Section 8.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903"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98" w:lineRule="exact"/>
        <w:rPr>
          <w:rFonts w:ascii="Arial" w:cs="Arial" w:eastAsia="Arial" w:hAnsi="Arial"/>
          <w:sz w:val="16"/>
          <w:szCs w:val="16"/>
          <w:b w:val="1"/>
          <w:bCs w:val="1"/>
          <w:color w:val="auto"/>
        </w:rPr>
      </w:pPr>
    </w:p>
    <w:p>
      <w:pPr>
        <w:jc w:val="both"/>
        <w:ind w:firstLine="656"/>
        <w:spacing w:after="0" w:line="284" w:lineRule="auto"/>
        <w:tabs>
          <w:tab w:leader="none" w:pos="94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56"/>
        <w:spacing w:after="0" w:line="284" w:lineRule="auto"/>
        <w:tabs>
          <w:tab w:leader="none" w:pos="906"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8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92" w:lineRule="exact"/>
        <w:rPr>
          <w:rFonts w:ascii="Arial" w:cs="Arial" w:eastAsia="Arial" w:hAnsi="Arial"/>
          <w:sz w:val="16"/>
          <w:szCs w:val="16"/>
          <w:b w:val="1"/>
          <w:bCs w:val="1"/>
          <w:color w:val="auto"/>
        </w:rPr>
      </w:pPr>
    </w:p>
    <w:p>
      <w:pPr>
        <w:jc w:val="both"/>
        <w:ind w:firstLine="656"/>
        <w:spacing w:after="0" w:line="287" w:lineRule="auto"/>
        <w:tabs>
          <w:tab w:leader="none" w:pos="913"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8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60 days after receipt by such indemnifying party of the aforesaid request, (ii) such indemnifying party shall have reasonable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1296"/>
        <w:spacing w:after="0" w:line="286" w:lineRule="auto"/>
        <w:rPr>
          <w:sz w:val="20"/>
          <w:szCs w:val="20"/>
          <w:color w:val="auto"/>
        </w:rPr>
      </w:pPr>
      <w:r>
        <w:rPr>
          <w:rFonts w:ascii="Arial" w:cs="Arial" w:eastAsia="Arial" w:hAnsi="Arial"/>
          <w:sz w:val="16"/>
          <w:szCs w:val="16"/>
          <w:b w:val="1"/>
          <w:bCs w:val="1"/>
          <w:color w:val="auto"/>
        </w:rPr>
        <w:t>Section 9. Contribution</w:t>
      </w:r>
      <w:r>
        <w:rPr>
          <w:rFonts w:ascii="Arial" w:cs="Arial" w:eastAsia="Arial" w:hAnsi="Arial"/>
          <w:sz w:val="16"/>
          <w:szCs w:val="16"/>
          <w:color w:val="auto"/>
        </w:rPr>
        <w:t>. If the indemnification provided for in Section 8 is 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additional notice shall be required with respect to any action for which notice has been given under Section 8(c) for purposes of indemnification.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1296"/>
        <w:spacing w:after="0" w:line="286" w:lineRule="auto"/>
        <w:rPr>
          <w:sz w:val="20"/>
          <w:szCs w:val="20"/>
          <w:color w:val="auto"/>
        </w:rPr>
      </w:pPr>
      <w:r>
        <w:rPr>
          <w:rFonts w:ascii="Arial" w:cs="Arial" w:eastAsia="Arial" w:hAnsi="Arial"/>
          <w:sz w:val="16"/>
          <w:szCs w:val="16"/>
          <w:b w:val="1"/>
          <w:bCs w:val="1"/>
          <w:color w:val="auto"/>
        </w:rPr>
        <w:t>Section 10.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Section 11.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Securities by the Underwriters on the First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may be terminated by the Representative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 there shall have been any Material Adverse Effect;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8 and Section 9 shall at all times be effective and shall survive such termination.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Section 12.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Section 13. 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68"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Section 14. Notices</w:t>
      </w:r>
      <w:r>
        <w:rPr>
          <w:rFonts w:ascii="Arial" w:cs="Arial" w:eastAsia="Arial" w:hAnsi="Arial"/>
          <w:sz w:val="18"/>
          <w:szCs w:val="18"/>
          <w:color w:val="auto"/>
        </w:rPr>
        <w:t>. All communications hereunder shall be in writing and shall be mailed, hand delivered or telecopied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parties hereto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ind w:left="660"/>
              <w:spacing w:after="0"/>
              <w:rPr>
                <w:sz w:val="20"/>
                <w:szCs w:val="20"/>
                <w:color w:val="auto"/>
              </w:rPr>
            </w:pPr>
            <w:r>
              <w:rPr>
                <w:rFonts w:ascii="Arial" w:cs="Arial" w:eastAsia="Arial" w:hAnsi="Arial"/>
                <w:sz w:val="18"/>
                <w:szCs w:val="18"/>
                <w:color w:val="auto"/>
              </w:rPr>
              <w:t>If to the Representative:</w:t>
            </w:r>
          </w:p>
        </w:tc>
        <w:tc>
          <w:tcPr>
            <w:tcW w:w="8600" w:type="dxa"/>
            <w:vAlign w:val="bottom"/>
          </w:tcPr>
          <w:p>
            <w:pPr>
              <w:ind w:left="260"/>
              <w:spacing w:after="0"/>
              <w:rPr>
                <w:sz w:val="20"/>
                <w:szCs w:val="20"/>
                <w:color w:val="auto"/>
              </w:rPr>
            </w:pPr>
            <w:r>
              <w:rPr>
                <w:rFonts w:ascii="Arial" w:cs="Arial" w:eastAsia="Arial" w:hAnsi="Arial"/>
                <w:sz w:val="18"/>
                <w:szCs w:val="18"/>
                <w:color w:val="auto"/>
              </w:rPr>
              <w:t>Jefferies LLC</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520 Madison Avenue</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New York, New York 10022</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Facsimile: (646) 619-4437</w:t>
            </w:r>
          </w:p>
        </w:tc>
      </w:tr>
      <w:tr>
        <w:trPr>
          <w:trHeight w:val="230"/>
        </w:trPr>
        <w:tc>
          <w:tcPr>
            <w:tcW w:w="2640" w:type="dxa"/>
            <w:vAlign w:val="bottom"/>
          </w:tcPr>
          <w:p>
            <w:pPr>
              <w:spacing w:after="0"/>
              <w:rPr>
                <w:sz w:val="20"/>
                <w:szCs w:val="20"/>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Attention: General Counsel</w:t>
            </w:r>
          </w:p>
        </w:tc>
      </w:tr>
      <w:tr>
        <w:trPr>
          <w:trHeight w:val="634"/>
        </w:trPr>
        <w:tc>
          <w:tcPr>
            <w:tcW w:w="264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8600" w:type="dxa"/>
            <w:vAlign w:val="bottom"/>
          </w:tcPr>
          <w:p>
            <w:pPr>
              <w:ind w:left="260"/>
              <w:spacing w:after="0"/>
              <w:rPr>
                <w:sz w:val="20"/>
                <w:szCs w:val="20"/>
                <w:color w:val="auto"/>
              </w:rPr>
            </w:pPr>
            <w:r>
              <w:rPr>
                <w:rFonts w:ascii="Arial" w:cs="Arial" w:eastAsia="Arial" w:hAnsi="Arial"/>
                <w:sz w:val="18"/>
                <w:szCs w:val="18"/>
                <w:color w:val="auto"/>
              </w:rPr>
              <w:t>Skadden, Arps, Slate, Meagher &amp; Flom LLP</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525 University Avenue, Suite 1400</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Palo Alto, California 94301</w:t>
            </w:r>
          </w:p>
        </w:tc>
      </w:tr>
      <w:tr>
        <w:trPr>
          <w:trHeight w:val="216"/>
        </w:trPr>
        <w:tc>
          <w:tcPr>
            <w:tcW w:w="2640" w:type="dxa"/>
            <w:vAlign w:val="bottom"/>
          </w:tcPr>
          <w:p>
            <w:pPr>
              <w:spacing w:after="0"/>
              <w:rPr>
                <w:sz w:val="18"/>
                <w:szCs w:val="18"/>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Facsimile: (650) 470-4570</w:t>
            </w:r>
          </w:p>
        </w:tc>
      </w:tr>
      <w:tr>
        <w:trPr>
          <w:trHeight w:val="230"/>
        </w:trPr>
        <w:tc>
          <w:tcPr>
            <w:tcW w:w="2640" w:type="dxa"/>
            <w:vAlign w:val="bottom"/>
          </w:tcPr>
          <w:p>
            <w:pPr>
              <w:spacing w:after="0"/>
              <w:rPr>
                <w:sz w:val="20"/>
                <w:szCs w:val="20"/>
                <w:color w:val="auto"/>
              </w:rPr>
            </w:pPr>
          </w:p>
        </w:tc>
        <w:tc>
          <w:tcPr>
            <w:tcW w:w="8600" w:type="dxa"/>
            <w:vAlign w:val="bottom"/>
          </w:tcPr>
          <w:p>
            <w:pPr>
              <w:ind w:left="260"/>
              <w:spacing w:after="0"/>
              <w:rPr>
                <w:sz w:val="20"/>
                <w:szCs w:val="20"/>
                <w:color w:val="auto"/>
              </w:rPr>
            </w:pPr>
            <w:r>
              <w:rPr>
                <w:rFonts w:ascii="Arial" w:cs="Arial" w:eastAsia="Arial" w:hAnsi="Arial"/>
                <w:sz w:val="18"/>
                <w:szCs w:val="18"/>
                <w:color w:val="auto"/>
              </w:rPr>
              <w:t>Attention: Gregg A. Noel and Michael J. Mies</w:t>
            </w:r>
          </w:p>
        </w:tc>
      </w:tr>
      <w:tr>
        <w:trPr>
          <w:trHeight w:val="655"/>
        </w:trPr>
        <w:tc>
          <w:tcPr>
            <w:tcW w:w="26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290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904" w:right="339" w:bottom="1440" w:gutter="0" w:footer="0" w:header="0"/>
        </w:sectPr>
      </w:pPr>
    </w:p>
    <w:bookmarkStart w:id="212" w:name="page213"/>
    <w:bookmarkEnd w:id="212"/>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If to the Company:</w:t>
            </w:r>
          </w:p>
        </w:tc>
        <w:tc>
          <w:tcPr>
            <w:tcW w:w="4180" w:type="dxa"/>
            <w:vAlign w:val="bottom"/>
          </w:tcPr>
          <w:p>
            <w:pPr>
              <w:ind w:left="440"/>
              <w:spacing w:after="0"/>
              <w:rPr>
                <w:sz w:val="20"/>
                <w:szCs w:val="20"/>
                <w:color w:val="auto"/>
              </w:rPr>
            </w:pPr>
            <w:r>
              <w:rPr>
                <w:rFonts w:ascii="Arial" w:cs="Arial" w:eastAsia="Arial" w:hAnsi="Arial"/>
                <w:sz w:val="18"/>
                <w:szCs w:val="18"/>
                <w:color w:val="auto"/>
              </w:rPr>
              <w:t>CM Life Sciences, Inc.</w:t>
            </w:r>
          </w:p>
        </w:tc>
      </w:tr>
      <w:tr>
        <w:trPr>
          <w:trHeight w:val="216"/>
        </w:trPr>
        <w:tc>
          <w:tcPr>
            <w:tcW w:w="180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667 Madison Avenue</w:t>
            </w:r>
          </w:p>
        </w:tc>
      </w:tr>
      <w:tr>
        <w:trPr>
          <w:trHeight w:val="216"/>
        </w:trPr>
        <w:tc>
          <w:tcPr>
            <w:tcW w:w="180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New York, New York 10065</w:t>
            </w:r>
          </w:p>
        </w:tc>
      </w:tr>
      <w:tr>
        <w:trPr>
          <w:trHeight w:val="257"/>
        </w:trPr>
        <w:tc>
          <w:tcPr>
            <w:tcW w:w="1800" w:type="dxa"/>
            <w:vAlign w:val="bottom"/>
          </w:tcPr>
          <w:p>
            <w:pPr>
              <w:spacing w:after="0"/>
              <w:rPr>
                <w:sz w:val="22"/>
                <w:szCs w:val="22"/>
                <w:color w:val="auto"/>
              </w:rPr>
            </w:pPr>
          </w:p>
        </w:tc>
        <w:tc>
          <w:tcPr>
            <w:tcW w:w="4180" w:type="dxa"/>
            <w:vAlign w:val="bottom"/>
          </w:tcPr>
          <w:p>
            <w:pPr>
              <w:ind w:left="440"/>
              <w:spacing w:after="0" w:line="256" w:lineRule="exact"/>
              <w:rPr>
                <w:sz w:val="20"/>
                <w:szCs w:val="20"/>
                <w:color w:val="auto"/>
              </w:rPr>
            </w:pPr>
            <w:r>
              <w:rPr>
                <w:rFonts w:ascii="Arial" w:cs="Arial" w:eastAsia="Arial" w:hAnsi="Arial"/>
                <w:sz w:val="18"/>
                <w:szCs w:val="18"/>
                <w:color w:val="auto"/>
              </w:rPr>
              <w:t>Facsimile: [●]</w:t>
            </w:r>
            <w:r>
              <w:rPr>
                <w:rFonts w:ascii="Arial" w:cs="Arial" w:eastAsia="Arial" w:hAnsi="Arial"/>
                <w:sz w:val="29"/>
                <w:szCs w:val="29"/>
                <w:b w:val="1"/>
                <w:bCs w:val="1"/>
                <w:color w:val="auto"/>
                <w:vertAlign w:val="superscript"/>
              </w:rPr>
              <w:t>1</w:t>
            </w:r>
          </w:p>
        </w:tc>
      </w:tr>
      <w:tr>
        <w:trPr>
          <w:trHeight w:val="230"/>
        </w:trPr>
        <w:tc>
          <w:tcPr>
            <w:tcW w:w="1800" w:type="dxa"/>
            <w:vAlign w:val="bottom"/>
          </w:tcPr>
          <w:p>
            <w:pPr>
              <w:spacing w:after="0"/>
              <w:rPr>
                <w:sz w:val="20"/>
                <w:szCs w:val="20"/>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Attention: Eli Casdin and Keith Meister</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with a copy to:</w:t>
            </w:r>
          </w:p>
        </w:tc>
        <w:tc>
          <w:tcPr>
            <w:tcW w:w="4180" w:type="dxa"/>
            <w:vAlign w:val="bottom"/>
          </w:tcPr>
          <w:p>
            <w:pPr>
              <w:ind w:left="440"/>
              <w:spacing w:after="0"/>
              <w:rPr>
                <w:sz w:val="20"/>
                <w:szCs w:val="20"/>
                <w:color w:val="auto"/>
              </w:rPr>
            </w:pPr>
            <w:r>
              <w:rPr>
                <w:rFonts w:ascii="Arial" w:cs="Arial" w:eastAsia="Arial" w:hAnsi="Arial"/>
                <w:sz w:val="18"/>
                <w:szCs w:val="18"/>
                <w:color w:val="auto"/>
              </w:rPr>
              <w:t>White &amp; Case LLP</w:t>
            </w:r>
          </w:p>
        </w:tc>
      </w:tr>
      <w:tr>
        <w:trPr>
          <w:trHeight w:val="216"/>
        </w:trPr>
        <w:tc>
          <w:tcPr>
            <w:tcW w:w="180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1221 Avenue of the Americas</w:t>
            </w:r>
          </w:p>
        </w:tc>
      </w:tr>
      <w:tr>
        <w:trPr>
          <w:trHeight w:val="216"/>
        </w:trPr>
        <w:tc>
          <w:tcPr>
            <w:tcW w:w="180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New York, New York 10020</w:t>
            </w:r>
          </w:p>
        </w:tc>
      </w:tr>
      <w:tr>
        <w:trPr>
          <w:trHeight w:val="216"/>
        </w:trPr>
        <w:tc>
          <w:tcPr>
            <w:tcW w:w="180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Facsimile: (212) 354-8113</w:t>
            </w:r>
          </w:p>
        </w:tc>
      </w:tr>
      <w:tr>
        <w:trPr>
          <w:trHeight w:val="230"/>
        </w:trPr>
        <w:tc>
          <w:tcPr>
            <w:tcW w:w="1800" w:type="dxa"/>
            <w:vAlign w:val="bottom"/>
          </w:tcPr>
          <w:p>
            <w:pPr>
              <w:spacing w:after="0"/>
              <w:rPr>
                <w:sz w:val="20"/>
                <w:szCs w:val="20"/>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w w:val="91"/>
              </w:rPr>
              <w:t>Attention: Joel L. Rubenstein and Colin J. Diamond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Section 15. 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Securities as such from any of the Underwriters merely by reason of such purchase.</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Section 16.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17. Recognition of the U.S. Special Resolution Regimes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0"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30"/>
          <w:szCs w:val="30"/>
          <w:b w:val="1"/>
          <w:bCs w:val="1"/>
          <w:color w:val="auto"/>
          <w:vertAlign w:val="superscript"/>
        </w:rPr>
      </w:pPr>
      <w:r>
        <w:rPr>
          <w:rFonts w:ascii="Arial" w:cs="Arial" w:eastAsia="Arial" w:hAnsi="Arial"/>
          <w:sz w:val="18"/>
          <w:szCs w:val="18"/>
          <w:u w:val="single" w:color="auto"/>
          <w:color w:val="auto"/>
        </w:rPr>
        <w:t>NTD</w:t>
      </w:r>
      <w:r>
        <w:rPr>
          <w:rFonts w:ascii="Arial" w:cs="Arial" w:eastAsia="Arial" w:hAnsi="Arial"/>
          <w:sz w:val="18"/>
          <w:szCs w:val="18"/>
          <w:color w:val="auto"/>
        </w:rPr>
        <w:t>: To be provided by Company Counsel.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296"/>
        <w:spacing w:after="0" w:line="270" w:lineRule="auto"/>
        <w:rPr>
          <w:sz w:val="20"/>
          <w:szCs w:val="20"/>
          <w:color w:val="auto"/>
        </w:rPr>
      </w:pPr>
      <w:r>
        <w:rPr>
          <w:rFonts w:ascii="Arial" w:cs="Arial" w:eastAsia="Arial" w:hAnsi="Arial"/>
          <w:sz w:val="17"/>
          <w:szCs w:val="17"/>
          <w:b w:val="1"/>
          <w:bCs w:val="1"/>
          <w:color w:val="auto"/>
        </w:rPr>
        <w:t>Section 18. Governing Law Provisions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internal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Eli Casdin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Tina Pappas</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left="10380"/>
        <w:spacing w:after="0"/>
        <w:rPr>
          <w:sz w:val="20"/>
          <w:szCs w:val="20"/>
          <w:color w:val="auto"/>
        </w:rPr>
      </w:pPr>
      <w:r>
        <w:rPr>
          <w:rFonts w:ascii="Arial" w:cs="Arial" w:eastAsia="Arial" w:hAnsi="Arial"/>
          <w:sz w:val="15"/>
          <w:szCs w:val="15"/>
          <w:b w:val="1"/>
          <w:bCs w:val="1"/>
          <w:color w:val="auto"/>
        </w:rPr>
        <w:t>Schedule A</w:t>
      </w:r>
    </w:p>
    <w:p>
      <w:pPr>
        <w:spacing w:after="0" w:line="260"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left="9780"/>
        <w:spacing w:after="0"/>
        <w:rPr>
          <w:sz w:val="20"/>
          <w:szCs w:val="20"/>
          <w:color w:val="auto"/>
        </w:rPr>
      </w:pPr>
      <w:r>
        <w:rPr>
          <w:rFonts w:ascii="Arial" w:cs="Arial" w:eastAsia="Arial" w:hAnsi="Arial"/>
          <w:sz w:val="18"/>
          <w:szCs w:val="18"/>
          <w:b w:val="1"/>
          <w:bCs w:val="1"/>
          <w:color w:val="auto"/>
        </w:rPr>
        <w:t>Firm Securities</w:t>
      </w:r>
    </w:p>
    <w:p>
      <w:pPr>
        <w:spacing w:after="0" w:line="9"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Underwriters </w:t>
      </w:r>
      <w:r>
        <w:rPr>
          <w:rFonts w:ascii="Arial" w:cs="Arial" w:eastAsia="Arial" w:hAnsi="Arial"/>
          <w:sz w:val="18"/>
          <w:szCs w:val="18"/>
          <w:b w:val="1"/>
          <w:bCs w:val="1"/>
          <w:u w:val="single" w:color="auto"/>
          <w:color w:val="auto"/>
        </w:rPr>
        <w:t>to be Purchased</w:t>
      </w:r>
      <w:r>
        <w:rPr>
          <w:rFonts w:ascii="Arial" w:cs="Arial" w:eastAsia="Arial" w:hAnsi="Arial"/>
          <w:sz w:val="18"/>
          <w:szCs w:val="18"/>
          <w:b w:val="1"/>
          <w:bCs w:val="1"/>
          <w:color w:val="auto"/>
        </w:rPr>
        <w:t xml:space="preserve"> </w:t>
      </w: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r>
      <w:tr>
        <w:trPr>
          <w:trHeight w:val="21"/>
        </w:trPr>
        <w:tc>
          <w:tcPr>
            <w:tcW w:w="9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9"/>
        </w:trPr>
        <w:tc>
          <w:tcPr>
            <w:tcW w:w="9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Time of Delivery Information</w:t>
      </w:r>
    </w:p>
    <w:p>
      <w:pPr>
        <w:spacing w:after="0" w:line="229" w:lineRule="exact"/>
        <w:rPr>
          <w:sz w:val="20"/>
          <w:szCs w:val="20"/>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Public offering price per unit: $10.00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Number of units offered: 35,000,000 (plus an additional 5,250,000 units subject to the underwriters’ over-allotment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CM Life Sciences, Inc. (the “Company”) announced today that Jefferies LLC, the sole book-running manager and Representative of the underwriters in the Company’s recent public sale of 35,000,000 units, is [waiving] [releasing] a lock-up restriction with respect to the Company’s [shares of Class A common stock] [warrants] [units] held by [CMLS Holdings LLC, a Delaware limited liability company, the sponsor] [certain officers or directors] [an officer or director] of the Company. The [waiver] [release] will take effect on [Date], and the securities may be sold or otherwise disposed of on or after such date.</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13,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being the sole incorporator of CM Life Sciences Inc., a corporation organized and existing under the laws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211" w:lineRule="exact"/>
        <w:rPr>
          <w:sz w:val="20"/>
          <w:szCs w:val="20"/>
          <w:color w:val="auto"/>
        </w:rPr>
      </w:pPr>
    </w:p>
    <w:p>
      <w:pPr>
        <w:ind w:firstLine="656"/>
        <w:spacing w:after="0" w:line="277" w:lineRule="auto"/>
        <w:tabs>
          <w:tab w:leader="none" w:pos="8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name of the Corporation is “CM Life Sciences Inc.” The original certificate of incorporation was filed with the Secretary of State of the State of Delaware on July 10,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The Corporation has not received payment for any of its stock.</w:t>
      </w:r>
    </w:p>
    <w:p>
      <w:pPr>
        <w:spacing w:after="0" w:line="225" w:lineRule="exact"/>
        <w:rPr>
          <w:sz w:val="20"/>
          <w:szCs w:val="20"/>
          <w:color w:val="auto"/>
        </w:rPr>
      </w:pPr>
    </w:p>
    <w:p>
      <w:pPr>
        <w:jc w:val="both"/>
        <w:ind w:right="20" w:firstLine="656"/>
        <w:spacing w:after="0" w:line="263" w:lineRule="auto"/>
        <w:tabs>
          <w:tab w:leader="none" w:pos="8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 which both restates and amends the provisions of the Original Certificate, was duly adopted in accordance with Sections 241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capitalized terms used in this Amended and Restated Certificate are defined where appropriate herein.</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CM Life Sciences,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401,000,000 shares, consisting of (a) 400,000,000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firstLine="8"/>
        <w:spacing w:after="0" w:line="260" w:lineRule="auto"/>
        <w:tabs>
          <w:tab w:leader="none" w:pos="23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380,000,000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680" w:hanging="240"/>
        <w:spacing w:after="0"/>
        <w:tabs>
          <w:tab w:leader="none" w:pos="168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1440" w:right="20" w:firstLine="660"/>
        <w:spacing w:after="0" w:line="277" w:lineRule="auto"/>
        <w:tabs>
          <w:tab w:leader="none" w:pos="233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1440" w:firstLine="660"/>
        <w:spacing w:after="0" w:line="263" w:lineRule="auto"/>
        <w:tabs>
          <w:tab w:leader="none" w:pos="237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left="320" w:firstLine="660"/>
        <w:spacing w:after="0" w:line="289" w:lineRule="auto"/>
        <w:tabs>
          <w:tab w:leader="none" w:pos="131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Certificate (including any Preferred Stock Designation) or the DGCL.</w:t>
      </w:r>
    </w:p>
    <w:p>
      <w:pPr>
        <w:spacing w:after="0" w:line="166" w:lineRule="exact"/>
        <w:rPr>
          <w:rFonts w:ascii="Arial" w:cs="Arial" w:eastAsia="Arial" w:hAnsi="Arial"/>
          <w:sz w:val="16"/>
          <w:szCs w:val="16"/>
          <w:color w:val="auto"/>
        </w:rPr>
      </w:pPr>
    </w:p>
    <w:p>
      <w:pPr>
        <w:ind w:left="580" w:hanging="260"/>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jc w:val="both"/>
        <w:ind w:left="320" w:firstLine="660"/>
        <w:spacing w:after="0" w:line="263" w:lineRule="auto"/>
        <w:tabs>
          <w:tab w:leader="none" w:pos="12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concurrently with or immediately following the closing of the Business Combination (as defined below).</w:t>
      </w:r>
    </w:p>
    <w:p>
      <w:pPr>
        <w:spacing w:after="0" w:line="184" w:lineRule="exact"/>
        <w:rPr>
          <w:sz w:val="20"/>
          <w:szCs w:val="20"/>
          <w:color w:val="auto"/>
        </w:rPr>
      </w:pPr>
    </w:p>
    <w:p>
      <w:pPr>
        <w:jc w:val="both"/>
        <w:ind w:left="320" w:firstLine="660"/>
        <w:spacing w:after="0" w:line="284" w:lineRule="auto"/>
        <w:tabs>
          <w:tab w:leader="none" w:pos="1269" w:val="left"/>
        </w:tabs>
        <w:numPr>
          <w:ilvl w:val="1"/>
          <w:numId w:val="142"/>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all issued and outstanding shares of Class B Common Stock shall automatically convert into shares of Class A Common Stock at the time of the closing of the Corporation’s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w:t>
      </w:r>
    </w:p>
    <w:p>
      <w:pPr>
        <w:jc w:val="both"/>
        <w:ind w:left="320"/>
        <w:spacing w:after="0" w:line="287" w:lineRule="auto"/>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any private placement warrants issued to CMLS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w:t>
      </w:r>
    </w:p>
    <w:p>
      <w:pPr>
        <w:spacing w:after="0" w:line="37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2" w:name="page223"/>
    <w:bookmarkEnd w:id="222"/>
    <w:p>
      <w:pPr>
        <w:jc w:val="both"/>
        <w:ind w:firstLine="648"/>
        <w:spacing w:after="0" w:line="301" w:lineRule="auto"/>
        <w:rPr>
          <w:sz w:val="20"/>
          <w:szCs w:val="20"/>
          <w:color w:val="auto"/>
        </w:rPr>
      </w:pPr>
      <w:r>
        <w:rPr>
          <w:rFonts w:ascii="Arial" w:cs="Arial" w:eastAsia="Arial" w:hAnsi="Arial"/>
          <w:sz w:val="16"/>
          <w:szCs w:val="16"/>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6"/>
          <w:szCs w:val="16"/>
          <w:u w:val="single" w:color="auto"/>
          <w:color w:val="auto"/>
        </w:rPr>
        <w:t>Section 4.3(b)(iii)</w:t>
      </w:r>
      <w:r>
        <w:rPr>
          <w:rFonts w:ascii="Arial" w:cs="Arial" w:eastAsia="Arial" w:hAnsi="Arial"/>
          <w:sz w:val="16"/>
          <w:szCs w:val="16"/>
          <w:color w:val="auto"/>
        </w:rPr>
        <w:t>, and (ii) in no event shall the Class B Common Stock convert into Class A Common Stock at a ratio that is less than one-for-one.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left="1440" w:firstLine="660"/>
        <w:spacing w:after="0" w:line="267" w:lineRule="auto"/>
        <w:tabs>
          <w:tab w:leader="none" w:pos="2415" w:val="left"/>
        </w:tabs>
        <w:numPr>
          <w:ilvl w:val="0"/>
          <w:numId w:val="144"/>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Certificate (including any Preferred Stock Designation), for so long as</w:t>
      </w:r>
      <w:r>
        <w:rPr>
          <w:rFonts w:ascii="Arial" w:cs="Arial" w:eastAsia="Arial" w:hAnsi="Arial"/>
          <w:sz w:val="17"/>
          <w:szCs w:val="17"/>
          <w:i w:val="1"/>
          <w:iCs w:val="1"/>
          <w:color w:val="auto"/>
        </w:rPr>
        <w:t xml:space="preserve"> </w:t>
      </w:r>
      <w:r>
        <w:rPr>
          <w:rFonts w:ascii="Arial" w:cs="Arial" w:eastAsia="Arial" w:hAnsi="Arial"/>
          <w:sz w:val="17"/>
          <w:szCs w:val="17"/>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1440"/>
        <w:spacing w:after="0" w:line="259" w:lineRule="auto"/>
        <w:tabs>
          <w:tab w:leader="none" w:pos="1676"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jc w:val="both"/>
        <w:ind w:firstLine="1440"/>
        <w:spacing w:after="0" w:line="257" w:lineRule="auto"/>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3380" w:type="dxa"/>
            <w:vAlign w:val="bottom"/>
          </w:tcPr>
          <w:p>
            <w:pPr>
              <w:spacing w:after="0"/>
              <w:rPr>
                <w:sz w:val="20"/>
                <w:szCs w:val="20"/>
                <w:color w:val="auto"/>
              </w:rPr>
            </w:pPr>
          </w:p>
        </w:tc>
      </w:tr>
      <w:tr>
        <w:trPr>
          <w:trHeight w:val="202"/>
        </w:trPr>
        <w:tc>
          <w:tcPr>
            <w:tcW w:w="3380" w:type="dxa"/>
            <w:vAlign w:val="bottom"/>
          </w:tcPr>
          <w:p>
            <w:pPr>
              <w:spacing w:after="0"/>
              <w:rPr>
                <w:sz w:val="17"/>
                <w:szCs w:val="17"/>
                <w:color w:val="auto"/>
              </w:rPr>
            </w:pPr>
          </w:p>
        </w:tc>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Colin J. Diamond</w:t>
            </w:r>
          </w:p>
        </w:tc>
        <w:tc>
          <w:tcPr>
            <w:tcW w:w="18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White &amp; Case LLP</w:t>
            </w:r>
          </w:p>
        </w:tc>
        <w:tc>
          <w:tcPr>
            <w:tcW w:w="338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1221 Avenue of the Americas</w:t>
            </w:r>
          </w:p>
        </w:tc>
        <w:tc>
          <w:tcPr>
            <w:tcW w:w="338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New York, NY 10020</w:t>
            </w:r>
          </w:p>
        </w:tc>
        <w:tc>
          <w:tcPr>
            <w:tcW w:w="3380" w:type="dxa"/>
            <w:vAlign w:val="bottom"/>
          </w:tcPr>
          <w:p>
            <w:pPr>
              <w:spacing w:after="0"/>
              <w:rPr>
                <w:sz w:val="20"/>
                <w:szCs w:val="20"/>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5</w:t>
            </w: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Board Powers.</w:t>
      </w:r>
      <w:r>
        <w:rPr>
          <w:rFonts w:ascii="Arial" w:cs="Arial" w:eastAsia="Arial" w:hAnsi="Arial"/>
          <w:sz w:val="17"/>
          <w:szCs w:val="17"/>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Number, Election and Term.</w:t>
      </w:r>
    </w:p>
    <w:p>
      <w:pPr>
        <w:spacing w:after="0" w:line="225" w:lineRule="exact"/>
        <w:rPr>
          <w:sz w:val="20"/>
          <w:szCs w:val="20"/>
          <w:color w:val="auto"/>
        </w:rPr>
      </w:pPr>
    </w:p>
    <w:p>
      <w:pPr>
        <w:jc w:val="both"/>
        <w:ind w:firstLine="1304"/>
        <w:spacing w:after="0" w:line="263" w:lineRule="auto"/>
        <w:tabs>
          <w:tab w:leader="none" w:pos="15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firstLine="1304"/>
        <w:spacing w:after="0" w:line="308" w:lineRule="auto"/>
        <w:tabs>
          <w:tab w:leader="none" w:pos="156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46" w:lineRule="exact"/>
        <w:rPr>
          <w:rFonts w:ascii="Arial" w:cs="Arial" w:eastAsia="Arial" w:hAnsi="Arial"/>
          <w:sz w:val="17"/>
          <w:szCs w:val="17"/>
          <w:color w:val="auto"/>
        </w:rPr>
      </w:pPr>
    </w:p>
    <w:p>
      <w:pPr>
        <w:ind w:left="1540" w:hanging="236"/>
        <w:spacing w:after="0"/>
        <w:tabs>
          <w:tab w:leader="none" w:pos="1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Removal</w:t>
      </w:r>
      <w:r>
        <w:rPr>
          <w:rFonts w:ascii="Arial" w:cs="Arial" w:eastAsia="Arial" w:hAnsi="Arial"/>
          <w:sz w:val="18"/>
          <w:szCs w:val="18"/>
          <w:color w:val="auto"/>
        </w:rPr>
        <w:t>.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Quorum</w:t>
      </w:r>
      <w:r>
        <w:rPr>
          <w:rFonts w:ascii="Arial" w:cs="Arial" w:eastAsia="Arial" w:hAnsi="Arial"/>
          <w:sz w:val="18"/>
          <w:szCs w:val="18"/>
          <w:color w:val="auto"/>
        </w:rPr>
        <w:t>. A quorum for the transaction of business by the directors shall be set forth in the Bylaws.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p>
    <w:p>
      <w:pPr>
        <w:spacing w:after="0" w:line="225" w:lineRule="exact"/>
        <w:rPr>
          <w:sz w:val="20"/>
          <w:szCs w:val="20"/>
          <w:color w:val="auto"/>
        </w:rPr>
      </w:pPr>
    </w:p>
    <w:p>
      <w:pPr>
        <w:jc w:val="both"/>
        <w:ind w:firstLine="656"/>
        <w:spacing w:after="0" w:line="285" w:lineRule="auto"/>
        <w:tabs>
          <w:tab w:leader="none" w:pos="9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firstLine="656"/>
        <w:spacing w:after="0" w:line="263" w:lineRule="auto"/>
        <w:tabs>
          <w:tab w:leader="none" w:pos="9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183" w:lineRule="exact"/>
        <w:rPr>
          <w:rFonts w:ascii="Arial" w:cs="Arial" w:eastAsia="Arial" w:hAnsi="Arial"/>
          <w:sz w:val="18"/>
          <w:szCs w:val="18"/>
          <w:color w:val="auto"/>
        </w:rPr>
      </w:pPr>
    </w:p>
    <w:p>
      <w:pPr>
        <w:jc w:val="both"/>
        <w:ind w:firstLine="656"/>
        <w:spacing w:after="0" w:line="273" w:lineRule="auto"/>
        <w:tabs>
          <w:tab w:leader="none" w:pos="92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Any repeal or amendment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by the stockholders of the Corporation or by changes in law, or the adoption of any other provision of this Certificate inconsistent with this </w:t>
      </w:r>
      <w:r>
        <w:rPr>
          <w:rFonts w:ascii="Arial" w:cs="Arial" w:eastAsia="Arial" w:hAnsi="Arial"/>
          <w:sz w:val="17"/>
          <w:szCs w:val="17"/>
          <w:u w:val="single" w:color="auto"/>
          <w:color w:val="auto"/>
        </w:rPr>
        <w:t>Section 8.2</w:t>
      </w:r>
      <w:r>
        <w:rPr>
          <w:rFonts w:ascii="Arial" w:cs="Arial" w:eastAsia="Arial" w:hAnsi="Arial"/>
          <w:sz w:val="17"/>
          <w:szCs w:val="17"/>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77" w:lineRule="exact"/>
        <w:rPr>
          <w:rFonts w:ascii="Arial" w:cs="Arial" w:eastAsia="Arial" w:hAnsi="Arial"/>
          <w:sz w:val="17"/>
          <w:szCs w:val="17"/>
          <w:color w:val="auto"/>
        </w:rPr>
      </w:pPr>
    </w:p>
    <w:p>
      <w:pPr>
        <w:ind w:right="20" w:firstLine="656"/>
        <w:spacing w:after="0" w:line="277" w:lineRule="auto"/>
        <w:tabs>
          <w:tab w:leader="none" w:pos="9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Forum</w:t>
      </w:r>
      <w:r>
        <w:rPr>
          <w:rFonts w:ascii="Arial" w:cs="Arial" w:eastAsia="Arial" w:hAnsi="Arial"/>
          <w:sz w:val="17"/>
          <w:szCs w:val="17"/>
          <w:color w:val="auto"/>
        </w:rPr>
        <w:t>. Unless the Corporation consents in writing to the selection of an alternative forum, the Court of Chancery of the State of Delaware (the “</w:t>
      </w:r>
      <w:r>
        <w:rPr>
          <w:rFonts w:ascii="Arial" w:cs="Arial" w:eastAsia="Arial" w:hAnsi="Arial"/>
          <w:sz w:val="17"/>
          <w:szCs w:val="17"/>
          <w:b w:val="1"/>
          <w:bCs w:val="1"/>
          <w:i w:val="1"/>
          <w:iCs w:val="1"/>
          <w:color w:val="auto"/>
        </w:rPr>
        <w:t>Court of Chancery</w:t>
      </w:r>
      <w:r>
        <w:rPr>
          <w:rFonts w:ascii="Arial" w:cs="Arial" w:eastAsia="Arial" w:hAnsi="Arial"/>
          <w:sz w:val="17"/>
          <w:szCs w:val="17"/>
          <w:color w:val="auto"/>
        </w:rPr>
        <w:t xml:space="preserv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as to which the Court of Chancery and the federal district court for the District of Delaware shall have concurrent jurisdiction. Notwithstanding the foregoing,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will not apply to suits brought to enforce a duty or liability created by the Exchange Act or any other claim for which the federal courts have exclusive jurisdiction. Any person or entity purchasing or otherwise acquiring any interest in any security of the Corporation shall be deemed to have notice of and consented to the provisions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18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 xml:space="preserve">Article X </w:t>
      </w:r>
      <w:r>
        <w:rPr>
          <w:rFonts w:ascii="Arial" w:cs="Arial" w:eastAsia="Arial" w:hAnsi="Arial"/>
          <w:sz w:val="18"/>
          <w:szCs w:val="18"/>
          <w:color w:val="auto"/>
        </w:rPr>
        <w:t>containing any such provision held to be invalid, illegal or unenforceable that is not itself held to be invalid, illegal or unenforceable)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Corporation reserves the right at any time and from time to time to amend, alter, change, add or repeal any provision contained in this Certificate (including any Preferred Stock Designation), and other provisions authorized by the laws of the State of Delaware at the time in force that may be added or inserted, in the manner now or hereafter prescribed by this Certificate and the DGCL; and except as set forth in </w:t>
      </w:r>
      <w:r>
        <w:rPr>
          <w:rFonts w:ascii="Arial" w:cs="Arial" w:eastAsia="Arial" w:hAnsi="Arial"/>
          <w:sz w:val="17"/>
          <w:szCs w:val="17"/>
          <w:i w:val="1"/>
          <w:iCs w:val="1"/>
          <w:color w:val="auto"/>
        </w:rPr>
        <w:t>Article VIII</w:t>
      </w:r>
      <w:r>
        <w:rPr>
          <w:rFonts w:ascii="Arial" w:cs="Arial" w:eastAsia="Arial" w:hAnsi="Arial"/>
          <w:sz w:val="17"/>
          <w:szCs w:val="17"/>
          <w:color w:val="auto"/>
        </w:rPr>
        <w:t xml:space="preserve">, all rights, preferences and privileges of whatever nature herein conferred upon stockholders, directors or any other persons by and pursuant to this Certificate in its present form or as hereafter amended are granted subject to the right reserved in this </w:t>
      </w:r>
      <w:r>
        <w:rPr>
          <w:rFonts w:ascii="Arial" w:cs="Arial" w:eastAsia="Arial" w:hAnsi="Arial"/>
          <w:sz w:val="17"/>
          <w:szCs w:val="17"/>
          <w:i w:val="1"/>
          <w:iCs w:val="1"/>
          <w:color w:val="auto"/>
        </w:rPr>
        <w:t>Article XI</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IN WITNESS WHEREOF, the undersigned incorporator has executed this Certificate as of the date first set forth above.</w:t>
      </w:r>
    </w:p>
    <w:p>
      <w:pPr>
        <w:spacing w:after="0" w:line="225" w:lineRule="exact"/>
        <w:rPr>
          <w:sz w:val="20"/>
          <w:szCs w:val="20"/>
          <w:color w:val="auto"/>
        </w:rPr>
      </w:pPr>
    </w:p>
    <w:tbl>
      <w:tblPr>
        <w:tblLayout w:type="fixed"/>
        <w:tblInd w:w="610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Colin J. Diamond</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Colin J. Diamond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Sole Incorporator</w:t>
            </w:r>
          </w:p>
        </w:tc>
      </w:tr>
    </w:tbl>
    <w:p>
      <w:pPr>
        <w:spacing w:after="0" w:line="20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Incorporation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CM Life Sciences, Inc.,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firstLine="656"/>
        <w:spacing w:after="0" w:line="263" w:lineRule="auto"/>
        <w:tabs>
          <w:tab w:leader="none" w:pos="8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name of the Corporation is “CM Life Sciences, Inc.” The original certificate of incorporation was filed with the Secretary of State of the State of Delaware on July 10,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First Amendment and Restatement to the Original Certificate was filed with the Secretary of State of the State of Delaware on July 13, 2020 (the “</w:t>
      </w:r>
      <w:r>
        <w:rPr>
          <w:rFonts w:ascii="Arial" w:cs="Arial" w:eastAsia="Arial" w:hAnsi="Arial"/>
          <w:sz w:val="18"/>
          <w:szCs w:val="18"/>
          <w:b w:val="1"/>
          <w:bCs w:val="1"/>
          <w:i w:val="1"/>
          <w:iCs w:val="1"/>
          <w:color w:val="auto"/>
        </w:rPr>
        <w:t>First Amended and Restated 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Certain capitalized terms used in this Amended and Restated Certificate are defined where appropriate herein.</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CM Life Sciences,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each with a par value of $0.0001 per share, which the Corporation is authorized to issue is 401,000,000 shares, consisting of (a) 400,000,000 shares of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(i) 380,000,000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1220" w:hanging="240"/>
        <w:spacing w:after="0"/>
        <w:tabs>
          <w:tab w:leader="none" w:pos="12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Voting.</w:t>
      </w:r>
    </w:p>
    <w:p>
      <w:pPr>
        <w:spacing w:after="0" w:line="225" w:lineRule="exact"/>
        <w:rPr>
          <w:rFonts w:ascii="Arial" w:cs="Arial" w:eastAsia="Arial" w:hAnsi="Arial"/>
          <w:sz w:val="18"/>
          <w:szCs w:val="18"/>
          <w:color w:val="auto"/>
        </w:rPr>
      </w:pPr>
    </w:p>
    <w:p>
      <w:pPr>
        <w:ind w:left="660" w:firstLine="644"/>
        <w:spacing w:after="0" w:line="277" w:lineRule="auto"/>
        <w:tabs>
          <w:tab w:leader="none" w:pos="155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6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660" w:firstLine="644"/>
        <w:spacing w:after="0" w:line="289" w:lineRule="auto"/>
        <w:tabs>
          <w:tab w:leader="none" w:pos="163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issued and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ind w:left="1240" w:hanging="260"/>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Class B Common Stock.</w:t>
      </w:r>
    </w:p>
    <w:p>
      <w:pPr>
        <w:spacing w:after="0" w:line="225" w:lineRule="exact"/>
        <w:rPr>
          <w:rFonts w:ascii="Arial" w:cs="Arial" w:eastAsia="Arial" w:hAnsi="Arial"/>
          <w:sz w:val="18"/>
          <w:szCs w:val="18"/>
          <w:color w:val="auto"/>
        </w:rPr>
      </w:pPr>
    </w:p>
    <w:p>
      <w:pPr>
        <w:ind w:left="660" w:firstLine="644"/>
        <w:spacing w:after="0" w:line="342" w:lineRule="auto"/>
        <w:tabs>
          <w:tab w:leader="none" w:pos="154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Shares of Class B Common Stock shall be convertible into shares of Class A Common Stock on a one-for-one basis (the “</w:t>
      </w:r>
      <w:r>
        <w:rPr>
          <w:rFonts w:ascii="Arial" w:cs="Arial" w:eastAsia="Arial" w:hAnsi="Arial"/>
          <w:sz w:val="16"/>
          <w:szCs w:val="16"/>
          <w:b w:val="1"/>
          <w:bCs w:val="1"/>
          <w:i w:val="1"/>
          <w:i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Conversion Ratio</w:t>
      </w:r>
      <w:r>
        <w:rPr>
          <w:rFonts w:ascii="Arial" w:cs="Arial" w:eastAsia="Arial" w:hAnsi="Arial"/>
          <w:sz w:val="16"/>
          <w:szCs w:val="16"/>
          <w:color w:val="auto"/>
        </w:rPr>
        <w:t>”) automatically concurrently with or immediately following the closing of the initial Business Combination (as defined below).</w:t>
      </w:r>
    </w:p>
    <w:p>
      <w:pPr>
        <w:spacing w:after="0" w:line="123" w:lineRule="exact"/>
        <w:rPr>
          <w:rFonts w:ascii="Arial" w:cs="Arial" w:eastAsia="Arial" w:hAnsi="Arial"/>
          <w:sz w:val="16"/>
          <w:szCs w:val="16"/>
          <w:color w:val="auto"/>
        </w:rPr>
      </w:pPr>
    </w:p>
    <w:p>
      <w:pPr>
        <w:jc w:val="both"/>
        <w:ind w:left="660" w:firstLine="644"/>
        <w:spacing w:after="0" w:line="267" w:lineRule="auto"/>
        <w:tabs>
          <w:tab w:leader="none" w:pos="157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and related to or in connection with the closing of the initial Business Combination, all issued and outstanding shares of Class B Common Stock shall automatically convert into shares of Class A Common Stock concurrently with or immediately following the closing of the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issued or deemed issued or issuable upon conversion of the shares of Class B Common Stock in connection with the consummation of a Business Combination, any shares of Class A Common Stock or equity-linked securities or rights issued, or to be issued, to any seller in a Business Combination, any private placement warrants issued to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 The term “</w:t>
      </w:r>
      <w:r>
        <w:rPr>
          <w:rFonts w:ascii="Arial" w:cs="Arial" w:eastAsia="Arial" w:hAnsi="Arial"/>
          <w:sz w:val="17"/>
          <w:szCs w:val="17"/>
          <w:b w:val="1"/>
          <w:bCs w:val="1"/>
          <w:i w:val="1"/>
          <w:iCs w:val="1"/>
          <w:color w:val="auto"/>
        </w:rPr>
        <w:t>equity-linked securities</w:t>
      </w:r>
      <w:r>
        <w:rPr>
          <w:rFonts w:ascii="Arial" w:cs="Arial" w:eastAsia="Arial" w:hAnsi="Arial"/>
          <w:sz w:val="17"/>
          <w:szCs w:val="17"/>
          <w:color w:val="auto"/>
        </w:rPr>
        <w:t>” refers to any debt or equity securities that are convertible, exercisable or exchangeable for shares of Class A common stock issued in a financing transaction in connection with the initial Business Combination, including, but not limited to, a private placement of equity or debt.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issued and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issued and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issued and outstanding shares of Class B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left="660" w:firstLine="644"/>
        <w:spacing w:after="0" w:line="268" w:lineRule="auto"/>
        <w:tabs>
          <w:tab w:leader="none" w:pos="1623" w:val="left"/>
        </w:tabs>
        <w:numPr>
          <w:ilvl w:val="1"/>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Amended and Restated Certificate (including any Preferred Stock Designation),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so long as any shares of Class B Common Stock shall remain outstanding, the Corporation shall not, without the prior vote or written consent of the holders of a majority of the shares of Class B Common Stock then issued and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issued and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9" w:lineRule="exact"/>
        <w:rPr>
          <w:rFonts w:ascii="Arial" w:cs="Arial" w:eastAsia="Arial" w:hAnsi="Arial"/>
          <w:sz w:val="17"/>
          <w:szCs w:val="17"/>
          <w:color w:val="auto"/>
        </w:rPr>
      </w:pPr>
    </w:p>
    <w:p>
      <w:pPr>
        <w:jc w:val="both"/>
        <w:ind w:firstLine="980"/>
        <w:spacing w:after="0" w:line="279" w:lineRule="auto"/>
        <w:tabs>
          <w:tab w:leader="none" w:pos="1216"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applicable law, the rights, if any, of the holders of any issued and outstanding series of the Preferred Stock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jc w:val="both"/>
        <w:ind w:firstLine="980"/>
        <w:spacing w:after="0" w:line="257" w:lineRule="auto"/>
        <w:tabs>
          <w:tab w:leader="none" w:pos="1227"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series of the Preferred Stock and the provisions of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xml:space="preserve">.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provided, however, that no Bylaws hereafter adopted by the stockholders shall invalidate any prior act of the Board that would have been valid if such Bylaws had not been adopted.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p>
    <w:p>
      <w:pPr>
        <w:spacing w:after="0" w:line="225" w:lineRule="exact"/>
        <w:rPr>
          <w:sz w:val="20"/>
          <w:szCs w:val="20"/>
          <w:color w:val="auto"/>
        </w:rPr>
      </w:pPr>
    </w:p>
    <w:p>
      <w:pPr>
        <w:jc w:val="both"/>
        <w:ind w:firstLine="980"/>
        <w:spacing w:after="0" w:line="263" w:lineRule="auto"/>
        <w:tabs>
          <w:tab w:leader="none" w:pos="122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jc w:val="both"/>
        <w:ind w:firstLine="980"/>
        <w:spacing w:after="0" w:line="285" w:lineRule="auto"/>
        <w:tabs>
          <w:tab w:leader="none" w:pos="123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76" w:lineRule="exact"/>
        <w:rPr>
          <w:rFonts w:ascii="Arial" w:cs="Arial" w:eastAsia="Arial" w:hAnsi="Arial"/>
          <w:sz w:val="16"/>
          <w:szCs w:val="16"/>
          <w:color w:val="auto"/>
        </w:rPr>
      </w:pPr>
    </w:p>
    <w:p>
      <w:pPr>
        <w:ind w:firstLine="980"/>
        <w:spacing w:after="0" w:line="342" w:lineRule="auto"/>
        <w:tabs>
          <w:tab w:leader="none" w:pos="121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left="980"/>
        <w:spacing w:after="0"/>
        <w:rPr>
          <w:sz w:val="20"/>
          <w:szCs w:val="20"/>
          <w:color w:val="auto"/>
        </w:rPr>
      </w:pPr>
      <w:r>
        <w:rPr>
          <w:rFonts w:ascii="Arial" w:cs="Arial" w:eastAsia="Arial" w:hAnsi="Arial"/>
          <w:sz w:val="18"/>
          <w:szCs w:val="18"/>
          <w:color w:val="auto"/>
        </w:rPr>
        <w:t>(d) Unless and except to the extent that the Bylaws shall so require, the election of directors need not be by written ballot.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issued and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Quorum</w:t>
      </w:r>
      <w:r>
        <w:rPr>
          <w:rFonts w:ascii="Arial" w:cs="Arial" w:eastAsia="Arial" w:hAnsi="Arial"/>
          <w:sz w:val="18"/>
          <w:szCs w:val="18"/>
          <w:color w:val="auto"/>
        </w:rPr>
        <w:t>. A quorum for the transaction of business by the directors shall be set forth in the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of the Corporation;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issued and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shall invalidate any prior act of the Board that would have been valid if such Bylaws had not been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Meetings</w:t>
      </w:r>
      <w:r>
        <w:rPr>
          <w:rFonts w:ascii="Arial" w:cs="Arial" w:eastAsia="Arial" w:hAnsi="Arial"/>
          <w:sz w:val="18"/>
          <w:szCs w:val="18"/>
          <w:color w:val="auto"/>
        </w:rPr>
        <w:t>. Subject to the rights, if any, of the holders of any issued and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may not be called by another person or persons.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Except as may be otherwise provided for or fixed pursuant to this Amended and Restated Certificate (including any Preferred Stock Designation) relating to the rights of the holders of any issued and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of the Corporation other than with respect to the Class B Common Stock with respect to which action may be taken by written consent.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8.2 Indemnification and Advancement of Expenses.</w:t>
      </w:r>
    </w:p>
    <w:p>
      <w:pPr>
        <w:spacing w:after="0" w:line="225" w:lineRule="exact"/>
        <w:rPr>
          <w:sz w:val="20"/>
          <w:szCs w:val="20"/>
          <w:color w:val="auto"/>
        </w:rPr>
      </w:pPr>
    </w:p>
    <w:p>
      <w:pPr>
        <w:jc w:val="both"/>
        <w:ind w:firstLine="980"/>
        <w:spacing w:after="0" w:line="285" w:lineRule="auto"/>
        <w:tabs>
          <w:tab w:leader="none" w:pos="122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980"/>
        <w:spacing w:after="0" w:line="263" w:lineRule="auto"/>
        <w:tabs>
          <w:tab w:leader="none" w:pos="122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jc w:val="both"/>
        <w:ind w:firstLine="980"/>
        <w:spacing w:after="0" w:line="293" w:lineRule="auto"/>
        <w:tabs>
          <w:tab w:leader="none" w:pos="12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firstLine="980"/>
        <w:spacing w:after="0" w:line="277" w:lineRule="auto"/>
        <w:tabs>
          <w:tab w:leader="none" w:pos="12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980"/>
        <w:spacing w:after="0" w:line="259" w:lineRule="auto"/>
        <w:tabs>
          <w:tab w:leader="none" w:pos="12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issued and outstanding shares of the Common Stock.</w:t>
      </w:r>
    </w:p>
    <w:p>
      <w:pPr>
        <w:spacing w:after="0" w:line="186" w:lineRule="exact"/>
        <w:rPr>
          <w:rFonts w:ascii="Arial" w:cs="Arial" w:eastAsia="Arial" w:hAnsi="Arial"/>
          <w:sz w:val="18"/>
          <w:szCs w:val="18"/>
          <w:color w:val="auto"/>
        </w:rPr>
      </w:pPr>
    </w:p>
    <w:p>
      <w:pPr>
        <w:jc w:val="both"/>
        <w:ind w:firstLine="980"/>
        <w:spacing w:after="0" w:line="269" w:lineRule="auto"/>
        <w:tabs>
          <w:tab w:leader="none" w:pos="123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initially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 2020,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deposited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24 months from the closing of the Offering and (iii) the redemption of shares in connection with a vote seeking to amend such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Common Stock included as part of the units sold in the Offering (the “</w:t>
      </w:r>
      <w:r>
        <w:rPr>
          <w:rFonts w:ascii="Arial" w:cs="Arial" w:eastAsia="Arial" w:hAnsi="Arial"/>
          <w:sz w:val="17"/>
          <w:szCs w:val="17"/>
          <w:b w:val="1"/>
          <w:bCs w:val="1"/>
          <w:i w:val="1"/>
          <w:i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i w:val="1"/>
          <w:i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p>
    <w:p>
      <w:pPr>
        <w:spacing w:after="0" w:line="225" w:lineRule="exact"/>
        <w:rPr>
          <w:sz w:val="20"/>
          <w:szCs w:val="20"/>
          <w:color w:val="auto"/>
        </w:rPr>
      </w:pPr>
    </w:p>
    <w:p>
      <w:pPr>
        <w:jc w:val="both"/>
        <w:ind w:firstLine="980"/>
        <w:spacing w:after="0" w:line="254" w:lineRule="auto"/>
        <w:tabs>
          <w:tab w:leader="none" w:pos="124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8"/>
          <w:szCs w:val="18"/>
          <w:u w:val="single" w:color="auto"/>
          <w:color w:val="auto"/>
        </w:rPr>
        <w:t>Sections 9.2(b)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9.2(c)</w:t>
      </w:r>
      <w:r>
        <w:rPr>
          <w:rFonts w:ascii="Arial" w:cs="Arial" w:eastAsia="Arial" w:hAnsi="Arial"/>
          <w:sz w:val="18"/>
          <w:szCs w:val="18"/>
          <w:color w:val="auto"/>
        </w:rPr>
        <w:t xml:space="preserve"> (such rights of such holders to have their Offering Shares redeemed pursuant to such Sections, the “</w:t>
      </w:r>
      <w:r>
        <w:rPr>
          <w:rFonts w:ascii="Arial" w:cs="Arial" w:eastAsia="Arial" w:hAnsi="Arial"/>
          <w:sz w:val="18"/>
          <w:szCs w:val="18"/>
          <w:b w:val="1"/>
          <w:bCs w:val="1"/>
          <w:i w:val="1"/>
          <w:iCs w:val="1"/>
          <w:color w:val="auto"/>
        </w:rPr>
        <w:t>Redemption Rights</w:t>
      </w:r>
      <w:r>
        <w:rPr>
          <w:rFonts w:ascii="Arial" w:cs="Arial" w:eastAsia="Arial" w:hAnsi="Arial"/>
          <w:sz w:val="18"/>
          <w:szCs w:val="18"/>
          <w:color w:val="auto"/>
        </w:rPr>
        <w:t xml:space="preserve">”) hereof for cash equal to the applicable redemption price per share determined in accordance with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hereof (the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provided, however, that the Corporation shall not redeem Offering Shares in an amount that would cause the Corporation to have net tangible assets to be less than $5,000,001 (such limitation hereinafter called the “</w:t>
      </w:r>
      <w:r>
        <w:rPr>
          <w:rFonts w:ascii="Arial" w:cs="Arial" w:eastAsia="Arial" w:hAnsi="Arial"/>
          <w:sz w:val="18"/>
          <w:szCs w:val="18"/>
          <w:b w:val="1"/>
          <w:bCs w:val="1"/>
          <w:i w:val="1"/>
          <w:iCs w:val="1"/>
          <w:color w:val="auto"/>
        </w:rPr>
        <w:t>Redemption Limitation’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to the contrary contained in this Amended and Restated Certificate, there shall be no Redemption Rights or liquidating distributions with respect to any warrant issued pursuant to the Offering.</w:t>
      </w:r>
    </w:p>
    <w:p>
      <w:pPr>
        <w:spacing w:after="0" w:line="191" w:lineRule="exact"/>
        <w:rPr>
          <w:rFonts w:ascii="Arial" w:cs="Arial" w:eastAsia="Arial" w:hAnsi="Arial"/>
          <w:sz w:val="18"/>
          <w:szCs w:val="18"/>
          <w:color w:val="auto"/>
        </w:rPr>
      </w:pPr>
    </w:p>
    <w:p>
      <w:pPr>
        <w:jc w:val="both"/>
        <w:ind w:firstLine="980"/>
        <w:spacing w:after="0" w:line="284" w:lineRule="auto"/>
        <w:tabs>
          <w:tab w:leader="none" w:pos="12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other than in conjunction with a stockholder vote on an initial Business Combination with a proxy solicitation pursuant to Regulation 14A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issued and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(x) the aggregate amount on deposit in the Trust Account as of two business days prior to the consummation of the initial Business Combination, including interest not previously released to the Corporation to pay its taxes, by (y) the total number of then issued and outstanding Offering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both"/>
        <w:ind w:firstLine="980"/>
        <w:spacing w:after="0" w:line="279" w:lineRule="auto"/>
        <w:tabs>
          <w:tab w:leader="none" w:pos="125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20% of the Offering Shares without the prior consent of the Corporation.</w:t>
      </w:r>
    </w:p>
    <w:p>
      <w:pPr>
        <w:spacing w:after="0" w:line="171" w:lineRule="exact"/>
        <w:rPr>
          <w:rFonts w:ascii="Arial" w:cs="Arial" w:eastAsia="Arial" w:hAnsi="Arial"/>
          <w:sz w:val="17"/>
          <w:szCs w:val="17"/>
          <w:color w:val="auto"/>
        </w:rPr>
      </w:pPr>
    </w:p>
    <w:p>
      <w:pPr>
        <w:jc w:val="both"/>
        <w:ind w:firstLine="980"/>
        <w:spacing w:after="0" w:line="270" w:lineRule="auto"/>
        <w:tabs>
          <w:tab w:leader="none" w:pos="122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interest to pay dissolution expenses), by (B) the total number of then issued and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jc w:val="both"/>
        <w:ind w:firstLine="980"/>
        <w:spacing w:after="0" w:line="259" w:lineRule="auto"/>
        <w:tabs>
          <w:tab w:leader="none" w:pos="123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right="20" w:firstLine="980"/>
        <w:spacing w:after="0" w:line="277" w:lineRule="auto"/>
        <w:tabs>
          <w:tab w:leader="none" w:pos="12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p>
    <w:p>
      <w:pPr>
        <w:spacing w:after="0" w:line="225" w:lineRule="exact"/>
        <w:rPr>
          <w:sz w:val="20"/>
          <w:szCs w:val="20"/>
          <w:color w:val="auto"/>
        </w:rPr>
      </w:pPr>
    </w:p>
    <w:p>
      <w:pPr>
        <w:jc w:val="both"/>
        <w:ind w:firstLine="980"/>
        <w:spacing w:after="0" w:line="263" w:lineRule="auto"/>
        <w:tabs>
          <w:tab w:leader="none" w:pos="1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83" w:lineRule="exact"/>
        <w:rPr>
          <w:rFonts w:ascii="Arial" w:cs="Arial" w:eastAsia="Arial" w:hAnsi="Arial"/>
          <w:sz w:val="18"/>
          <w:szCs w:val="18"/>
          <w:color w:val="auto"/>
        </w:rPr>
      </w:pPr>
    </w:p>
    <w:p>
      <w:pPr>
        <w:jc w:val="both"/>
        <w:ind w:right="20" w:firstLine="980"/>
        <w:spacing w:after="0" w:line="301" w:lineRule="auto"/>
        <w:tabs>
          <w:tab w:leader="none" w:pos="122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exercise by a Public Stockholder of the Redemption Rights (and any withdrawal of any exercise of such rights) shall be conditioned on such Public Stockholder following the specific procedures for redemptions (or withdrawals, as applicable)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both"/>
        <w:ind w:firstLine="648"/>
        <w:spacing w:after="0" w:line="25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as a class with the Class A Common Stock on any initial Business Combination, on any pre-Business Combination activity or on an amendment to this Amended and Restated Certificate to (i) extend the time the Corporation has to consummate a Business Combination beyond 24 months from the closing of the Offering or (ii) to amend any provisions of this </w:t>
      </w:r>
      <w:r>
        <w:rPr>
          <w:rFonts w:ascii="Arial" w:cs="Arial" w:eastAsia="Arial" w:hAnsi="Arial"/>
          <w:sz w:val="18"/>
          <w:szCs w:val="18"/>
          <w:i w:val="1"/>
          <w:iCs w:val="1"/>
          <w:color w:val="auto"/>
        </w:rPr>
        <w:t>Article IX.</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In the event the Corporation enters into an initial Business Combination with a target business that is affiliated with the Sponsor, or the directors or executive officers of the Corporation,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 provided, however, that a target business shall not be deemed an affiliate solely by virtue of ownership by the Sponsor or its affiliates, or any of their or the Corporation’s executive officers or directors, of less than 10% of its common stock, individually or in the aggregate.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any amendment is made to this Amended and Restated Certificate (a) to modify the substance or timing of the Corporation’s obligation to redeem 100% of the Offering Shares if the Corporation has not consummated an initial Business Combination within 24 months from the date of the closing of the Offering or (b) with respect to any other material provisions of this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issued and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Minimum Value of Initial Business Combination</w:t>
      </w:r>
      <w:r>
        <w:rPr>
          <w:rFonts w:ascii="Arial" w:cs="Arial" w:eastAsia="Arial" w:hAnsi="Arial"/>
          <w:sz w:val="18"/>
          <w:szCs w:val="18"/>
          <w:color w:val="auto"/>
        </w:rPr>
        <w:t>. The Corporation’s initial Business Combination must be comprised of one or more Business Combinations having an aggregate fair market value of at least 80% of the value of the assets held in the Trust Account (excluding any deferred underwriting commissions and taxes payable on the interest earned on the Trust Account) at the time the Corporation signs a definitive agreement in connection with the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i w:val="1"/>
          <w:iCs w:val="1"/>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APPLICATION OF DGCL SECTION 203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The Corporation hereby expressly elects not to be governed by Section 203 of the DGCL.</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Limitation on Business Combinations</w:t>
      </w:r>
      <w:r>
        <w:rPr>
          <w:rFonts w:ascii="Arial" w:cs="Arial" w:eastAsia="Arial" w:hAnsi="Arial"/>
          <w:sz w:val="16"/>
          <w:szCs w:val="16"/>
          <w:color w:val="auto"/>
        </w:rPr>
        <w:t>. Notwithstanding the foregoing, the Corporation shall not engage in any business combination (as defined below), at any point in time at which the Common Stock is registered under Section 12(b) or 12(g) of the Exchange Act with any interested stockholder (as defined below) for a period of three (3) years following the time that such stockholder became an interested stockholder, unless:</w:t>
      </w:r>
    </w:p>
    <w:p>
      <w:pPr>
        <w:spacing w:after="0" w:line="149" w:lineRule="exact"/>
        <w:rPr>
          <w:sz w:val="20"/>
          <w:szCs w:val="20"/>
          <w:color w:val="auto"/>
        </w:rPr>
      </w:pPr>
    </w:p>
    <w:p>
      <w:pPr>
        <w:ind w:firstLine="980"/>
        <w:spacing w:after="0" w:line="277" w:lineRule="auto"/>
        <w:tabs>
          <w:tab w:leader="none" w:pos="122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jc w:val="both"/>
        <w:ind w:firstLine="980"/>
        <w:spacing w:after="0" w:line="257" w:lineRule="auto"/>
        <w:tabs>
          <w:tab w:leader="none" w:pos="125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187" w:lineRule="exact"/>
        <w:rPr>
          <w:rFonts w:ascii="Arial" w:cs="Arial" w:eastAsia="Arial" w:hAnsi="Arial"/>
          <w:sz w:val="18"/>
          <w:szCs w:val="18"/>
          <w:color w:val="auto"/>
        </w:rPr>
      </w:pPr>
    </w:p>
    <w:p>
      <w:pPr>
        <w:jc w:val="both"/>
        <w:ind w:firstLine="980"/>
        <w:spacing w:after="0" w:line="263" w:lineRule="auto"/>
        <w:tabs>
          <w:tab w:leader="none" w:pos="12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that is not owned by the interested stockholder.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ind w:left="660"/>
        <w:spacing w:after="0"/>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Solely for purposes of this Article XII, references to:</w:t>
      </w:r>
    </w:p>
    <w:p>
      <w:pPr>
        <w:spacing w:after="0" w:line="225" w:lineRule="exact"/>
        <w:rPr>
          <w:sz w:val="20"/>
          <w:szCs w:val="20"/>
          <w:color w:val="auto"/>
        </w:rPr>
      </w:pPr>
    </w:p>
    <w:p>
      <w:pPr>
        <w:ind w:firstLine="980"/>
        <w:spacing w:after="0" w:line="277" w:lineRule="auto"/>
        <w:tabs>
          <w:tab w:leader="none" w:pos="121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980"/>
        <w:spacing w:after="0" w:line="257" w:lineRule="auto"/>
        <w:tabs>
          <w:tab w:leader="none" w:pos="122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87" w:lineRule="exact"/>
        <w:rPr>
          <w:rFonts w:ascii="Arial" w:cs="Arial" w:eastAsia="Arial" w:hAnsi="Arial"/>
          <w:sz w:val="18"/>
          <w:szCs w:val="18"/>
          <w:color w:val="auto"/>
        </w:rPr>
      </w:pPr>
    </w:p>
    <w:p>
      <w:pPr>
        <w:ind w:left="1220" w:hanging="240"/>
        <w:spacing w:after="0"/>
        <w:tabs>
          <w:tab w:leader="none" w:pos="122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when used in reference to the Corporation and any interested stockholder of the Corporation, means:</w:t>
      </w:r>
    </w:p>
    <w:p>
      <w:pPr>
        <w:spacing w:after="0" w:line="236" w:lineRule="exact"/>
        <w:rPr>
          <w:rFonts w:ascii="Arial" w:cs="Arial" w:eastAsia="Arial" w:hAnsi="Arial"/>
          <w:sz w:val="17"/>
          <w:szCs w:val="17"/>
          <w:color w:val="auto"/>
        </w:rPr>
      </w:pPr>
    </w:p>
    <w:p>
      <w:pPr>
        <w:jc w:val="both"/>
        <w:ind w:left="660" w:firstLine="968"/>
        <w:spacing w:after="0" w:line="311" w:lineRule="auto"/>
        <w:tabs>
          <w:tab w:leader="none" w:pos="184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above is not applicable to the surviving entity;</w:t>
      </w:r>
    </w:p>
    <w:p>
      <w:pPr>
        <w:spacing w:after="0" w:line="148" w:lineRule="exact"/>
        <w:rPr>
          <w:rFonts w:ascii="Arial" w:cs="Arial" w:eastAsia="Arial" w:hAnsi="Arial"/>
          <w:sz w:val="16"/>
          <w:szCs w:val="16"/>
          <w:color w:val="auto"/>
        </w:rPr>
      </w:pPr>
    </w:p>
    <w:p>
      <w:pPr>
        <w:jc w:val="both"/>
        <w:ind w:left="660" w:firstLine="968"/>
        <w:spacing w:after="0" w:line="257" w:lineRule="auto"/>
        <w:tabs>
          <w:tab w:leader="none" w:pos="191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18"/>
          <w:szCs w:val="18"/>
          <w:color w:val="auto"/>
        </w:rPr>
      </w:pPr>
    </w:p>
    <w:p>
      <w:pPr>
        <w:jc w:val="both"/>
        <w:ind w:left="660" w:firstLine="968"/>
        <w:spacing w:after="0" w:line="269" w:lineRule="auto"/>
        <w:tabs>
          <w:tab w:leader="none" w:pos="1986" w:val="left"/>
        </w:tabs>
        <w:numPr>
          <w:ilvl w:val="1"/>
          <w:numId w:val="162"/>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(d) pursuant to an exchange offer by the Corporation to purchase stock made on the same terms to all stockholders of said stock; or (e) any issuance or transfer of stock by the Corporation; provided, however, that in no case under items (c)-(e) of this </w:t>
      </w:r>
      <w:r>
        <w:rPr>
          <w:rFonts w:ascii="Arial" w:cs="Arial" w:eastAsia="Arial" w:hAnsi="Arial"/>
          <w:sz w:val="17"/>
          <w:szCs w:val="17"/>
          <w:u w:val="single" w:color="auto"/>
          <w:color w:val="auto"/>
        </w:rPr>
        <w:t>subsection 12.3(c)(iii)</w:t>
      </w:r>
      <w:r>
        <w:rPr>
          <w:rFonts w:ascii="Arial" w:cs="Arial" w:eastAsia="Arial" w:hAnsi="Arial"/>
          <w:sz w:val="17"/>
          <w:szCs w:val="17"/>
          <w:color w:val="auto"/>
        </w:rPr>
        <w:t xml:space="preserve">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181" w:lineRule="exact"/>
        <w:rPr>
          <w:rFonts w:ascii="Arial" w:cs="Arial" w:eastAsia="Arial" w:hAnsi="Arial"/>
          <w:sz w:val="17"/>
          <w:szCs w:val="17"/>
          <w:color w:val="auto"/>
        </w:rPr>
      </w:pPr>
    </w:p>
    <w:p>
      <w:pPr>
        <w:jc w:val="both"/>
        <w:ind w:left="660" w:firstLine="968"/>
        <w:spacing w:after="0" w:line="257" w:lineRule="auto"/>
        <w:tabs>
          <w:tab w:leader="none" w:pos="194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ind w:firstLine="980"/>
        <w:spacing w:after="0" w:line="254" w:lineRule="auto"/>
        <w:tabs>
          <w:tab w:leader="none" w:pos="125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xml:space="preserve">,” means the possession, directly or 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Arial" w:cs="Arial" w:eastAsia="Arial" w:hAnsi="Arial"/>
          <w:sz w:val="18"/>
          <w:szCs w:val="18"/>
          <w:i w:val="1"/>
          <w:iCs w:val="1"/>
          <w:color w:val="auto"/>
        </w:rPr>
        <w:t>Article XII</w:t>
      </w:r>
      <w:r>
        <w:rPr>
          <w:rFonts w:ascii="Arial" w:cs="Arial" w:eastAsia="Arial" w:hAnsi="Arial"/>
          <w:sz w:val="18"/>
          <w:szCs w:val="18"/>
          <w:color w:val="auto"/>
        </w:rPr>
        <w:t>, as an agent, bank, broker, nominee, custodian or trustee for one or more owners who do not individually or as a group have control of such entity.</w:t>
      </w:r>
    </w:p>
    <w:p>
      <w:pPr>
        <w:spacing w:after="0" w:line="194" w:lineRule="exact"/>
        <w:rPr>
          <w:rFonts w:ascii="Arial" w:cs="Arial" w:eastAsia="Arial" w:hAnsi="Arial"/>
          <w:sz w:val="18"/>
          <w:szCs w:val="18"/>
          <w:color w:val="auto"/>
        </w:rPr>
      </w:pPr>
    </w:p>
    <w:p>
      <w:pPr>
        <w:ind w:firstLine="980"/>
        <w:spacing w:after="0" w:line="342" w:lineRule="auto"/>
        <w:tabs>
          <w:tab w:leader="none" w:pos="124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Exempted Person</w:t>
      </w:r>
      <w:r>
        <w:rPr>
          <w:rFonts w:ascii="Arial" w:cs="Arial" w:eastAsia="Arial" w:hAnsi="Arial"/>
          <w:sz w:val="16"/>
          <w:szCs w:val="16"/>
          <w:color w:val="auto"/>
        </w:rPr>
        <w:t>” means the Sponsor and its affiliates, any of their respective direct or indirect transferees of at least 15% of the Corporation’s outstanding common stock after such transfer and any “group” of which any such person is a part under Rule 13d-5 of the Exchange Act.</w:t>
      </w:r>
    </w:p>
    <w:p>
      <w:pPr>
        <w:spacing w:after="0" w:line="123" w:lineRule="exact"/>
        <w:rPr>
          <w:rFonts w:ascii="Arial" w:cs="Arial" w:eastAsia="Arial" w:hAnsi="Arial"/>
          <w:sz w:val="16"/>
          <w:szCs w:val="16"/>
          <w:color w:val="auto"/>
        </w:rPr>
      </w:pPr>
    </w:p>
    <w:p>
      <w:pPr>
        <w:jc w:val="both"/>
        <w:ind w:firstLine="980"/>
        <w:spacing w:after="0" w:line="269" w:lineRule="auto"/>
        <w:tabs>
          <w:tab w:leader="none" w:pos="12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interested stockholder</w:t>
      </w:r>
      <w:r>
        <w:rPr>
          <w:rFonts w:ascii="Arial" w:cs="Arial" w:eastAsia="Arial" w:hAnsi="Arial"/>
          <w:sz w:val="17"/>
          <w:szCs w:val="17"/>
          <w:color w:val="auto"/>
        </w:rPr>
        <w:t>”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any Exempted Person, or (b) any person whose ownership of shares in excess of the fifteen percent (15%) limitation set forth herein is the result of any action taken solely by the Corporation; provided that with respect to clause (b)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81" w:lineRule="exact"/>
        <w:rPr>
          <w:rFonts w:ascii="Arial" w:cs="Arial" w:eastAsia="Arial" w:hAnsi="Arial"/>
          <w:sz w:val="17"/>
          <w:szCs w:val="17"/>
          <w:color w:val="auto"/>
        </w:rPr>
      </w:pPr>
    </w:p>
    <w:p>
      <w:pPr>
        <w:ind w:firstLine="980"/>
        <w:spacing w:after="0" w:line="277" w:lineRule="auto"/>
        <w:tabs>
          <w:tab w:leader="none" w:pos="12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840" w:hanging="212"/>
        <w:spacing w:after="0"/>
        <w:tabs>
          <w:tab w:leader="none" w:pos="18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660" w:firstLine="968"/>
        <w:spacing w:after="0" w:line="291" w:lineRule="auto"/>
        <w:tabs>
          <w:tab w:leader="none" w:pos="190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jc w:val="both"/>
        <w:ind w:left="660" w:firstLine="968"/>
        <w:spacing w:after="0" w:line="263" w:lineRule="auto"/>
        <w:tabs>
          <w:tab w:leader="none" w:pos="196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has any agreement, arrangement or understanding for the purpose of acquiring, holding, voting (except voting pursuant to a revocable proxy or consent as described in </w:t>
      </w:r>
      <w:r>
        <w:rPr>
          <w:rFonts w:ascii="Arial" w:cs="Arial" w:eastAsia="Arial" w:hAnsi="Arial"/>
          <w:sz w:val="18"/>
          <w:szCs w:val="18"/>
          <w:u w:val="single" w:color="auto"/>
          <w:color w:val="auto"/>
        </w:rPr>
        <w:t>subsection 12.3(g)(ii)</w:t>
      </w:r>
      <w:r>
        <w:rPr>
          <w:rFonts w:ascii="Arial" w:cs="Arial" w:eastAsia="Arial" w:hAnsi="Arial"/>
          <w:sz w:val="18"/>
          <w:szCs w:val="18"/>
          <w:color w:val="auto"/>
        </w:rPr>
        <w:t xml:space="preserve"> above), or disposing of such stock with any other person that beneficially owns, or whose affiliates or associates beneficially own, directly or indirectly, such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1240" w:hanging="260"/>
        <w:spacing w:after="0"/>
        <w:tabs>
          <w:tab w:leader="none" w:pos="12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 (i) through</w:t>
      </w:r>
    </w:p>
    <w:p>
      <w:pPr>
        <w:spacing w:after="0" w:line="2" w:lineRule="exact"/>
        <w:rPr>
          <w:sz w:val="20"/>
          <w:szCs w:val="20"/>
          <w:color w:val="auto"/>
        </w:rPr>
      </w:pPr>
    </w:p>
    <w:p>
      <w:pPr>
        <w:jc w:val="both"/>
        <w:ind w:firstLine="8"/>
        <w:spacing w:after="0" w:line="281" w:lineRule="auto"/>
        <w:tabs>
          <w:tab w:leader="none" w:pos="31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1" w:lineRule="exact"/>
        <w:rPr>
          <w:rFonts w:ascii="Arial" w:cs="Arial" w:eastAsia="Arial" w:hAnsi="Arial"/>
          <w:sz w:val="16"/>
          <w:szCs w:val="16"/>
          <w:color w:val="auto"/>
        </w:rPr>
      </w:pPr>
    </w:p>
    <w:p>
      <w:pPr>
        <w:jc w:val="both"/>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(B) which is vested in the exclusive jurisdiction of a court or forum other than the Court of Chancery, or (C) for which the Court of Chancery does not have subject matter jurisdiction, as to which the Court of Chancery and the U.S. federal district court for the District of Delaware shall have concurrent jurisdiction. Notwithstanding the foregoing, the provisions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will not apply to suits brought to enforce a duty or liability created by the Exchange Act or any other claim for which the U.S. federal district courts have exclusive jurisdiction. Unless the Corporation consents in writing to the selection of an alternative forum, the U.S. federal district courts shall be the exclusive forum for the resolution of any complaint asserting a cause of action arising under the Securities Act of 1933, as amended, against the Corporation or any director, officer, other employee or agent of the Corporation. Any person or entity purchasing or otherwise acquiring any interest in any security of the Corporation shall be deemed to have notice of and consented to the provisions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U.S. federal district courts located within the State of Delaware in connection with any action brought in any such court to enforce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 xml:space="preserve">Article XII </w:t>
      </w:r>
      <w:r>
        <w:rPr>
          <w:rFonts w:ascii="Arial" w:cs="Arial" w:eastAsia="Arial" w:hAnsi="Arial"/>
          <w:sz w:val="18"/>
          <w:szCs w:val="18"/>
          <w:color w:val="auto"/>
        </w:rPr>
        <w:t>containing any such provision held to be invalid, illegal or unenforceable that is not itself held to be invalid, illegal or unenforceable)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firstLine="648"/>
        <w:spacing w:after="0" w:line="277" w:lineRule="auto"/>
        <w:rPr>
          <w:sz w:val="20"/>
          <w:szCs w:val="20"/>
          <w:color w:val="auto"/>
        </w:rPr>
      </w:pPr>
      <w:r>
        <w:rPr>
          <w:rFonts w:ascii="Arial" w:cs="Arial" w:eastAsia="Arial" w:hAnsi="Arial"/>
          <w:sz w:val="18"/>
          <w:szCs w:val="18"/>
          <w:color w:val="auto"/>
        </w:rPr>
        <w:t>IN WITNESS WHEREOF, CM Life Sciences, Inc.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CM LIFE SCIENCES,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(THE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July 16,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2.3. Notices. </w:t>
      </w:r>
      <w:r>
        <w:rPr>
          <w:rFonts w:ascii="Arial" w:cs="Arial" w:eastAsia="Arial" w:hAnsi="Arial"/>
          <w:sz w:val="17"/>
          <w:szCs w:val="17"/>
          <w:color w:val="auto"/>
        </w:rPr>
        <w:t>Written notice of each stockholders meeting stating the place, if any, date, and time of the meeting,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2.4. Quorum</w:t>
      </w:r>
      <w:r>
        <w:rPr>
          <w:rFonts w:ascii="Arial" w:cs="Arial" w:eastAsia="Arial" w:hAnsi="Arial"/>
          <w:sz w:val="16"/>
          <w:szCs w:val="16"/>
          <w:color w:val="auto"/>
        </w:rPr>
        <w:t>. Except as otherwise provided by applicable law, the Corporation’s Certificate of Incorporation, as the same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xml:space="preserve">”)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4" w:lineRule="auto"/>
        <w:tabs>
          <w:tab w:leader="none" w:pos="1540"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jc w:val="both"/>
        <w:ind w:firstLine="8"/>
        <w:spacing w:after="0" w:line="251" w:lineRule="auto"/>
        <w:tabs>
          <w:tab w:leader="none" w:pos="2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1304"/>
        <w:spacing w:after="0" w:line="296" w:lineRule="auto"/>
        <w:tabs>
          <w:tab w:leader="none" w:pos="155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61" w:lineRule="exact"/>
        <w:rPr>
          <w:rFonts w:ascii="Arial" w:cs="Arial" w:eastAsia="Arial" w:hAnsi="Arial"/>
          <w:sz w:val="16"/>
          <w:szCs w:val="16"/>
          <w:color w:val="auto"/>
        </w:rPr>
      </w:pPr>
    </w:p>
    <w:p>
      <w:pPr>
        <w:jc w:val="both"/>
        <w:ind w:firstLine="1304"/>
        <w:spacing w:after="0" w:line="255" w:lineRule="auto"/>
        <w:tabs>
          <w:tab w:leader="none" w:pos="15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firstLine="1952"/>
        <w:spacing w:after="0" w:line="263" w:lineRule="auto"/>
        <w:tabs>
          <w:tab w:leader="none" w:pos="217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3" w:lineRule="exact"/>
        <w:rPr>
          <w:rFonts w:ascii="Arial" w:cs="Arial" w:eastAsia="Arial" w:hAnsi="Arial"/>
          <w:sz w:val="18"/>
          <w:szCs w:val="18"/>
          <w:color w:val="auto"/>
        </w:rPr>
      </w:pPr>
    </w:p>
    <w:p>
      <w:pPr>
        <w:jc w:val="both"/>
        <w:ind w:firstLine="1952"/>
        <w:spacing w:after="0" w:line="271" w:lineRule="auto"/>
        <w:tabs>
          <w:tab w:leader="none" w:pos="22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1304"/>
        <w:spacing w:after="0" w:line="272" w:lineRule="auto"/>
        <w:tabs>
          <w:tab w:leader="none" w:pos="1564"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54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660"/>
        <w:spacing w:after="0"/>
        <w:rPr>
          <w:sz w:val="20"/>
          <w:szCs w:val="20"/>
          <w:color w:val="auto"/>
        </w:rPr>
      </w:pPr>
      <w:r>
        <w:rPr>
          <w:rFonts w:ascii="Arial" w:cs="Arial" w:eastAsia="Arial" w:hAnsi="Arial"/>
          <w:sz w:val="18"/>
          <w:szCs w:val="18"/>
          <w:b w:val="1"/>
          <w:bCs w:val="1"/>
          <w:color w:val="auto"/>
        </w:rPr>
        <w:t>Section 2.7. Advance Notice for Business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91" w:lineRule="auto"/>
        <w:tabs>
          <w:tab w:leader="none" w:pos="1554"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be considered for election at such meeting.</w:t>
      </w:r>
    </w:p>
    <w:p>
      <w:pPr>
        <w:spacing w:after="0" w:line="166" w:lineRule="exact"/>
        <w:rPr>
          <w:rFonts w:ascii="Arial" w:cs="Arial" w:eastAsia="Arial" w:hAnsi="Arial"/>
          <w:sz w:val="16"/>
          <w:szCs w:val="16"/>
          <w:color w:val="auto"/>
        </w:rPr>
      </w:pPr>
    </w:p>
    <w:p>
      <w:pPr>
        <w:jc w:val="both"/>
        <w:ind w:firstLine="1952"/>
        <w:spacing w:after="0" w:line="269" w:lineRule="auto"/>
        <w:tabs>
          <w:tab w:leader="none" w:pos="2184" w:val="left"/>
        </w:tabs>
        <w:numPr>
          <w:ilvl w:val="1"/>
          <w:numId w:val="170"/>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7"/>
          <w:szCs w:val="17"/>
          <w:u w:val="single" w:color="auto"/>
          <w:color w:val="auto"/>
        </w:rPr>
        <w:t>Section 2.7(a)(iii)</w:t>
      </w:r>
      <w:r>
        <w:rPr>
          <w:rFonts w:ascii="Arial" w:cs="Arial" w:eastAsia="Arial" w:hAnsi="Arial"/>
          <w:sz w:val="17"/>
          <w:szCs w:val="17"/>
          <w:color w:val="auto"/>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81" w:lineRule="exact"/>
        <w:rPr>
          <w:rFonts w:ascii="Arial" w:cs="Arial" w:eastAsia="Arial" w:hAnsi="Arial"/>
          <w:sz w:val="17"/>
          <w:szCs w:val="17"/>
          <w:color w:val="auto"/>
        </w:rPr>
      </w:pPr>
    </w:p>
    <w:p>
      <w:pPr>
        <w:jc w:val="both"/>
        <w:ind w:firstLine="1952"/>
        <w:spacing w:after="0" w:line="287" w:lineRule="auto"/>
        <w:tabs>
          <w:tab w:leader="none" w:pos="222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0" w:name="page251"/>
    <w:bookmarkEnd w:id="250"/>
    <w:p>
      <w:pPr>
        <w:jc w:val="both"/>
        <w:ind w:firstLine="1952"/>
        <w:spacing w:after="0" w:line="284" w:lineRule="auto"/>
        <w:tabs>
          <w:tab w:leader="none" w:pos="225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162" w:lineRule="exact"/>
        <w:rPr>
          <w:sz w:val="20"/>
          <w:szCs w:val="20"/>
          <w:color w:val="auto"/>
        </w:rPr>
      </w:pPr>
    </w:p>
    <w:p>
      <w:pPr>
        <w:jc w:val="both"/>
        <w:ind w:firstLine="1952"/>
        <w:spacing w:after="0" w:line="311" w:lineRule="auto"/>
        <w:tabs>
          <w:tab w:leader="none" w:pos="225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In addition to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148" w:lineRule="exact"/>
        <w:rPr>
          <w:rFonts w:ascii="Arial" w:cs="Arial" w:eastAsia="Arial" w:hAnsi="Arial"/>
          <w:sz w:val="16"/>
          <w:szCs w:val="16"/>
          <w:color w:val="auto"/>
        </w:rPr>
      </w:pPr>
    </w:p>
    <w:p>
      <w:pPr>
        <w:jc w:val="both"/>
        <w:ind w:firstLine="1304"/>
        <w:spacing w:after="0" w:line="286" w:lineRule="auto"/>
        <w:tabs>
          <w:tab w:leader="none" w:pos="1564"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4"/>
        <w:spacing w:after="0" w:line="286" w:lineRule="auto"/>
        <w:tabs>
          <w:tab w:leader="none" w:pos="1540"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Bylaws, “</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jc w:val="both"/>
        <w:ind w:firstLine="648"/>
        <w:spacing w:after="0" w:line="268" w:lineRule="auto"/>
        <w:rPr>
          <w:sz w:val="20"/>
          <w:szCs w:val="20"/>
          <w:color w:val="auto"/>
        </w:rPr>
      </w:pPr>
      <w:r>
        <w:rPr>
          <w:rFonts w:ascii="Arial" w:cs="Arial" w:eastAsia="Arial" w:hAnsi="Arial"/>
          <w:sz w:val="17"/>
          <w:szCs w:val="17"/>
          <w:b w:val="1"/>
          <w:bCs w:val="1"/>
          <w:color w:val="auto"/>
        </w:rPr>
        <w:t>Section 2.8. Conduct of Meetings</w:t>
      </w:r>
      <w:r>
        <w:rPr>
          <w:rFonts w:ascii="Arial" w:cs="Arial" w:eastAsia="Arial" w:hAnsi="Arial"/>
          <w:sz w:val="17"/>
          <w:szCs w:val="17"/>
          <w:color w:val="auto"/>
        </w:rPr>
        <w:t>. The chairman of each annual and special meeting of stockholders shall be the Chairman of the Board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2.9. Consents in Lieu of Meeting</w:t>
      </w:r>
      <w:r>
        <w:rPr>
          <w:rFonts w:ascii="Arial" w:cs="Arial" w:eastAsia="Arial" w:hAnsi="Arial"/>
          <w:sz w:val="17"/>
          <w:szCs w:val="17"/>
          <w:color w:val="auto"/>
        </w:rPr>
        <w:t>. Unless otherwise provided by the Certificate of Incorporation, until the Corporation consummates an</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public offering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3.1. Powers; Number</w:t>
      </w:r>
      <w:r>
        <w:rPr>
          <w:rFonts w:ascii="Arial" w:cs="Arial" w:eastAsia="Arial" w:hAnsi="Arial"/>
          <w:sz w:val="18"/>
          <w:szCs w:val="18"/>
          <w:color w:val="auto"/>
        </w:rPr>
        <w:t>. The business and affairs of the Corporation shall be managed by or under the direction of the Board,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72" w:lineRule="auto"/>
        <w:tabs>
          <w:tab w:leader="none" w:pos="157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87" w:lineRule="auto"/>
        <w:tabs>
          <w:tab w:leader="none" w:pos="156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jc w:val="both"/>
        <w:ind w:firstLine="1304"/>
        <w:spacing w:after="0" w:line="291" w:lineRule="auto"/>
        <w:tabs>
          <w:tab w:leader="none" w:pos="15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1304"/>
        <w:spacing w:after="0" w:line="286" w:lineRule="auto"/>
        <w:tabs>
          <w:tab w:leader="none" w:pos="157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155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55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3.3. Compensation</w:t>
      </w:r>
      <w:r>
        <w:rPr>
          <w:rFonts w:ascii="Arial" w:cs="Arial" w:eastAsia="Arial" w:hAnsi="Arial"/>
          <w:sz w:val="17"/>
          <w:szCs w:val="17"/>
          <w:color w:val="auto"/>
        </w:rPr>
        <w:t>. Unless otherwise restricted by the Certificate of Incorporation or these Bylaws, the Board shall have the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President and (b) shall be called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4.4. Quorum; Required Vote</w:t>
      </w:r>
      <w:r>
        <w:rPr>
          <w:rFonts w:ascii="Arial" w:cs="Arial" w:eastAsia="Arial" w:hAnsi="Arial"/>
          <w:sz w:val="16"/>
          <w:szCs w:val="16"/>
          <w:color w:val="auto"/>
        </w:rPr>
        <w:t>. A majority of the Board shall constitute a quorum for the transaction of business at any meeting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both"/>
        <w:ind w:firstLine="648"/>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6.1. Officers</w:t>
      </w:r>
      <w:r>
        <w:rPr>
          <w:rFonts w:ascii="Arial" w:cs="Arial" w:eastAsia="Arial" w:hAnsi="Arial"/>
          <w:sz w:val="18"/>
          <w:szCs w:val="18"/>
          <w:color w:val="auto"/>
        </w:rPr>
        <w:t>. The officers of the Corporation elected by the Board shall be a Chief Executive Officer, a Chief Financial Officer,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Secretary and such other officers (including without limitation, a Chairman of the Board, Presidents, Vice Presidents, Partners, Managing Directors, Senior Managing Directors,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92" w:lineRule="exact"/>
        <w:rPr>
          <w:sz w:val="20"/>
          <w:szCs w:val="20"/>
          <w:color w:val="auto"/>
        </w:rPr>
      </w:pPr>
    </w:p>
    <w:p>
      <w:pPr>
        <w:jc w:val="both"/>
        <w:ind w:firstLine="1304"/>
        <w:spacing w:after="0" w:line="254" w:lineRule="auto"/>
        <w:tabs>
          <w:tab w:leader="none" w:pos="15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94" w:lineRule="exact"/>
        <w:rPr>
          <w:rFonts w:ascii="Arial" w:cs="Arial" w:eastAsia="Arial" w:hAnsi="Arial"/>
          <w:sz w:val="18"/>
          <w:szCs w:val="18"/>
          <w:color w:val="auto"/>
        </w:rPr>
      </w:pPr>
    </w:p>
    <w:p>
      <w:pPr>
        <w:jc w:val="both"/>
        <w:ind w:firstLine="1304"/>
        <w:spacing w:after="0" w:line="255" w:lineRule="auto"/>
        <w:tabs>
          <w:tab w:leader="none" w:pos="157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firstLine="1304"/>
        <w:spacing w:after="0" w:line="257" w:lineRule="auto"/>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55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1540" w:hanging="236"/>
        <w:spacing w:after="0"/>
        <w:tabs>
          <w:tab w:leader="none" w:pos="154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7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jc w:val="both"/>
        <w:ind w:firstLine="1952"/>
        <w:spacing w:after="0" w:line="259" w:lineRule="auto"/>
        <w:tabs>
          <w:tab w:leader="none" w:pos="223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firstLine="1304"/>
        <w:spacing w:after="0" w:line="308" w:lineRule="auto"/>
        <w:tabs>
          <w:tab w:leader="none" w:pos="1521"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jc w:val="both"/>
        <w:ind w:firstLine="1304"/>
        <w:spacing w:after="0" w:line="311" w:lineRule="auto"/>
        <w:tabs>
          <w:tab w:leader="none" w:pos="1564"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48" w:lineRule="exact"/>
        <w:rPr>
          <w:rFonts w:ascii="Arial" w:cs="Arial" w:eastAsia="Arial" w:hAnsi="Arial"/>
          <w:sz w:val="16"/>
          <w:szCs w:val="16"/>
          <w:color w:val="auto"/>
        </w:rPr>
      </w:pPr>
    </w:p>
    <w:p>
      <w:pPr>
        <w:ind w:firstLine="1304"/>
        <w:spacing w:after="0" w:line="277" w:lineRule="auto"/>
        <w:tabs>
          <w:tab w:leader="none" w:pos="156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8" w:name="page259"/>
    <w:bookmarkEnd w:id="258"/>
    <w:p>
      <w:pPr>
        <w:jc w:val="both"/>
        <w:ind w:firstLine="648"/>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Section 6.4. Multiple Officeholders; Stockholder and Director Officers</w:t>
      </w:r>
      <w:r>
        <w:rPr>
          <w:rFonts w:ascii="Arial" w:cs="Arial" w:eastAsia="Arial" w:hAnsi="Arial"/>
          <w:sz w:val="17"/>
          <w:szCs w:val="17"/>
          <w:color w:val="auto"/>
        </w:rPr>
        <w:t>. Any number of offices may be held by the same person unless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of Incorporation or these Bylaws otherwise provide. Officers need not be stockholders or residents of the State of Delaware.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 series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50" w:lineRule="exact"/>
        <w:rPr>
          <w:sz w:val="20"/>
          <w:szCs w:val="20"/>
          <w:color w:val="auto"/>
        </w:rPr>
      </w:pPr>
    </w:p>
    <w:p>
      <w:pPr>
        <w:jc w:val="both"/>
        <w:ind w:firstLine="8"/>
        <w:spacing w:after="0" w:line="253" w:lineRule="auto"/>
        <w:tabs>
          <w:tab w:leader="none" w:pos="25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left="660"/>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9" w:lineRule="auto"/>
        <w:tabs>
          <w:tab w:leader="none" w:pos="15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55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5" w:lineRule="auto"/>
        <w:tabs>
          <w:tab w:leader="none" w:pos="1582"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satisfies other reasonable requirements imposed by the Corporation.</w:t>
      </w:r>
    </w:p>
    <w:p>
      <w:pPr>
        <w:spacing w:after="0" w:line="210" w:lineRule="exact"/>
        <w:rPr>
          <w:rFonts w:ascii="Arial" w:cs="Arial" w:eastAsia="Arial" w:hAnsi="Arial"/>
          <w:sz w:val="18"/>
          <w:szCs w:val="18"/>
          <w:color w:val="auto"/>
        </w:rPr>
      </w:pPr>
    </w:p>
    <w:p>
      <w:pPr>
        <w:jc w:val="both"/>
        <w:ind w:firstLine="1304"/>
        <w:spacing w:after="0" w:line="279" w:lineRule="auto"/>
        <w:tabs>
          <w:tab w:leader="none" w:pos="1591" w:val="left"/>
        </w:tabs>
        <w:numPr>
          <w:ilvl w:val="1"/>
          <w:numId w:val="181"/>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3" w:lineRule="auto"/>
        <w:tabs>
          <w:tab w:leader="none" w:pos="154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1944"/>
        <w:spacing w:after="0" w:line="259" w:lineRule="auto"/>
        <w:rPr>
          <w:sz w:val="20"/>
          <w:szCs w:val="20"/>
          <w:color w:val="auto"/>
        </w:rPr>
      </w:pPr>
      <w:r>
        <w:rPr>
          <w:rFonts w:ascii="Arial" w:cs="Arial" w:eastAsia="Arial" w:hAnsi="Arial"/>
          <w:sz w:val="18"/>
          <w:szCs w:val="18"/>
          <w:color w:val="auto"/>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7" w:lineRule="exact"/>
        <w:rPr>
          <w:sz w:val="20"/>
          <w:szCs w:val="20"/>
          <w:color w:val="auto"/>
        </w:rPr>
      </w:pPr>
    </w:p>
    <w:p>
      <w:pPr>
        <w:ind w:firstLine="1952"/>
        <w:spacing w:after="0" w:line="277" w:lineRule="auto"/>
        <w:tabs>
          <w:tab w:leader="none" w:pos="2271"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transfer does not violate any restriction on transfer imposed by the Corporation that is enforceable in accordance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0" w:lineRule="exact"/>
        <w:rPr>
          <w:rFonts w:ascii="Arial" w:cs="Arial" w:eastAsia="Arial" w:hAnsi="Arial"/>
          <w:sz w:val="17"/>
          <w:szCs w:val="17"/>
          <w:color w:val="auto"/>
        </w:rPr>
      </w:pPr>
    </w:p>
    <w:p>
      <w:pPr>
        <w:ind w:left="2200" w:hanging="248"/>
        <w:spacing w:after="0"/>
        <w:tabs>
          <w:tab w:leader="none" w:pos="220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jc w:val="both"/>
        <w:ind w:firstLine="1304"/>
        <w:spacing w:after="0" w:line="311" w:lineRule="auto"/>
        <w:tabs>
          <w:tab w:leader="none" w:pos="155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5" w:lineRule="auto"/>
        <w:tabs>
          <w:tab w:leader="none" w:pos="157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55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1" w:name="page262"/>
    <w:bookmarkEnd w:id="261"/>
    <w:p>
      <w:pPr>
        <w:jc w:val="both"/>
        <w:ind w:firstLine="648"/>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provided, however, that, if the DGCL requires, an advancement of expenses incurred by an Indemnitee in his or her capacity as a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648"/>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adjudication</w:t>
      </w:r>
      <w:r>
        <w:rPr>
          <w:rFonts w:ascii="Arial" w:cs="Arial" w:eastAsia="Arial" w:hAnsi="Arial"/>
          <w:sz w:val="16"/>
          <w:szCs w:val="16"/>
          <w:color w:val="auto"/>
        </w:rPr>
        <w:t>”) that, the Indemnitee has not met any applicable standard for indemnification set forth in the DGCL. Neither the failure of the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648"/>
        <w:spacing w:after="0" w:line="255" w:lineRule="auto"/>
        <w:rPr>
          <w:sz w:val="20"/>
          <w:szCs w:val="20"/>
          <w:color w:val="auto"/>
        </w:rPr>
      </w:pPr>
      <w:r>
        <w:rPr>
          <w:rFonts w:ascii="Arial" w:cs="Arial" w:eastAsia="Arial" w:hAnsi="Arial"/>
          <w:sz w:val="18"/>
          <w:szCs w:val="18"/>
          <w:b w:val="1"/>
          <w:bCs w:val="1"/>
          <w:color w:val="auto"/>
        </w:rPr>
        <w:t>Section 8.7. Amendments</w:t>
      </w:r>
      <w:r>
        <w:rPr>
          <w:rFonts w:ascii="Arial" w:cs="Arial" w:eastAsia="Arial" w:hAnsi="Arial"/>
          <w:sz w:val="18"/>
          <w:szCs w:val="18"/>
          <w:color w:val="auto"/>
        </w:rPr>
        <w:t>. Any repeal or amendment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the stockholders of the Corporation or by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or the adoption of any other provision of these Bylaws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8.8. Certain 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(a) references to “</w:t>
      </w:r>
      <w:r>
        <w:rPr>
          <w:rFonts w:ascii="Arial" w:cs="Arial" w:eastAsia="Arial" w:hAnsi="Arial"/>
          <w:sz w:val="16"/>
          <w:szCs w:val="16"/>
          <w:b w:val="1"/>
          <w:bCs w:val="1"/>
          <w:i w:val="1"/>
          <w:i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jc w:val="both"/>
        <w:ind w:firstLine="8"/>
        <w:spacing w:after="0" w:line="253" w:lineRule="auto"/>
        <w:tabs>
          <w:tab w:leader="none" w:pos="2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ind w:left="660"/>
        <w:spacing w:after="0"/>
        <w:rPr>
          <w:sz w:val="20"/>
          <w:szCs w:val="20"/>
          <w:color w:val="auto"/>
        </w:rPr>
      </w:pPr>
      <w:r>
        <w:rPr>
          <w:rFonts w:ascii="Arial" w:cs="Arial" w:eastAsia="Arial" w:hAnsi="Arial"/>
          <w:sz w:val="18"/>
          <w:szCs w:val="18"/>
          <w:b w:val="1"/>
          <w:bCs w:val="1"/>
          <w:color w:val="auto"/>
        </w:rPr>
        <w:t>Section 9.2. Fixing Record Dates</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69" w:lineRule="auto"/>
        <w:tabs>
          <w:tab w:leader="none" w:pos="155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jc w:val="both"/>
        <w:ind w:firstLine="1304"/>
        <w:spacing w:after="0" w:line="275" w:lineRule="auto"/>
        <w:tabs>
          <w:tab w:leader="none" w:pos="157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88" w:lineRule="auto"/>
        <w:tabs>
          <w:tab w:leader="none" w:pos="154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1304"/>
        <w:spacing w:after="0" w:line="285" w:lineRule="auto"/>
        <w:tabs>
          <w:tab w:leader="none" w:pos="1551"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73" w:lineRule="exact"/>
        <w:rPr>
          <w:rFonts w:ascii="Arial" w:cs="Arial" w:eastAsia="Arial" w:hAnsi="Arial"/>
          <w:sz w:val="16"/>
          <w:szCs w:val="16"/>
          <w:color w:val="auto"/>
        </w:rPr>
      </w:pPr>
    </w:p>
    <w:p>
      <w:pPr>
        <w:jc w:val="both"/>
        <w:ind w:firstLine="1304"/>
        <w:spacing w:after="0" w:line="259" w:lineRule="auto"/>
        <w:tabs>
          <w:tab w:leader="none" w:pos="1594"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551"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6" w:name="page267"/>
    <w:bookmarkEnd w:id="266"/>
    <w:p>
      <w:pPr>
        <w:jc w:val="both"/>
        <w:ind w:firstLine="1304"/>
        <w:spacing w:after="0" w:line="254" w:lineRule="auto"/>
        <w:tabs>
          <w:tab w:leader="none" w:pos="1554"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w:t>
      </w:r>
    </w:p>
    <w:p>
      <w:pPr>
        <w:spacing w:after="0" w:line="2" w:lineRule="exact"/>
        <w:rPr>
          <w:sz w:val="20"/>
          <w:szCs w:val="20"/>
          <w:color w:val="auto"/>
        </w:rPr>
      </w:pPr>
    </w:p>
    <w:p>
      <w:pPr>
        <w:jc w:val="both"/>
        <w:ind w:firstLine="8"/>
        <w:spacing w:after="0" w:line="287" w:lineRule="auto"/>
        <w:tabs>
          <w:tab w:leader="none" w:pos="25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9.4. Waiver of Notice</w:t>
      </w:r>
      <w:r>
        <w:rPr>
          <w:rFonts w:ascii="Arial" w:cs="Arial" w:eastAsia="Arial" w:hAnsi="Arial"/>
          <w:sz w:val="17"/>
          <w:szCs w:val="17"/>
          <w:color w:val="auto"/>
        </w:rPr>
        <w:t>. Whenever any notice is required to be given under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jc w:val="both"/>
        <w:ind w:firstLine="1304"/>
        <w:spacing w:after="0" w:line="263" w:lineRule="auto"/>
        <w:tabs>
          <w:tab w:leader="none" w:pos="155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2160" w:hanging="208"/>
        <w:spacing w:after="0"/>
        <w:tabs>
          <w:tab w:leader="none" w:pos="21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21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7" w:name="page268"/>
    <w:bookmarkEnd w:id="267"/>
    <w:p>
      <w:pPr>
        <w:jc w:val="both"/>
        <w:ind w:firstLine="1304"/>
        <w:spacing w:after="0" w:line="257" w:lineRule="auto"/>
        <w:tabs>
          <w:tab w:leader="none" w:pos="156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it or a facsimile thereof to be impressed, affixed or otherwise reproduced.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8" w:name="page269"/>
    <w:bookmarkEnd w:id="268"/>
    <w:p>
      <w:pPr>
        <w:jc w:val="both"/>
        <w:ind w:firstLine="648"/>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9.13. Surety Bonds</w:t>
      </w:r>
      <w:r>
        <w:rPr>
          <w:rFonts w:ascii="Arial" w:cs="Arial" w:eastAsia="Arial" w:hAnsi="Arial"/>
          <w:sz w:val="18"/>
          <w:szCs w:val="18"/>
          <w:color w:val="auto"/>
        </w:rPr>
        <w:t>. Such officers, employees and agents of the Corporation (if any) as the Chairman of the Board,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9.14. Securities of Other Corporations</w:t>
      </w:r>
      <w:r>
        <w:rPr>
          <w:rFonts w:ascii="Arial" w:cs="Arial" w:eastAsia="Arial" w:hAnsi="Arial"/>
          <w:sz w:val="18"/>
          <w:szCs w:val="18"/>
          <w:color w:val="auto"/>
        </w:rPr>
        <w:t>. Powers of attorney, proxies, waivers of notice of meeting, consents in writing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9.15. Amendments</w:t>
      </w:r>
      <w:r>
        <w:rPr>
          <w:rFonts w:ascii="Arial" w:cs="Arial" w:eastAsia="Arial" w:hAnsi="Arial"/>
          <w:sz w:val="18"/>
          <w:szCs w:val="18"/>
          <w:color w:val="auto"/>
        </w:rPr>
        <w:t>. The Board shall have the power to adopt, amend, alter or repeal the Bylaws. The affirmative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Bylaws.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ind w:left="104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434" w:lineRule="exact"/>
        <w:rPr>
          <w:sz w:val="20"/>
          <w:szCs w:val="20"/>
          <w:color w:val="auto"/>
        </w:rPr>
      </w:pPr>
    </w:p>
    <w:p>
      <w:pPr>
        <w:sectPr>
          <w:pgSz w:w="11900" w:h="16838" w:orient="portrait"/>
          <w:cols w:equalWidth="0" w:num="2">
            <w:col w:w="9980" w:space="720"/>
            <w:col w:w="540"/>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1"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CUSIP___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jc w:val="center"/>
        <w:ind w:left="340" w:right="140"/>
        <w:spacing w:after="0" w:line="282" w:lineRule="auto"/>
        <w:rPr>
          <w:sz w:val="20"/>
          <w:szCs w:val="20"/>
          <w:color w:val="auto"/>
        </w:rPr>
      </w:pPr>
      <w:r>
        <w:rPr>
          <w:rFonts w:ascii="Arial" w:cs="Arial" w:eastAsia="Arial" w:hAnsi="Arial"/>
          <w:sz w:val="18"/>
          <w:szCs w:val="18"/>
          <w:b w:val="1"/>
          <w:bCs w:val="1"/>
          <w:color w:val="auto"/>
        </w:rPr>
        <w:t>UNITS CONSISTING OF ONE SHARE OF CLASS A COMMON STOCK AND ONE-THIRD OF ONE REDEEMABLE WARRANT, EACH WHOLE WARRANT ENTITLING THE HOLDER TO PURCHASE ONE SHARE OF CLASS A COMMON STOCK</w:t>
      </w:r>
    </w:p>
    <w:p>
      <w:pPr>
        <w:spacing w:after="0" w:line="166" w:lineRule="exact"/>
        <w:rPr>
          <w:sz w:val="20"/>
          <w:szCs w:val="20"/>
          <w:color w:val="auto"/>
        </w:rPr>
      </w:pPr>
    </w:p>
    <w:p>
      <w:pPr>
        <w:ind w:left="340"/>
        <w:spacing w:after="0"/>
        <w:tabs>
          <w:tab w:leader="none" w:pos="2900" w:val="left"/>
          <w:tab w:leader="none" w:pos="4740" w:val="left"/>
        </w:tabs>
        <w:rPr>
          <w:sz w:val="20"/>
          <w:szCs w:val="20"/>
          <w:color w:val="auto"/>
        </w:rPr>
      </w:pPr>
      <w:r>
        <w:rPr>
          <w:rFonts w:ascii="Arial" w:cs="Arial" w:eastAsia="Arial" w:hAnsi="Arial"/>
          <w:sz w:val="18"/>
          <w:szCs w:val="18"/>
          <w:color w:val="auto"/>
        </w:rPr>
        <w:t>THIS CERTIFIES THAT</w:t>
      </w:r>
      <w:r>
        <w:rPr>
          <w:sz w:val="20"/>
          <w:szCs w:val="20"/>
          <w:color w:val="auto"/>
        </w:rPr>
        <w:tab/>
      </w:r>
      <w:r>
        <w:rPr>
          <w:rFonts w:ascii="Arial" w:cs="Arial" w:eastAsia="Arial" w:hAnsi="Arial"/>
          <w:sz w:val="18"/>
          <w:szCs w:val="18"/>
          <w:color w:val="auto"/>
        </w:rPr>
        <w:t>is the owner of</w:t>
      </w:r>
      <w:r>
        <w:rPr>
          <w:sz w:val="20"/>
          <w:szCs w:val="20"/>
          <w:color w:val="auto"/>
        </w:rPr>
        <w:tab/>
      </w:r>
      <w:r>
        <w:rPr>
          <w:rFonts w:ascii="Arial" w:cs="Arial" w:eastAsia="Arial" w:hAnsi="Arial"/>
          <w:sz w:val="17"/>
          <w:szCs w:val="17"/>
          <w:color w:val="auto"/>
        </w:rPr>
        <w:t>Units.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i w:val="1"/>
          <w:iCs w:val="1"/>
          <w:color w:val="auto"/>
        </w:rPr>
        <w:t>Unit</w:t>
      </w:r>
      <w:r>
        <w:rPr>
          <w:rFonts w:ascii="Arial" w:cs="Arial" w:eastAsia="Arial" w:hAnsi="Arial"/>
          <w:sz w:val="16"/>
          <w:szCs w:val="16"/>
          <w:color w:val="auto"/>
        </w:rPr>
        <w:t>”) consists of one share of Class A common stock, par value $0.0001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CM Life 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one-third of one redeemable warrant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Each whole Warrant entitles the holder to purchase one share of Common Stock for $11.50 per share (subject to adjustment). Only whole Warrants are exercisable. Each whole Warrant will become exercisable on the later of (i) thirty (30) days after the Company’s completion of a merger, capital stock exchange, asset acquisition, stock purchase, reorganization or other similar business combination with one or more businesses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and (ii) twelve (12) months from the closing of the Company’s initial public offering, and will expire unless exercised before 5:00 p.m., New York City Time, on the date that is five (5) years after the date on which the Company completes its initial Business Combination, or earlier upon redemption or liquidation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The Common Stock</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and Warrants comprising the Units represented by this certificate are not transferable separately prior to , 2020, unless Jefferies LLC elects to allow separate trading earlier, subject to the Company’s filing of a Current Report on Form 8-K with the Securities and Exchange Commission containing an audited balance sheet reflecting the Company’s receipt of the gross proceeds of the Company’s initial public offering and issuing a press release announcing when separate trading will begin. No fractional Warrants will be issued upon separation of the Units. The terms of the Warrants are governed</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by a Warrant Agreement, dated as of , 2020, between the Company and Continental Stock Transfer &amp; Trust Company, as Warrant Agent, and are subject to the terms and provisions contained therein, all of which terms and provisions the holder of this certificate consents to by acceptance hereof.</w:t>
      </w:r>
    </w:p>
    <w:p>
      <w:pPr>
        <w:spacing w:after="0" w:line="1" w:lineRule="exact"/>
        <w:rPr>
          <w:sz w:val="20"/>
          <w:szCs w:val="20"/>
          <w:color w:val="auto"/>
        </w:rPr>
      </w:pPr>
    </w:p>
    <w:p>
      <w:pPr>
        <w:jc w:val="both"/>
        <w:ind w:right="20"/>
        <w:spacing w:after="0" w:line="209" w:lineRule="auto"/>
        <w:rPr>
          <w:sz w:val="20"/>
          <w:szCs w:val="20"/>
          <w:color w:val="auto"/>
        </w:rPr>
      </w:pPr>
      <w:r>
        <w:rPr>
          <w:rFonts w:ascii="Arial" w:cs="Arial" w:eastAsia="Arial" w:hAnsi="Arial"/>
          <w:sz w:val="18"/>
          <w:szCs w:val="18"/>
          <w:color w:val="auto"/>
        </w:rPr>
        <w:t>Copies of the Warrant Agreement are on file at the office of the Warrant Agent at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10004, and are available to any Warrant holder on written request and without cost.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shall be governed by and construed in accordance with the internal laws of the State of New York.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equity or series thereof of the Company and the qualifications, limitations, or restrictions of such preferences and/or rights.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Arial" w:cs="Arial" w:eastAsia="Arial" w:hAnsi="Arial"/>
                <w:sz w:val="18"/>
                <w:szCs w:val="18"/>
                <w:color w:val="auto"/>
              </w:rPr>
              <w:t>TEN COM</w:t>
            </w: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as tenants in common</w:t>
            </w:r>
          </w:p>
        </w:tc>
        <w:tc>
          <w:tcPr>
            <w:tcW w:w="4100" w:type="dxa"/>
            <w:vAlign w:val="bottom"/>
            <w:gridSpan w:val="2"/>
          </w:tcPr>
          <w:p>
            <w:pPr>
              <w:ind w:left="580"/>
              <w:spacing w:after="0"/>
              <w:rPr>
                <w:sz w:val="20"/>
                <w:szCs w:val="20"/>
                <w:color w:val="auto"/>
              </w:rPr>
            </w:pPr>
            <w:r>
              <w:rPr>
                <w:rFonts w:ascii="Arial" w:cs="Arial" w:eastAsia="Arial" w:hAnsi="Arial"/>
                <w:sz w:val="18"/>
                <w:szCs w:val="18"/>
                <w:color w:val="auto"/>
              </w:rPr>
              <w:t>UNIF GIFT MIN ACT</w:t>
            </w:r>
          </w:p>
        </w:tc>
        <w:tc>
          <w:tcPr>
            <w:tcW w:w="2000" w:type="dxa"/>
            <w:vAlign w:val="bottom"/>
            <w:gridSpan w:val="2"/>
          </w:tcPr>
          <w:p>
            <w:pPr>
              <w:ind w:left="14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47"/>
        </w:trPr>
        <w:tc>
          <w:tcPr>
            <w:tcW w:w="104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50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3600" w:type="dxa"/>
            <w:vAlign w:val="bottom"/>
            <w:vMerge w:val="restart"/>
          </w:tcPr>
          <w:p>
            <w:pPr>
              <w:ind w:left="60"/>
              <w:spacing w:after="0"/>
              <w:rPr>
                <w:sz w:val="20"/>
                <w:szCs w:val="20"/>
                <w:color w:val="auto"/>
              </w:rPr>
            </w:pPr>
            <w:r>
              <w:rPr>
                <w:rFonts w:ascii="Arial" w:cs="Arial" w:eastAsia="Arial" w:hAnsi="Arial"/>
                <w:sz w:val="18"/>
                <w:szCs w:val="18"/>
                <w:color w:val="auto"/>
              </w:rPr>
              <w:t>as tenants by the entireties</w:t>
            </w:r>
          </w:p>
        </w:tc>
        <w:tc>
          <w:tcPr>
            <w:tcW w:w="3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360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(Cust)</w:t>
            </w:r>
          </w:p>
        </w:tc>
        <w:tc>
          <w:tcPr>
            <w:tcW w:w="100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18"/>
                <w:szCs w:val="18"/>
                <w:color w:val="auto"/>
              </w:rPr>
              <w:t>JT TEN</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as joint tenants with right of survivorship</w:t>
            </w:r>
          </w:p>
        </w:tc>
        <w:tc>
          <w:tcPr>
            <w:tcW w:w="3100" w:type="dxa"/>
            <w:vAlign w:val="bottom"/>
          </w:tcPr>
          <w:p>
            <w:pPr>
              <w:spacing w:after="0"/>
              <w:rPr>
                <w:sz w:val="20"/>
                <w:szCs w:val="20"/>
                <w:color w:val="auto"/>
              </w:rPr>
            </w:pPr>
          </w:p>
        </w:tc>
        <w:tc>
          <w:tcPr>
            <w:tcW w:w="3000" w:type="dxa"/>
            <w:vAlign w:val="bottom"/>
            <w:gridSpan w:val="3"/>
          </w:tcPr>
          <w:p>
            <w:pPr>
              <w:ind w:left="260"/>
              <w:spacing w:after="0"/>
              <w:rPr>
                <w:sz w:val="20"/>
                <w:szCs w:val="20"/>
                <w:color w:val="auto"/>
              </w:rPr>
            </w:pPr>
            <w:r>
              <w:rPr>
                <w:rFonts w:ascii="Arial" w:cs="Arial" w:eastAsia="Arial" w:hAnsi="Arial"/>
                <w:sz w:val="18"/>
                <w:szCs w:val="18"/>
                <w:color w:val="auto"/>
              </w:rPr>
              <w:t>under Uniform Gfts to Minors Act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0" w:type="dxa"/>
            <w:vAlign w:val="bottom"/>
          </w:tcPr>
          <w:p>
            <w:pPr>
              <w:ind w:left="60"/>
              <w:spacing w:after="0"/>
              <w:rPr>
                <w:sz w:val="20"/>
                <w:szCs w:val="20"/>
                <w:color w:val="auto"/>
              </w:rPr>
            </w:pPr>
            <w:r>
              <w:rPr>
                <w:rFonts w:ascii="Arial" w:cs="Arial" w:eastAsia="Arial" w:hAnsi="Arial"/>
                <w:sz w:val="18"/>
                <w:szCs w:val="18"/>
                <w:color w:val="auto"/>
              </w:rPr>
              <w:t>and not as tenants in common</w:t>
            </w:r>
          </w:p>
        </w:tc>
        <w:tc>
          <w:tcPr>
            <w:tcW w:w="3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25400</wp:posOffset>
            </wp:positionV>
            <wp:extent cx="190309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33" w:lineRule="exact"/>
        <w:rPr>
          <w:sz w:val="20"/>
          <w:szCs w:val="20"/>
          <w:color w:val="auto"/>
        </w:rPr>
      </w:pPr>
    </w:p>
    <w:p>
      <w:pPr>
        <w:ind w:left="9500"/>
        <w:spacing w:after="0"/>
        <w:rPr>
          <w:sz w:val="20"/>
          <w:szCs w:val="20"/>
          <w:color w:val="auto"/>
        </w:rPr>
      </w:pPr>
      <w:r>
        <w:rPr>
          <w:rFonts w:ascii="Arial" w:cs="Arial" w:eastAsia="Arial" w:hAnsi="Arial"/>
          <w:sz w:val="18"/>
          <w:szCs w:val="18"/>
          <w:u w:val="single" w:color="auto"/>
          <w:color w:val="auto"/>
        </w:rPr>
        <w:t>(State)</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DENTIFYING NUMBER OF ASSIGNEE)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Units represented by the within Certificate, and do hereby irrevocably constitute and appoint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 to transfer the said Units on the books of the within named Company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3" w:lineRule="exact"/>
        <w:rPr>
          <w:sz w:val="20"/>
          <w:szCs w:val="20"/>
          <w:color w:val="auto"/>
        </w:rPr>
      </w:pPr>
    </w:p>
    <w:p>
      <w:pPr>
        <w:jc w:val="both"/>
        <w:ind w:left="4500"/>
        <w:spacing w:after="0" w:line="255"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 to this assignment must correspond with the name as written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face of the certificate in every particular, without alteration or enlargement or any change whatever.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28625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  RULE  17Ad-15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AS AMENDED (OR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SUCCESSOR RULE)).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 dated</w:t>
      </w:r>
    </w:p>
    <w:p>
      <w:pPr>
        <w:spacing w:after="0" w:line="35" w:lineRule="exact"/>
        <w:rPr>
          <w:sz w:val="20"/>
          <w:szCs w:val="20"/>
          <w:color w:val="auto"/>
        </w:rPr>
      </w:pPr>
    </w:p>
    <w:p>
      <w:pPr>
        <w:jc w:val="both"/>
        <w:ind w:firstLine="960"/>
        <w:spacing w:after="0" w:line="286" w:lineRule="auto"/>
        <w:tabs>
          <w:tab w:leader="none" w:pos="10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2020, the holder(s) of this certificate shall be entitled to receive a pro rata portion of certain funds held in the trust account established in connection with the Company’s initial public offering only in the event that (i) the Company redeems the shares of Common Stock sold in the Company’s initial public offering and liquidates because it does not consummate an initial business combination by the date set forth (the “Last Date”) in the Company’s Amended and Restated Certificate of Incorporation, as the same may be amended from time to time (the “Charter”), (ii) the Company redeems the shares of Common Stock sold in its initial public offering properly submitted in connection with a stockholder vote to amend the Charter to modify the substance or timing of the Company’s obligation to redeem 100% of the Common Stock if it does not consummate an initial business combination by the Last Date or with respect to any other material provisions relating to stockholders’ rights or pre-initial business combination activity,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___________</w:t>
            </w:r>
          </w:p>
        </w:tc>
      </w:tr>
      <w:tr>
        <w:trPr>
          <w:trHeight w:val="453"/>
        </w:trPr>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80" w:type="dxa"/>
            <w:vAlign w:val="bottom"/>
          </w:tcPr>
          <w:p>
            <w:pPr>
              <w:jc w:val="right"/>
              <w:ind w:right="3450"/>
              <w:spacing w:after="0"/>
              <w:rPr>
                <w:sz w:val="20"/>
                <w:szCs w:val="20"/>
                <w:color w:val="auto"/>
              </w:rPr>
            </w:pPr>
            <w:r>
              <w:rPr>
                <w:rFonts w:ascii="Arial" w:cs="Arial" w:eastAsia="Arial" w:hAnsi="Arial"/>
                <w:sz w:val="18"/>
                <w:szCs w:val="18"/>
                <w:b w:val="1"/>
                <w:bCs w:val="1"/>
                <w:color w:val="auto"/>
              </w:rPr>
              <w:t>CM LIFE SCIENCES, INC.</w:t>
            </w:r>
          </w:p>
        </w:tc>
        <w:tc>
          <w:tcPr>
            <w:tcW w:w="980" w:type="dxa"/>
            <w:vAlign w:val="bottom"/>
            <w:tcBorders>
              <w:top w:val="single" w:sz="8" w:color="auto"/>
            </w:tcBorders>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2"/>
          </w:tcPr>
          <w:p>
            <w:pPr>
              <w:jc w:val="right"/>
              <w:ind w:right="4440"/>
              <w:spacing w:after="0"/>
              <w:rPr>
                <w:sz w:val="20"/>
                <w:szCs w:val="20"/>
                <w:color w:val="auto"/>
              </w:rPr>
            </w:pPr>
            <w:r>
              <w:rPr>
                <w:rFonts w:ascii="Arial" w:cs="Arial" w:eastAsia="Arial" w:hAnsi="Arial"/>
                <w:sz w:val="18"/>
                <w:szCs w:val="18"/>
                <w:b w:val="1"/>
                <w:bCs w:val="1"/>
                <w:color w:val="auto"/>
              </w:rPr>
              <w:t>CLASS A COMMON STOCK</w:t>
            </w:r>
          </w:p>
        </w:tc>
      </w:tr>
      <w:tr>
        <w:trPr>
          <w:trHeight w:val="432"/>
        </w:trPr>
        <w:tc>
          <w:tcPr>
            <w:tcW w:w="2200" w:type="dxa"/>
            <w:vAlign w:val="bottom"/>
          </w:tcPr>
          <w:p>
            <w:pPr>
              <w:spacing w:after="0"/>
              <w:rPr>
                <w:sz w:val="20"/>
                <w:szCs w:val="20"/>
                <w:color w:val="auto"/>
              </w:rPr>
            </w:pPr>
            <w:r>
              <w:rPr>
                <w:rFonts w:ascii="Arial" w:cs="Arial" w:eastAsia="Arial" w:hAnsi="Arial"/>
                <w:sz w:val="18"/>
                <w:szCs w:val="18"/>
                <w:color w:val="auto"/>
              </w:rPr>
              <w:t>THIS CERTIFIES THAT</w:t>
            </w:r>
          </w:p>
        </w:tc>
        <w:tc>
          <w:tcPr>
            <w:tcW w:w="1520" w:type="dxa"/>
            <w:vAlign w:val="bottom"/>
          </w:tcPr>
          <w:p>
            <w:pPr>
              <w:ind w:left="360"/>
              <w:spacing w:after="0"/>
              <w:rPr>
                <w:sz w:val="20"/>
                <w:szCs w:val="20"/>
                <w:color w:val="auto"/>
              </w:rPr>
            </w:pPr>
            <w:r>
              <w:rPr>
                <w:rFonts w:ascii="Arial" w:cs="Arial" w:eastAsia="Arial" w:hAnsi="Arial"/>
                <w:sz w:val="18"/>
                <w:szCs w:val="18"/>
                <w:color w:val="auto"/>
                <w:w w:val="97"/>
              </w:rPr>
              <w:t>is the owner of</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w w:val="99"/>
              </w:rPr>
              <w:t>fully paid and non-assessable shares of Class A common stock, par value $0.0001 per</w:t>
            </w:r>
          </w:p>
        </w:tc>
      </w:tr>
    </w:tbl>
    <w:p>
      <w:pPr>
        <w:jc w:val="both"/>
        <w:spacing w:after="0" w:line="260" w:lineRule="auto"/>
        <w:rPr>
          <w:sz w:val="20"/>
          <w:szCs w:val="20"/>
          <w:color w:val="auto"/>
        </w:rPr>
      </w:pPr>
      <w:r>
        <w:rPr>
          <w:rFonts w:ascii="Arial" w:cs="Arial" w:eastAsia="Arial" w:hAnsi="Arial"/>
          <w:sz w:val="18"/>
          <w:szCs w:val="18"/>
          <w:color w:val="auto"/>
        </w:rPr>
        <w:t>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Arial" w:cs="Arial" w:eastAsia="Arial" w:hAnsi="Arial"/>
                <w:sz w:val="18"/>
                <w:szCs w:val="18"/>
                <w:color w:val="auto"/>
              </w:rPr>
              <w:t>TEN COM</w:t>
            </w:r>
          </w:p>
        </w:tc>
        <w:tc>
          <w:tcPr>
            <w:tcW w:w="4100" w:type="dxa"/>
            <w:vAlign w:val="bottom"/>
            <w:gridSpan w:val="2"/>
          </w:tcPr>
          <w:p>
            <w:pPr>
              <w:ind w:left="240"/>
              <w:spacing w:after="0"/>
              <w:rPr>
                <w:sz w:val="20"/>
                <w:szCs w:val="20"/>
                <w:color w:val="auto"/>
              </w:rPr>
            </w:pPr>
            <w:r>
              <w:rPr>
                <w:rFonts w:ascii="Arial" w:cs="Arial" w:eastAsia="Arial" w:hAnsi="Arial"/>
                <w:sz w:val="18"/>
                <w:szCs w:val="18"/>
                <w:color w:val="auto"/>
              </w:rPr>
              <w:t>—  as tenants in common</w:t>
            </w:r>
          </w:p>
        </w:tc>
        <w:tc>
          <w:tcPr>
            <w:tcW w:w="4100" w:type="dxa"/>
            <w:vAlign w:val="bottom"/>
            <w:gridSpan w:val="2"/>
          </w:tcPr>
          <w:p>
            <w:pPr>
              <w:ind w:left="580"/>
              <w:spacing w:after="0"/>
              <w:rPr>
                <w:sz w:val="20"/>
                <w:szCs w:val="20"/>
                <w:color w:val="auto"/>
              </w:rPr>
            </w:pPr>
            <w:r>
              <w:rPr>
                <w:rFonts w:ascii="Arial" w:cs="Arial" w:eastAsia="Arial" w:hAnsi="Arial"/>
                <w:sz w:val="18"/>
                <w:szCs w:val="18"/>
                <w:color w:val="auto"/>
              </w:rPr>
              <w:t>UNIF GIFT MIN ACT</w:t>
            </w:r>
          </w:p>
        </w:tc>
        <w:tc>
          <w:tcPr>
            <w:tcW w:w="2000" w:type="dxa"/>
            <w:vAlign w:val="bottom"/>
            <w:gridSpan w:val="2"/>
          </w:tcPr>
          <w:p>
            <w:pPr>
              <w:jc w:val="center"/>
              <w:ind w:right="910"/>
              <w:spacing w:after="0"/>
              <w:rPr>
                <w:sz w:val="20"/>
                <w:szCs w:val="20"/>
                <w:color w:val="auto"/>
              </w:rPr>
            </w:pPr>
            <w:r>
              <w:rPr>
                <w:rFonts w:ascii="Arial" w:cs="Arial" w:eastAsia="Arial" w:hAnsi="Arial"/>
                <w:sz w:val="18"/>
                <w:szCs w:val="18"/>
                <w:color w:val="auto"/>
                <w:w w:val="88"/>
              </w:rPr>
              <w:t>Custodian</w:t>
            </w:r>
          </w:p>
        </w:tc>
        <w:tc>
          <w:tcPr>
            <w:tcW w:w="0" w:type="dxa"/>
            <w:vAlign w:val="bottom"/>
          </w:tcPr>
          <w:p>
            <w:pPr>
              <w:spacing w:after="0"/>
              <w:rPr>
                <w:sz w:val="1"/>
                <w:szCs w:val="1"/>
                <w:color w:val="auto"/>
              </w:rPr>
            </w:pPr>
          </w:p>
        </w:tc>
      </w:tr>
      <w:tr>
        <w:trPr>
          <w:trHeight w:val="48"/>
        </w:trPr>
        <w:tc>
          <w:tcPr>
            <w:tcW w:w="104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50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3600" w:type="dxa"/>
            <w:vAlign w:val="bottom"/>
            <w:vMerge w:val="restart"/>
          </w:tcPr>
          <w:p>
            <w:pPr>
              <w:ind w:left="60"/>
              <w:spacing w:after="0"/>
              <w:rPr>
                <w:sz w:val="20"/>
                <w:szCs w:val="20"/>
                <w:color w:val="auto"/>
              </w:rPr>
            </w:pPr>
            <w:r>
              <w:rPr>
                <w:rFonts w:ascii="Arial" w:cs="Arial" w:eastAsia="Arial" w:hAnsi="Arial"/>
                <w:sz w:val="18"/>
                <w:szCs w:val="18"/>
                <w:color w:val="auto"/>
              </w:rPr>
              <w:t>as tenants by the entireties</w:t>
            </w:r>
          </w:p>
        </w:tc>
        <w:tc>
          <w:tcPr>
            <w:tcW w:w="3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3600" w:type="dxa"/>
            <w:vAlign w:val="bottom"/>
            <w:vMerge w:val="continue"/>
          </w:tcPr>
          <w:p>
            <w:pPr>
              <w:spacing w:after="0"/>
              <w:rPr>
                <w:sz w:val="20"/>
                <w:szCs w:val="20"/>
                <w:color w:val="auto"/>
              </w:rPr>
            </w:pPr>
          </w:p>
        </w:tc>
        <w:tc>
          <w:tcPr>
            <w:tcW w:w="3100" w:type="dxa"/>
            <w:vAlign w:val="bottom"/>
          </w:tcPr>
          <w:p>
            <w:pPr>
              <w:spacing w:after="0"/>
              <w:rPr>
                <w:sz w:val="20"/>
                <w:szCs w:val="20"/>
                <w:color w:val="auto"/>
              </w:rPr>
            </w:pPr>
          </w:p>
        </w:tc>
        <w:tc>
          <w:tcPr>
            <w:tcW w:w="1000" w:type="dxa"/>
            <w:vAlign w:val="bottom"/>
          </w:tcPr>
          <w:p>
            <w:pPr>
              <w:ind w:left="280"/>
              <w:spacing w:after="0"/>
              <w:rPr>
                <w:sz w:val="20"/>
                <w:szCs w:val="20"/>
                <w:color w:val="auto"/>
              </w:rPr>
            </w:pPr>
            <w:r>
              <w:rPr>
                <w:rFonts w:ascii="Arial" w:cs="Arial" w:eastAsia="Arial" w:hAnsi="Arial"/>
                <w:sz w:val="18"/>
                <w:szCs w:val="18"/>
                <w:color w:val="auto"/>
              </w:rPr>
              <w:t>(Cust)</w:t>
            </w:r>
          </w:p>
        </w:tc>
        <w:tc>
          <w:tcPr>
            <w:tcW w:w="1000" w:type="dxa"/>
            <w:vAlign w:val="bottom"/>
          </w:tcPr>
          <w:p>
            <w:pPr>
              <w:spacing w:after="0"/>
              <w:rPr>
                <w:sz w:val="20"/>
                <w:szCs w:val="20"/>
                <w:color w:val="auto"/>
              </w:rPr>
            </w:pPr>
          </w:p>
        </w:tc>
        <w:tc>
          <w:tcPr>
            <w:tcW w:w="1000" w:type="dxa"/>
            <w:vAlign w:val="bottom"/>
          </w:tcPr>
          <w:p>
            <w:pPr>
              <w:ind w:left="22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r>
              <w:rPr>
                <w:rFonts w:ascii="Arial" w:cs="Arial" w:eastAsia="Arial" w:hAnsi="Arial"/>
                <w:sz w:val="18"/>
                <w:szCs w:val="18"/>
                <w:color w:val="auto"/>
              </w:rPr>
              <w:t>JT TEN</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600" w:type="dxa"/>
            <w:vAlign w:val="bottom"/>
          </w:tcPr>
          <w:p>
            <w:pPr>
              <w:ind w:left="60"/>
              <w:spacing w:after="0"/>
              <w:rPr>
                <w:sz w:val="20"/>
                <w:szCs w:val="20"/>
                <w:color w:val="auto"/>
              </w:rPr>
            </w:pPr>
            <w:r>
              <w:rPr>
                <w:rFonts w:ascii="Arial" w:cs="Arial" w:eastAsia="Arial" w:hAnsi="Arial"/>
                <w:sz w:val="18"/>
                <w:szCs w:val="18"/>
                <w:color w:val="auto"/>
              </w:rPr>
              <w:t>as joint tenants with right of survivorship</w:t>
            </w:r>
          </w:p>
        </w:tc>
        <w:tc>
          <w:tcPr>
            <w:tcW w:w="3100" w:type="dxa"/>
            <w:vAlign w:val="bottom"/>
          </w:tcPr>
          <w:p>
            <w:pPr>
              <w:spacing w:after="0"/>
              <w:rPr>
                <w:sz w:val="20"/>
                <w:szCs w:val="20"/>
                <w:color w:val="auto"/>
              </w:rPr>
            </w:pPr>
          </w:p>
        </w:tc>
        <w:tc>
          <w:tcPr>
            <w:tcW w:w="3000" w:type="dxa"/>
            <w:vAlign w:val="bottom"/>
            <w:gridSpan w:val="3"/>
          </w:tcPr>
          <w:p>
            <w:pPr>
              <w:jc w:val="center"/>
              <w:spacing w:after="0"/>
              <w:rPr>
                <w:sz w:val="20"/>
                <w:szCs w:val="20"/>
                <w:color w:val="auto"/>
              </w:rPr>
            </w:pPr>
            <w:r>
              <w:rPr>
                <w:rFonts w:ascii="Arial" w:cs="Arial" w:eastAsia="Arial" w:hAnsi="Arial"/>
                <w:sz w:val="18"/>
                <w:szCs w:val="18"/>
                <w:color w:val="auto"/>
                <w:w w:val="94"/>
              </w:rPr>
              <w:t>under Uniform Gifts to Minors Act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0" w:type="dxa"/>
            <w:vAlign w:val="bottom"/>
          </w:tcPr>
          <w:p>
            <w:pPr>
              <w:ind w:left="60"/>
              <w:spacing w:after="0"/>
              <w:rPr>
                <w:sz w:val="20"/>
                <w:szCs w:val="20"/>
                <w:color w:val="auto"/>
              </w:rPr>
            </w:pPr>
            <w:r>
              <w:rPr>
                <w:rFonts w:ascii="Arial" w:cs="Arial" w:eastAsia="Arial" w:hAnsi="Arial"/>
                <w:sz w:val="18"/>
                <w:szCs w:val="18"/>
                <w:color w:val="auto"/>
              </w:rPr>
              <w:t>and not as tenants in common</w:t>
            </w:r>
          </w:p>
        </w:tc>
        <w:tc>
          <w:tcPr>
            <w:tcW w:w="3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26035</wp:posOffset>
            </wp:positionV>
            <wp:extent cx="190309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1903095" cy="17145"/>
                    </a:xfrm>
                    <a:prstGeom prst="rect">
                      <a:avLst/>
                    </a:prstGeom>
                    <a:noFill/>
                  </pic:spPr>
                </pic:pic>
              </a:graphicData>
            </a:graphic>
          </wp:anchor>
        </w:drawing>
      </w:r>
    </w:p>
    <w:p>
      <w:pPr>
        <w:spacing w:after="0" w:line="33" w:lineRule="exact"/>
        <w:rPr>
          <w:sz w:val="20"/>
          <w:szCs w:val="20"/>
          <w:color w:val="auto"/>
        </w:rPr>
      </w:pPr>
    </w:p>
    <w:p>
      <w:pPr>
        <w:ind w:left="9500"/>
        <w:spacing w:after="0"/>
        <w:rPr>
          <w:sz w:val="20"/>
          <w:szCs w:val="20"/>
          <w:color w:val="auto"/>
        </w:rPr>
      </w:pPr>
      <w:r>
        <w:rPr>
          <w:rFonts w:ascii="Arial" w:cs="Arial" w:eastAsia="Arial" w:hAnsi="Arial"/>
          <w:sz w:val="18"/>
          <w:szCs w:val="18"/>
          <w:u w:val="single" w:color="auto"/>
          <w:color w:val="auto"/>
        </w:rPr>
        <w:t>(State)</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i w:val="1"/>
          <w:iCs w:val="1"/>
          <w:color w:val="auto"/>
        </w:rPr>
        <w:t>For value received,</w:t>
      </w:r>
      <w:r>
        <w:rPr>
          <w:sz w:val="20"/>
          <w:szCs w:val="20"/>
          <w:color w:val="auto"/>
        </w:rPr>
        <w:tab/>
      </w:r>
      <w:r>
        <w:rPr>
          <w:rFonts w:ascii="Arial" w:cs="Arial" w:eastAsia="Arial" w:hAnsi="Arial"/>
          <w:sz w:val="16"/>
          <w:szCs w:val="16"/>
          <w:i w:val="1"/>
          <w:iCs w:val="1"/>
          <w:color w:val="auto"/>
        </w:rPr>
        <w:t>hereby sell, assign and transfer unto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shares of Common Stock represented by the within Certificate, and hereby irrevocably constitutes and appoints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Attorney to transfer the said shares of Common Stock on the books of the within named Company with full power of substitution in the premises.</w:t>
      </w:r>
    </w:p>
    <w:p>
      <w:pPr>
        <w:sectPr>
          <w:pgSz w:w="11900" w:h="16838" w:orient="portrait"/>
          <w:cols w:equalWidth="0" w:num="1">
            <w:col w:w="11240"/>
          </w:cols>
          <w:pgMar w:left="320" w:top="904"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The signature(s) to this assignment must correspond with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as written upon the face of the certificate in every particular, without alteration or enlargement or any change whatever.</w:t>
      </w:r>
    </w:p>
    <w:p>
      <w:pPr>
        <w:spacing w:after="0" w:line="200" w:lineRule="exact"/>
        <w:rPr>
          <w:sz w:val="20"/>
          <w:szCs w:val="20"/>
          <w:color w:val="auto"/>
        </w:rPr>
      </w:pPr>
    </w:p>
    <w:p>
      <w:pPr>
        <w:sectPr>
          <w:pgSz w:w="11900" w:h="16838" w:orient="portrait"/>
          <w:cols w:equalWidth="0" w:num="3">
            <w:col w:w="500" w:space="160"/>
            <w:col w:w="4360" w:space="720"/>
            <w:col w:w="5500"/>
          </w:cols>
          <w:pgMar w:left="320" w:top="904" w:right="339" w:bottom="1440" w:gutter="0" w:footer="0" w:header="0"/>
          <w:type w:val="continuous"/>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MUST BE GUARANTEED BY AN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STOCKBROKERS, SAVINGS</w:t>
      </w:r>
    </w:p>
    <w:p>
      <w:pPr>
        <w:spacing w:after="0" w:line="9" w:lineRule="exact"/>
        <w:rPr>
          <w:sz w:val="20"/>
          <w:szCs w:val="20"/>
          <w:color w:val="auto"/>
        </w:rPr>
      </w:pPr>
    </w:p>
    <w:p>
      <w:pPr>
        <w:spacing w:after="0"/>
        <w:tabs>
          <w:tab w:leader="none" w:pos="580" w:val="left"/>
          <w:tab w:leader="none" w:pos="1300" w:val="left"/>
          <w:tab w:leader="none" w:pos="2780" w:val="left"/>
          <w:tab w:leader="none" w:pos="3380" w:val="left"/>
          <w:tab w:leader="none" w:pos="4240" w:val="left"/>
          <w:tab w:leader="none" w:pos="5140" w:val="left"/>
        </w:tabs>
        <w:rPr>
          <w:sz w:val="20"/>
          <w:szCs w:val="20"/>
          <w:color w:val="auto"/>
        </w:rPr>
      </w:pPr>
      <w:r>
        <w:rPr>
          <w:rFonts w:ascii="Arial" w:cs="Arial" w:eastAsia="Arial" w:hAnsi="Arial"/>
          <w:sz w:val="18"/>
          <w:szCs w:val="18"/>
          <w:color w:val="auto"/>
        </w:rPr>
        <w:t>AND</w:t>
        <w:tab/>
        <w:t>LOAN</w:t>
        <w:tab/>
        <w:t>ASSOCIATIONS</w:t>
        <w:tab/>
        <w:t>AND</w:t>
        <w:tab/>
        <w:t>CREDIT</w:t>
        <w:tab/>
        <w:t>UNIONS</w:t>
        <w:tab/>
        <w:t>WITH</w:t>
      </w:r>
    </w:p>
    <w:p>
      <w:pPr>
        <w:spacing w:after="0" w:line="9" w:lineRule="exact"/>
        <w:rPr>
          <w:sz w:val="20"/>
          <w:szCs w:val="20"/>
          <w:color w:val="auto"/>
        </w:rPr>
      </w:pPr>
    </w:p>
    <w:p>
      <w:pPr>
        <w:spacing w:after="0"/>
        <w:tabs>
          <w:tab w:leader="none" w:pos="1340" w:val="left"/>
          <w:tab w:leader="none" w:pos="1720" w:val="left"/>
          <w:tab w:leader="none" w:pos="2180" w:val="left"/>
          <w:tab w:leader="none" w:pos="3300" w:val="left"/>
          <w:tab w:leader="none" w:pos="4500" w:val="left"/>
        </w:tabs>
        <w:rPr>
          <w:sz w:val="20"/>
          <w:szCs w:val="20"/>
          <w:color w:val="auto"/>
        </w:rPr>
      </w:pPr>
      <w:r>
        <w:rPr>
          <w:rFonts w:ascii="Arial" w:cs="Arial" w:eastAsia="Arial" w:hAnsi="Arial"/>
          <w:sz w:val="18"/>
          <w:szCs w:val="18"/>
          <w:color w:val="auto"/>
        </w:rPr>
        <w:t>MEMBERSHIP</w:t>
        <w:tab/>
        <w:t>IN</w:t>
        <w:tab/>
        <w:t>AN</w:t>
        <w:tab/>
        <w:t>APPROVED</w:t>
        <w:tab/>
        <w:t>SIGNATURE</w:t>
      </w:r>
      <w:r>
        <w:rPr>
          <w:sz w:val="20"/>
          <w:szCs w:val="20"/>
          <w:color w:val="auto"/>
        </w:rPr>
        <w:tab/>
      </w:r>
      <w:r>
        <w:rPr>
          <w:rFonts w:ascii="Arial" w:cs="Arial" w:eastAsia="Arial" w:hAnsi="Arial"/>
          <w:sz w:val="17"/>
          <w:szCs w:val="17"/>
          <w:color w:val="auto"/>
        </w:rPr>
        <w:t>GUARANTEE</w:t>
      </w:r>
    </w:p>
    <w:p>
      <w:pPr>
        <w:spacing w:after="0" w:line="9" w:lineRule="exact"/>
        <w:rPr>
          <w:sz w:val="20"/>
          <w:szCs w:val="20"/>
          <w:color w:val="auto"/>
        </w:rPr>
      </w:pPr>
    </w:p>
    <w:p>
      <w:pPr>
        <w:spacing w:after="0"/>
        <w:tabs>
          <w:tab w:leader="none" w:pos="1200" w:val="left"/>
          <w:tab w:leader="none" w:pos="2280" w:val="left"/>
          <w:tab w:leader="none" w:pos="3360" w:val="left"/>
          <w:tab w:leader="none" w:pos="3740" w:val="left"/>
          <w:tab w:leader="none" w:pos="4360" w:val="left"/>
          <w:tab w:leader="none" w:pos="4960" w:val="left"/>
        </w:tabs>
        <w:rPr>
          <w:sz w:val="20"/>
          <w:szCs w:val="20"/>
          <w:color w:val="auto"/>
        </w:rPr>
      </w:pPr>
      <w:r>
        <w:rPr>
          <w:rFonts w:ascii="Arial" w:cs="Arial" w:eastAsia="Arial" w:hAnsi="Arial"/>
          <w:sz w:val="18"/>
          <w:szCs w:val="18"/>
          <w:color w:val="auto"/>
        </w:rPr>
        <w:t>MEDALLION</w:t>
        <w:tab/>
        <w:t>PROGRAM,</w:t>
        <w:tab/>
        <w:t>PURSUANT</w:t>
        <w:tab/>
        <w:t>TO</w:t>
        <w:tab/>
        <w:t>S.E.C.</w:t>
        <w:tab/>
        <w:t>RULE</w:t>
      </w:r>
      <w:r>
        <w:rPr>
          <w:sz w:val="20"/>
          <w:szCs w:val="20"/>
          <w:color w:val="auto"/>
        </w:rPr>
        <w:tab/>
      </w:r>
      <w:r>
        <w:rPr>
          <w:rFonts w:ascii="Arial" w:cs="Arial" w:eastAsia="Arial" w:hAnsi="Arial"/>
          <w:sz w:val="16"/>
          <w:szCs w:val="16"/>
          <w:color w:val="auto"/>
        </w:rPr>
        <w:t>17Ad-15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ANY SUCCESSOR RULE).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more fully described in, and subject to the terms and conditions described in, the Company’s final prospectus for its initial public offering dated</w:t>
      </w:r>
    </w:p>
    <w:p>
      <w:pPr>
        <w:spacing w:after="0" w:line="35" w:lineRule="exact"/>
        <w:rPr>
          <w:sz w:val="20"/>
          <w:szCs w:val="20"/>
          <w:color w:val="auto"/>
        </w:rPr>
      </w:pPr>
    </w:p>
    <w:p>
      <w:pPr>
        <w:jc w:val="both"/>
        <w:ind w:firstLine="880"/>
        <w:spacing w:after="0" w:line="286" w:lineRule="auto"/>
        <w:tabs>
          <w:tab w:leader="none" w:pos="97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2020, the holder(s) of this certificate shall be entitled to receive a pro rata portion of certain funds held in the trust account established in connection with the Company’s initial public offering only in the event that (i) the Company redeems the shares of Common Stock sold in the Company’s initial public offering and liquidates because it does not consummate an initial business combination by the date set forth (the “Last Date”) in the Company’s Amended and Restated Certificate of Incorporation, as the same may be amended from time to time (the “Charter”), (ii) the Company redeems the shares of Common Stock sold in its initial public offering properly submitted in connection with a stockholder vote to amend the Charter to modify the substance or timing of the Company’s obligation to redeem 100% of the Common Stock if it does not consummate an initial business combination by the Last Date or with respect to any other material provisions relating to stockholders’ rights or pre-initial business combination activity, or (iii) if the holder(s) seek(s) to redeem for cash his, her or its respective shares of Common Stock in connection with a tender offer (or proxy solicitation, solely in the event the Company seeks stockholder approval of the proposed initial business combination) setting forth the details of a proposed initial business combination. In no other circumstances shall the holder(s) have any right or interest of any kind in or to the trust account.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21"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 xml:space="preserve">CUSIP </w:t>
      </w:r>
      <w:r>
        <w:rPr>
          <w:rFonts w:ascii="Arial" w:cs="Arial" w:eastAsia="Arial" w:hAnsi="Arial"/>
          <w:sz w:val="16"/>
          <w:szCs w:val="16"/>
          <w:b w:val="1"/>
          <w:bCs w:val="1"/>
          <w:color w:val="auto"/>
        </w:rPr>
        <w:t>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4140" w:val="left"/>
          <w:tab w:leader="none" w:pos="8400" w:val="left"/>
        </w:tabs>
        <w:rPr>
          <w:sz w:val="20"/>
          <w:szCs w:val="20"/>
          <w:color w:val="auto"/>
        </w:rPr>
      </w:pPr>
      <w:r>
        <w:rPr>
          <w:rFonts w:ascii="Arial" w:cs="Arial" w:eastAsia="Arial" w:hAnsi="Arial"/>
          <w:sz w:val="18"/>
          <w:szCs w:val="18"/>
          <w:b w:val="1"/>
          <w:bCs w:val="1"/>
          <w:i w:val="1"/>
          <w:i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shares of Class A common stock, $0.0001 par value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of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shares of Class A Common Stock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whole Warrant is initially exercisable for one fully paid and non-assessable share of Class A Common Stock. Fractional shares shall not be issued upon exercise of any Warrant. If, upon the exercise of Warrants, a holder would be entitled to receive a fractional interest in a share of Class A Common Stock, the Company shall,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Exercise Price per share of Class A Common Stock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ind w:firstLine="648"/>
        <w:spacing w:after="0" w:line="277" w:lineRule="auto"/>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 This Warrant Certificate shall be governed by and construed in accordance with the internal laws of the State of New York.</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Class A Common Stock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shares of Class A Common Stock to be issued upon exercise is effective under the Securities Act and</w:t>
      </w:r>
    </w:p>
    <w:p>
      <w:pPr>
        <w:ind w:firstLine="8"/>
        <w:spacing w:after="0" w:line="260" w:lineRule="auto"/>
        <w:tabs>
          <w:tab w:leader="none" w:pos="27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prospectus thereunder relating to the shares of Class A Common Stock is current, except through “</w:t>
      </w:r>
      <w:r>
        <w:rPr>
          <w:rFonts w:ascii="Arial" w:cs="Arial" w:eastAsia="Arial" w:hAnsi="Arial"/>
          <w:sz w:val="18"/>
          <w:szCs w:val="18"/>
          <w:i w:val="1"/>
          <w:iCs w:val="1"/>
          <w:color w:val="auto"/>
        </w:rPr>
        <w:t>cashless exercise</w:t>
      </w:r>
      <w:r>
        <w:rPr>
          <w:rFonts w:ascii="Arial" w:cs="Arial" w:eastAsia="Arial" w:hAnsi="Arial"/>
          <w:sz w:val="18"/>
          <w:szCs w:val="18"/>
          <w:color w:val="auto"/>
        </w:rPr>
        <w:t>” as provided for in the Warrant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t>Election to Purchase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tabs>
          <w:tab w:leader="none" w:pos="9920" w:val="left"/>
        </w:tabs>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w:t>
      </w:r>
      <w:r>
        <w:rPr>
          <w:sz w:val="20"/>
          <w:szCs w:val="20"/>
          <w:color w:val="auto"/>
        </w:rPr>
        <w:tab/>
      </w:r>
      <w:r>
        <w:rPr>
          <w:rFonts w:ascii="Arial" w:cs="Arial" w:eastAsia="Arial" w:hAnsi="Arial"/>
          <w:sz w:val="16"/>
          <w:szCs w:val="16"/>
          <w:color w:val="auto"/>
        </w:rPr>
        <w:t>shares of Class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herewith tenders payment for such shares of Class A Common Stock to the order of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w:t>
      </w:r>
    </w:p>
    <w:p>
      <w:pPr>
        <w:spacing w:after="0" w:line="38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amount of $ in accordance with the terms hereof. The undersigned requests that a certificate for such shares of Class A Common Stock be registered in the name of , whose address is and that such shares of Class A Common Stock be delivered to whose address is</w:t>
      </w:r>
    </w:p>
    <w:p>
      <w:pPr>
        <w:spacing w:after="0" w:line="1" w:lineRule="exact"/>
        <w:rPr>
          <w:sz w:val="20"/>
          <w:szCs w:val="20"/>
          <w:color w:val="auto"/>
        </w:rPr>
      </w:pPr>
    </w:p>
    <w:p>
      <w:pPr>
        <w:jc w:val="both"/>
        <w:ind w:firstLine="976"/>
        <w:spacing w:after="0" w:line="281" w:lineRule="auto"/>
        <w:tabs>
          <w:tab w:leader="none" w:pos="107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said number of shares of Class A Common Stock is less than all of the shares of Class A Common Stock purchasable hereunder, the undersigned requests that a new Warrant Certificate representing the remaining balance of such shares of Class A Common Stock be registered in the name</w:t>
      </w:r>
    </w:p>
    <w:p>
      <w:pPr>
        <w:spacing w:after="0" w:line="1" w:lineRule="exact"/>
        <w:rPr>
          <w:sz w:val="20"/>
          <w:szCs w:val="20"/>
          <w:color w:val="auto"/>
        </w:rPr>
      </w:pPr>
    </w:p>
    <w:p>
      <w:pPr>
        <w:spacing w:after="0"/>
        <w:tabs>
          <w:tab w:leader="none" w:pos="860" w:val="left"/>
          <w:tab w:leader="none" w:pos="2920" w:val="left"/>
          <w:tab w:leader="none" w:pos="7120" w:val="left"/>
          <w:tab w:leader="none" w:pos="91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and a holder thereof elects to exercise its Warrant pursuant to a Make-Whole Exercise, the number of shares of Class A Common Stock that this Warrant is exercisable for shall be determined in accordance with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as applicable.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Class A Common Stock that this Warrant is exercisable for shall be determined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Class A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 be registered in the</w:t>
      </w:r>
    </w:p>
    <w:p>
      <w:pPr>
        <w:spacing w:after="0" w:line="4" w:lineRule="exact"/>
        <w:rPr>
          <w:sz w:val="20"/>
          <w:szCs w:val="20"/>
          <w:color w:val="auto"/>
        </w:rPr>
      </w:pPr>
    </w:p>
    <w:p>
      <w:pPr>
        <w:spacing w:after="0"/>
        <w:tabs>
          <w:tab w:leader="none" w:pos="1300" w:val="left"/>
          <w:tab w:leader="none" w:pos="3360" w:val="left"/>
          <w:tab w:leader="none" w:pos="7560" w:val="left"/>
          <w:tab w:leader="none" w:pos="9580" w:val="left"/>
        </w:tabs>
        <w:rPr>
          <w:sz w:val="20"/>
          <w:szCs w:val="20"/>
          <w:color w:val="auto"/>
        </w:rPr>
      </w:pPr>
      <w:r>
        <w:rPr>
          <w:rFonts w:ascii="Arial" w:cs="Arial" w:eastAsia="Arial" w:hAnsi="Arial"/>
          <w:sz w:val="18"/>
          <w:szCs w:val="18"/>
          <w:color w:val="auto"/>
        </w:rPr>
        <w:t>name 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597535</wp:posOffset>
            </wp:positionV>
            <wp:extent cx="284607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443230</wp:posOffset>
            </wp:positionV>
            <wp:extent cx="284607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Indentification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CONTINENTAL STOCK TRANSFER &amp; TRUST COMPANY</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5320" w:space="580"/>
            <w:col w:w="5340"/>
          </w:cols>
          <w:pgMar w:left="320" w:top="121" w:right="339" w:bottom="1440" w:gutter="0" w:footer="0" w:header="0"/>
          <w:type w:val="continuous"/>
        </w:sectPr>
      </w:pPr>
    </w:p>
    <w:p>
      <w:pPr>
        <w:spacing w:after="0" w:line="48" w:lineRule="exact"/>
        <w:rPr>
          <w:sz w:val="20"/>
          <w:szCs w:val="20"/>
          <w:color w:val="auto"/>
        </w:rPr>
      </w:pPr>
    </w:p>
    <w:p>
      <w:pPr>
        <w:ind w:left="660"/>
        <w:spacing w:after="0"/>
        <w:tabs>
          <w:tab w:leader="none" w:pos="5820" w:val="left"/>
        </w:tabs>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w:t>
      </w:r>
      <w:r>
        <w:rPr>
          <w:sz w:val="20"/>
          <w:szCs w:val="20"/>
          <w:color w:val="auto"/>
        </w:rPr>
        <w:tab/>
      </w:r>
      <w:r>
        <w:rPr>
          <w:rFonts w:ascii="Arial" w:cs="Arial" w:eastAsia="Arial" w:hAnsi="Arial"/>
          <w:sz w:val="16"/>
          <w:szCs w:val="16"/>
          <w:color w:val="auto"/>
        </w:rPr>
        <w:t>, 2020, is by and between CM Life Sciences, Inc., a Delaware corporation</w:t>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a New York corporation, as warrant agent (in such capacity,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w:t>
      </w:r>
    </w:p>
    <w:p>
      <w:pPr>
        <w:spacing w:after="0" w:line="2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WHEREAS, it is proposed that the Company enter into that certain Private Placement Warrants Purchase Agreement, with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those individuals named in Exhibit A thereto (together with the Sponsor,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xml:space="preserve">”) pursuant to which the Purchasers will purchase an aggregate of 6,000,000 warrants (or up to 6,700,000 warrants if the underwriters in the Offering (defined below) exercise their Over-allotment Option (as defined below) in full) simultaneously with the closing of the Offering (and the closing of the Over-allotment Option, if applicable), bearing the legend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Private Placement Warrants</w:t>
      </w:r>
      <w:r>
        <w:rPr>
          <w:rFonts w:ascii="Arial" w:cs="Arial" w:eastAsia="Arial" w:hAnsi="Arial"/>
          <w:sz w:val="17"/>
          <w:szCs w:val="17"/>
          <w:color w:val="auto"/>
        </w:rPr>
        <w:t>”) at a purchase price of $1.50 per Private Placement Warrant. Each Private Placement Warrant entitles the holder thereof to purchase one share of Common Stock (as defined below) at a price of $11.50 per share, subject to adjustment as described herein; and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in order to finance the Company’s transaction costs in connection with an intended initial merger, capital stock exchange, asset acquisition, stock purchase, reorganization or similar business combination, involving the Company and one or more businesses (a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 the Sponsor or an affiliate of the Sponsor or certain of the Company’s officers and directors may, but are not obligated to, loan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funds as the Company may require, of which up to $1,500,000 of such loans may be convertible into up to an additional 1,000,000 Private Placement Warrants at a price of $1.50 per Private Placement Warrant; and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each such unit comprised of one share of Class A common stock of the Company, par value $0.0001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one-third of one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has determined to issue and deliver up to 13,416,667 redeemable warrants (including up to 1,750,000 redeemable warrants subject to the Over-allotment Option) to public investors in the Offering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Each whole Warrant entitles the holder thereof to purchase one share of Common Stock for $11.50 per share, subject to adjustment as described herein. Only whole Warrants are exercisable. A holder of the Public Warrants will not be able to exercise any fraction of a Warrant; and</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333-246251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 Public Warrants and the Common Stock included in the Units;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1" w:name="page282"/>
    <w:bookmarkEnd w:id="281"/>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656"/>
        <w:spacing w:after="0" w:line="342" w:lineRule="auto"/>
        <w:tabs>
          <w:tab w:leader="none" w:pos="841"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840" w:hanging="184"/>
        <w:spacing w:after="0"/>
        <w:tabs>
          <w:tab w:leader="none" w:pos="84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initially be issued in registered form only.</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certificated Warrant shall be invalid and of no effect and may not be exercised by the holder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Arial" w:cs="Arial" w:eastAsia="Arial" w:hAnsi="Arial"/>
          <w:sz w:val="16"/>
          <w:szCs w:val="16"/>
          <w:b w:val="1"/>
          <w:bCs w:val="1"/>
          <w:i w:val="1"/>
          <w:iCs w:val="1"/>
          <w:color w:val="auto"/>
        </w:rPr>
        <w:t>Definitive Warrant Certificates</w:t>
      </w:r>
      <w:r>
        <w:rPr>
          <w:rFonts w:ascii="Arial" w:cs="Arial" w:eastAsia="Arial" w:hAnsi="Arial"/>
          <w:sz w:val="16"/>
          <w:szCs w:val="16"/>
          <w:color w:val="auto"/>
        </w:rPr>
        <w:t xml:space="preserve">”) which shall be in the form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Chairman of the Board, Chief Executive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7" w:lineRule="exact"/>
        <w:rPr>
          <w:sz w:val="20"/>
          <w:szCs w:val="20"/>
          <w:color w:val="auto"/>
        </w:rPr>
      </w:pPr>
    </w:p>
    <w:p>
      <w:pPr>
        <w:jc w:val="both"/>
        <w:ind w:right="20" w:firstLine="1944"/>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1296"/>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shares of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then on the immediately succeeding Business Day following such date, or earlier (the “</w:t>
      </w:r>
      <w:r>
        <w:rPr>
          <w:rFonts w:ascii="Arial" w:cs="Arial" w:eastAsia="Arial" w:hAnsi="Arial"/>
          <w:sz w:val="16"/>
          <w:szCs w:val="16"/>
          <w:b w:val="1"/>
          <w:bCs w:val="1"/>
          <w:i w:val="1"/>
          <w:iCs w:val="1"/>
          <w:color w:val="auto"/>
        </w:rPr>
        <w:t>Detachment Date</w:t>
      </w:r>
      <w:r>
        <w:rPr>
          <w:rFonts w:ascii="Arial" w:cs="Arial" w:eastAsia="Arial" w:hAnsi="Arial"/>
          <w:sz w:val="16"/>
          <w:szCs w:val="16"/>
          <w:color w:val="auto"/>
        </w:rPr>
        <w:t>”) with the consent of Jefferies LLC, but in no event shall the shares of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if the Over-allotment Option is exercised prior to the filing of the Current Report on Form 8-K, and (B) the Company issues a press release announcing when such separate trading shall begin.</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one-third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 xml:space="preserve">. The Private Placement Warrants shall be identical to the Public Warrants, except that so long as they are held by a Purchaser or any of its Permitted Transferees (as defined below) the Private Placement Warrants: (i) may be exercised for cash or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hereof, (ii) including the shares of Common Stock issuable upon exercise of the Private Placement Warrants, may not be transferred, assigned or sold until thirty (30) days after the completion by the Company of an initial Business Combination, (iii) shall not be redeemable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and (iv) shall only be redeemable by the Company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if the Reference Value (as defined below) is less than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(ii), the Private Placement Warrants and any shares of Common Stock issued upon exercise of the Private Placement Warrants may be transferred by the holders thereof:</w:t>
      </w:r>
    </w:p>
    <w:p>
      <w:pPr>
        <w:spacing w:after="0" w:line="192" w:lineRule="exact"/>
        <w:rPr>
          <w:sz w:val="20"/>
          <w:szCs w:val="20"/>
          <w:color w:val="auto"/>
        </w:rPr>
      </w:pPr>
    </w:p>
    <w:p>
      <w:pPr>
        <w:jc w:val="both"/>
        <w:ind w:firstLine="1952"/>
        <w:spacing w:after="0" w:line="263" w:lineRule="auto"/>
        <w:tabs>
          <w:tab w:leader="none" w:pos="220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or partners of the Sponsor or their affiliates (including members of the Sponsor’s members), any affiliates of the Sponsor, or any employees of such affiliates;</w:t>
      </w:r>
    </w:p>
    <w:p>
      <w:pPr>
        <w:spacing w:after="0" w:line="183" w:lineRule="exact"/>
        <w:rPr>
          <w:rFonts w:ascii="Arial" w:cs="Arial" w:eastAsia="Arial" w:hAnsi="Arial"/>
          <w:sz w:val="18"/>
          <w:szCs w:val="18"/>
          <w:color w:val="auto"/>
        </w:rPr>
      </w:pPr>
    </w:p>
    <w:p>
      <w:pPr>
        <w:ind w:firstLine="1952"/>
        <w:spacing w:after="0" w:line="277" w:lineRule="auto"/>
        <w:tabs>
          <w:tab w:leader="none" w:pos="220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one of the individual’s immediate family or to a trust, the beneficiary of which is a member of the individual’s immediate family, an affiliate of such person or to a charitable organization;</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the individual;</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firstLine="1952"/>
        <w:spacing w:after="0" w:line="277" w:lineRule="auto"/>
        <w:tabs>
          <w:tab w:leader="none" w:pos="218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the consummation of the Company’s Business Combination at prices no greater than the price at which the Private Placement Warrants or Common Stock, as applicable, were originally purchased;</w:t>
      </w:r>
    </w:p>
    <w:p>
      <w:pPr>
        <w:spacing w:after="0" w:line="170" w:lineRule="exact"/>
        <w:rPr>
          <w:rFonts w:ascii="Arial" w:cs="Arial" w:eastAsia="Arial" w:hAnsi="Arial"/>
          <w:sz w:val="18"/>
          <w:szCs w:val="18"/>
          <w:color w:val="auto"/>
        </w:rPr>
      </w:pPr>
    </w:p>
    <w:p>
      <w:pPr>
        <w:ind w:left="2180" w:hanging="228"/>
        <w:spacing w:after="0"/>
        <w:tabs>
          <w:tab w:leader="none" w:pos="21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by virtue of the laws of the State of Delaware or the Sponsor’s organizational documents upon liquidation or dissolution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Sponsor;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ind w:left="2200" w:hanging="248"/>
        <w:spacing w:after="0"/>
        <w:tabs>
          <w:tab w:leader="none" w:pos="220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to the Company for no value for cancellation in connection with the consummation of its initial Business Combination;</w:t>
      </w:r>
    </w:p>
    <w:p>
      <w:pPr>
        <w:spacing w:after="0" w:line="236" w:lineRule="exact"/>
        <w:rPr>
          <w:rFonts w:ascii="Arial" w:cs="Arial" w:eastAsia="Arial" w:hAnsi="Arial"/>
          <w:sz w:val="17"/>
          <w:szCs w:val="17"/>
          <w:color w:val="auto"/>
        </w:rPr>
      </w:pPr>
    </w:p>
    <w:p>
      <w:pPr>
        <w:ind w:left="2200" w:hanging="248"/>
        <w:spacing w:after="0"/>
        <w:tabs>
          <w:tab w:leader="none" w:pos="22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completion of its initial Business Combination; or</w:t>
      </w:r>
    </w:p>
    <w:p>
      <w:pPr>
        <w:spacing w:after="0" w:line="225" w:lineRule="exact"/>
        <w:rPr>
          <w:rFonts w:ascii="Arial" w:cs="Arial" w:eastAsia="Arial" w:hAnsi="Arial"/>
          <w:sz w:val="18"/>
          <w:szCs w:val="18"/>
          <w:color w:val="auto"/>
        </w:rPr>
      </w:pPr>
    </w:p>
    <w:p>
      <w:pPr>
        <w:jc w:val="both"/>
        <w:ind w:firstLine="1952"/>
        <w:spacing w:after="0" w:line="301" w:lineRule="auto"/>
        <w:tabs>
          <w:tab w:leader="none" w:pos="216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in the event of the Company’s completion of a liquidation, merger, capital stock exchange or other similar transaction which results in all of the Company’s stockholders having the right to exchange their Common Stock for cash, securities or other property subsequent to the completion of the Company’s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(f), these permitted transferees (the “</w:t>
      </w:r>
      <w:r>
        <w:rPr>
          <w:rFonts w:ascii="Arial" w:cs="Arial" w:eastAsia="Arial" w:hAnsi="Arial"/>
          <w:sz w:val="16"/>
          <w:szCs w:val="16"/>
          <w:b w:val="1"/>
          <w:bCs w:val="1"/>
          <w:i w:val="1"/>
          <w:iCs w:val="1"/>
          <w:color w:val="auto"/>
        </w:rPr>
        <w:t>Permitted Transferees</w:t>
      </w:r>
      <w:r>
        <w:rPr>
          <w:rFonts w:ascii="Arial" w:cs="Arial" w:eastAsia="Arial" w:hAnsi="Arial"/>
          <w:sz w:val="16"/>
          <w:szCs w:val="16"/>
          <w:color w:val="auto"/>
        </w:rPr>
        <w:t>”) must enter into a written agreement with the Company agreeing to be bound by the transfer restrictions in this Agreement.</w:t>
      </w:r>
    </w:p>
    <w:p>
      <w:pPr>
        <w:spacing w:after="0" w:line="157" w:lineRule="exact"/>
        <w:rPr>
          <w:rFonts w:ascii="Arial" w:cs="Arial" w:eastAsia="Arial" w:hAnsi="Arial"/>
          <w:sz w:val="16"/>
          <w:szCs w:val="16"/>
          <w:color w:val="auto"/>
        </w:rPr>
      </w:pPr>
    </w:p>
    <w:p>
      <w:pPr>
        <w:ind w:left="840" w:hanging="184"/>
        <w:spacing w:after="0"/>
        <w:tabs>
          <w:tab w:leader="none" w:pos="8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whole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as used in this Agreement shall mean the price per share (including in cash or by payment of Warrants pursuant to a “cashless exercise,” to the extent permitted hereunder) described in the prior sentence at which shares of Common Stock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(A) commencing on the later of:</w:t>
      </w:r>
    </w:p>
    <w:p>
      <w:pPr>
        <w:spacing w:after="0" w:line="46" w:lineRule="exact"/>
        <w:rPr>
          <w:sz w:val="20"/>
          <w:szCs w:val="20"/>
          <w:color w:val="auto"/>
        </w:rPr>
      </w:pPr>
    </w:p>
    <w:p>
      <w:pPr>
        <w:jc w:val="both"/>
        <w:ind w:firstLine="8"/>
        <w:spacing w:after="0" w:line="284" w:lineRule="auto"/>
        <w:tabs>
          <w:tab w:leader="none" w:pos="2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date that is thirty (30) days after the first date on which the Company completes a Business Combination, and (ii) the date that is twelve (12) months from the date of the closing of the Offering, and (B) terminating at the earliest to occur of (x) 5:00 p.m., New York City time on the date that is five (5) years after the date on which the Company completes its initial Business Combination, (y) the liquidation of the Company in accordance with the Company’s amended and restated certificate of incorporation (as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if the Company fails to complete a Business Combination, and (z) other than with respect to the Private Placement Warrants then held by a Purchaser or its Permitted Transferees with respect to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5:00 p.m., New York City time on the Redemption Date (as defined below) as provided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exercise of any Warrant shall be subject to the satisfaction of any applicable conditions, as set forth in </w:t>
      </w:r>
      <w:r>
        <w:rPr>
          <w:rFonts w:ascii="Arial" w:cs="Arial" w:eastAsia="Arial" w:hAnsi="Arial"/>
          <w:sz w:val="16"/>
          <w:szCs w:val="16"/>
          <w:u w:val="single" w:color="auto"/>
          <w:color w:val="auto"/>
        </w:rPr>
        <w:t>subsection 3.3.2</w:t>
      </w:r>
      <w:r>
        <w:rPr>
          <w:rFonts w:ascii="Arial" w:cs="Arial" w:eastAsia="Arial" w:hAnsi="Arial"/>
          <w:sz w:val="16"/>
          <w:szCs w:val="16"/>
          <w:color w:val="auto"/>
        </w:rPr>
        <w:t xml:space="preserve"> below, with respect to an effective registration statement or a valid exemption therefrom being available. Except with respect to the right to receive the Redemption Price (as defined below) (other than with respect to a Private Placement Warrant then held by a Purchaser or its Permitted Transferees in connection with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in the event of a redemption (as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each Warrant (other than a Private Placement Warrant then held by a Purchaser or its Permitted Transferees in the event of a redemption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or, if the Reference Value equals or exceeds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not exercised on or before the Redemption Date shall become void, and all rights thereunder and all rights in respect thereof under this Agreement shall cease at 5:00 p.m. New York City time on the Redemption Date. The Company in its sole discretion may extend the duration of the Warrants by delaying the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provide at least twenty (20) days prior written notice of any such extension to Registered Holders of the Warrants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extension shall be identical in duration among all the Warrants.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ind w:left="13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0"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Arial" w:cs="Arial" w:eastAsia="Arial" w:hAnsi="Arial"/>
          <w:sz w:val="17"/>
          <w:szCs w:val="17"/>
          <w:b w:val="1"/>
          <w:bCs w:val="1"/>
          <w:i w:val="1"/>
          <w:iCs w:val="1"/>
          <w:color w:val="auto"/>
        </w:rPr>
        <w:t>Book-Entry Warrants</w:t>
      </w:r>
      <w:r>
        <w:rPr>
          <w:rFonts w:ascii="Arial" w:cs="Arial" w:eastAsia="Arial" w:hAnsi="Arial"/>
          <w:sz w:val="17"/>
          <w:szCs w:val="17"/>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7"/>
          <w:szCs w:val="17"/>
          <w:b w:val="1"/>
          <w:bCs w:val="1"/>
          <w:i w:val="1"/>
          <w:iCs w:val="1"/>
          <w:color w:val="auto"/>
        </w:rPr>
        <w:t>Election to Purchase</w:t>
      </w:r>
      <w:r>
        <w:rPr>
          <w:rFonts w:ascii="Arial" w:cs="Arial" w:eastAsia="Arial" w:hAnsi="Arial"/>
          <w:sz w:val="17"/>
          <w:szCs w:val="17"/>
          <w:color w:val="auto"/>
        </w:rPr>
        <w:t>”) any shares of Common Stock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1" w:lineRule="exact"/>
        <w:rPr>
          <w:sz w:val="20"/>
          <w:szCs w:val="20"/>
          <w:color w:val="auto"/>
        </w:rPr>
      </w:pPr>
    </w:p>
    <w:p>
      <w:pPr>
        <w:ind w:left="2200" w:hanging="248"/>
        <w:spacing w:after="0"/>
        <w:tabs>
          <w:tab w:leader="none" w:pos="2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lawful money of the United States, in good certified check or good bank draft payable to the order of the Warrant Agent;</w:t>
      </w:r>
    </w:p>
    <w:p>
      <w:pPr>
        <w:spacing w:after="0" w:line="248" w:lineRule="exact"/>
        <w:rPr>
          <w:rFonts w:ascii="Arial" w:cs="Arial" w:eastAsia="Arial" w:hAnsi="Arial"/>
          <w:sz w:val="16"/>
          <w:szCs w:val="16"/>
          <w:color w:val="auto"/>
        </w:rPr>
      </w:pPr>
    </w:p>
    <w:p>
      <w:pPr>
        <w:ind w:left="2200" w:hanging="248"/>
        <w:spacing w:after="0"/>
        <w:tabs>
          <w:tab w:leader="none" w:pos="2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952"/>
        <w:spacing w:after="0" w:line="271" w:lineRule="auto"/>
        <w:tabs>
          <w:tab w:leader="none" w:pos="221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with respect to any Private Placement Warrant, so long as such Private Placement Warrant is held by a Purchaser or a Permitted Transferee, by surrendering the Warrants for that number of shares of Common Stock equal to (i) if in connection with a redemption of Private Placement Warrants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with respect to a Make-Whole Exercise (as defined below) and (ii) in all other scenarios, the quotient obtained by dividing (x) the product of the number of shares of Common Stock underlying the Warrants, multiplied by the excess of the “</w:t>
      </w:r>
      <w:r>
        <w:rPr>
          <w:rFonts w:ascii="Arial" w:cs="Arial" w:eastAsia="Arial" w:hAnsi="Arial"/>
          <w:sz w:val="17"/>
          <w:szCs w:val="17"/>
          <w:b w:val="1"/>
          <w:bCs w:val="1"/>
          <w:i w:val="1"/>
          <w:iCs w:val="1"/>
          <w:color w:val="auto"/>
        </w:rPr>
        <w:t>Purchaser Exercise Fair Market Value</w:t>
      </w:r>
      <w:r>
        <w:rPr>
          <w:rFonts w:ascii="Arial" w:cs="Arial" w:eastAsia="Arial" w:hAnsi="Arial"/>
          <w:sz w:val="17"/>
          <w:szCs w:val="17"/>
          <w:color w:val="auto"/>
        </w:rPr>
        <w:t xml:space="preserve">” (as defined in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less the Warrant Price by (y) the Purchaser Exercise Fair Market Value. Solely for purposes of this </w:t>
      </w:r>
      <w:r>
        <w:rPr>
          <w:rFonts w:ascii="Arial" w:cs="Arial" w:eastAsia="Arial" w:hAnsi="Arial"/>
          <w:sz w:val="17"/>
          <w:szCs w:val="17"/>
          <w:u w:val="single" w:color="auto"/>
          <w:color w:val="auto"/>
        </w:rPr>
        <w:t>subsection 3.3.1(c)</w:t>
      </w:r>
      <w:r>
        <w:rPr>
          <w:rFonts w:ascii="Arial" w:cs="Arial" w:eastAsia="Arial" w:hAnsi="Arial"/>
          <w:sz w:val="17"/>
          <w:szCs w:val="17"/>
          <w:color w:val="auto"/>
        </w:rPr>
        <w:t>, the “</w:t>
      </w:r>
      <w:r>
        <w:rPr>
          <w:rFonts w:ascii="Arial" w:cs="Arial" w:eastAsia="Arial" w:hAnsi="Arial"/>
          <w:sz w:val="17"/>
          <w:szCs w:val="17"/>
          <w:b w:val="1"/>
          <w:bCs w:val="1"/>
          <w:i w:val="1"/>
          <w:iCs w:val="1"/>
          <w:color w:val="auto"/>
        </w:rPr>
        <w:t>Purchaser Exercise Fair Market Value</w:t>
      </w:r>
      <w:r>
        <w:rPr>
          <w:rFonts w:ascii="Arial" w:cs="Arial" w:eastAsia="Arial" w:hAnsi="Arial"/>
          <w:sz w:val="17"/>
          <w:szCs w:val="17"/>
          <w:color w:val="auto"/>
        </w:rPr>
        <w:t>” shall mean the average last reported sale price of the Common Stock for the ten (10) trading days ending on the third (3rd) trading day prior to the date on which notice of exercise of the Private Placement Warrant is sent to the Warrant Agent;</w:t>
      </w:r>
    </w:p>
    <w:p>
      <w:pPr>
        <w:spacing w:after="0" w:line="178" w:lineRule="exact"/>
        <w:rPr>
          <w:rFonts w:ascii="Arial" w:cs="Arial" w:eastAsia="Arial" w:hAnsi="Arial"/>
          <w:sz w:val="17"/>
          <w:szCs w:val="17"/>
          <w:color w:val="auto"/>
        </w:rPr>
      </w:pPr>
    </w:p>
    <w:p>
      <w:pPr>
        <w:ind w:left="2200" w:hanging="248"/>
        <w:spacing w:after="0"/>
        <w:tabs>
          <w:tab w:leader="none" w:pos="2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with respect to a Make-Whole Exercise; or</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Common Stock on Exercise</w:t>
      </w:r>
      <w:r>
        <w:rPr>
          <w:rFonts w:ascii="Arial" w:cs="Arial" w:eastAsia="Arial" w:hAnsi="Arial"/>
          <w:sz w:val="17"/>
          <w:szCs w:val="17"/>
          <w:color w:val="auto"/>
        </w:rPr>
        <w:t xml:space="preserve">. As soon as practicable after the exercise of any Warrant and the clearance of the funds in payment of the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whole shares of Common Stock to which he, she or it is entitled, registered in such name or names as may be directed by him, her or it on the register of members of the Company,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shares of Common Stock pursuant to the exercise of a Warrant and shall have no obligation to settle such Warrant exercise unless a registration statement under the Securities Act with respect to the shares of Common Stock underlying the Public Warrants is then effective and a prospectus relating thereto is current, subject to the Company’s satisfying its obligations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 or a valid exemption from registration is available. No Warrant shall be exercisable and the Company shall not be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Subject to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of this Agreement, a Registered Holder of Warrants may exercise its Warrants only for a whole number of shares of Common Stock. The Company may require holders of Public Warrants to settle the Warrant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hereof.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5" w:name="page286"/>
    <w:bookmarkEnd w:id="285"/>
    <w:p>
      <w:pPr>
        <w:jc w:val="both"/>
        <w:ind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book-entry position or certificate, as applicable, for shares of Common Stock is issued and who is registered in the register of members of the Company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the Company or book-entry system of the Warrant Agent are closed, such person shall be deemed to have become the holder of such shares at the close of business on the next succeeding date on which the share transfer books or book-entry system are open.</w:t>
      </w:r>
    </w:p>
    <w:p>
      <w:pPr>
        <w:spacing w:after="0" w:line="19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issued and outstanding shares of Common Stock shall be determined after giving effect to the conversion or exercise of equity securities of the Company by the holder and its affiliates since the date as of which such number of issued and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ind w:left="840" w:hanging="184"/>
        <w:spacing w:after="0"/>
        <w:tabs>
          <w:tab w:leader="none" w:pos="8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issued and outstanding shares of Common Stock is increased by a stock dividend of Common Stock, or by a split-up of shares of Common Stock or other similar event, then, on the effective date of such share split-ups or similar event, the number of shares of Common Stock issuable on exercise of each Warrant shall be increased in proportion to such increase in the issued and outstanding shares of Common Stock. A rights offering made to all or substantially all holders of the Common Stock entitling holders to purchase shares of Common Stock at a price less than the “Historical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multiplied by (ii) one (1) minus the quotient of (x) the price per share of Common Stock paid in such rights offering divided by (y) the Historical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shares of Common Stock, in determining the price payable for shares of Common Stock, there shall be taken into account any consideration received for such rights, as well as any additional amount payable upon exercise or conversion and (ii) “</w:t>
      </w:r>
      <w:r>
        <w:rPr>
          <w:rFonts w:ascii="Arial" w:cs="Arial" w:eastAsia="Arial" w:hAnsi="Arial"/>
          <w:sz w:val="17"/>
          <w:szCs w:val="17"/>
          <w:b w:val="1"/>
          <w:bCs w:val="1"/>
          <w:i w:val="1"/>
          <w:iCs w:val="1"/>
          <w:color w:val="auto"/>
        </w:rPr>
        <w:t>Historical Fair Market Value</w:t>
      </w:r>
      <w:r>
        <w:rPr>
          <w:rFonts w:ascii="Arial" w:cs="Arial" w:eastAsia="Arial" w:hAnsi="Arial"/>
          <w:sz w:val="17"/>
          <w:szCs w:val="17"/>
          <w:color w:val="auto"/>
        </w:rPr>
        <w:t>” means the volume weighted average price of the Common Stock during the ten (10) trading day period ending on the trading day prior to the first date on which the shares of Common Stock trade on the applicable exchange or in the applicable market, regular way, without the right to receive such rights. No shares of Common Stock shall be issued at less than their par value.</w:t>
      </w:r>
    </w:p>
    <w:p>
      <w:pPr>
        <w:spacing w:after="0" w:line="184"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xml:space="preserve">. If the Company, at any time while the Warrants are outstanding and unexpired, pays to all or substantially all of the holders of the Common Stock a dividend or makes a distribution in cash, securities or other assets on account of such shares of Common Stock (or other shares into which the Warrants are convertible), other than (a) as described in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above, (b) Ordinary Cash Dividends (as defined below), (c) to satisfy the redemption rights of the holders of the Common Stock in connection with a proposed initial Business Combination, (d) to satisfy the redemption rights of the holders of the Common Stock in connection with a stockholder vote to amend the Charter (i) to modify the substance or timing of the Company’s obligation to redeem 100% of the Company’s public shares if it does not complete its initial Business Combination within the period set forth in the Charter, or (ii) with respect to any other material provision relating to the rights of holders of Common Stock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7"/>
          <w:szCs w:val="17"/>
          <w:b w:val="1"/>
          <w:bCs w:val="1"/>
          <w:i w:val="1"/>
          <w:iCs w:val="1"/>
          <w:color w:val="auto"/>
        </w:rPr>
        <w:t>Extraordinary Dividend</w:t>
      </w:r>
      <w:r>
        <w:rPr>
          <w:rFonts w:ascii="Arial" w:cs="Arial" w:eastAsia="Arial" w:hAnsi="Arial"/>
          <w:sz w:val="17"/>
          <w:szCs w:val="17"/>
          <w:color w:val="auto"/>
        </w:rPr>
        <w:t>”), then the Warrant Price shall be decreased, effective immediately after the effective date of such Extraordinary Dividend, by the amount of cash and/or the fair market value (as determined by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in good faith) of any securities or other assets paid on each share of Common Stock in respect of such Extraordinary Dividend. For purposes of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w:t>
      </w:r>
      <w:r>
        <w:rPr>
          <w:rFonts w:ascii="Arial" w:cs="Arial" w:eastAsia="Arial" w:hAnsi="Arial"/>
          <w:sz w:val="17"/>
          <w:szCs w:val="17"/>
          <w:b w:val="1"/>
          <w:bCs w:val="1"/>
          <w:i w:val="1"/>
          <w:iCs w:val="1"/>
          <w:color w:val="auto"/>
        </w:rPr>
        <w:t>Ordinary Cash Dividends</w:t>
      </w:r>
      <w:r>
        <w:rPr>
          <w:rFonts w:ascii="Arial" w:cs="Arial" w:eastAsia="Arial" w:hAnsi="Arial"/>
          <w:sz w:val="17"/>
          <w:szCs w:val="17"/>
          <w:color w:val="auto"/>
        </w:rPr>
        <w:t xml:space="preserve">”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to the extent it does not exceed $0.50 (which amount shall be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7" w:name="page288"/>
    <w:bookmarkEnd w:id="287"/>
    <w:p>
      <w:pPr>
        <w:jc w:val="both"/>
        <w:ind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issued and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issued and outstanding shares of Common Stock.</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Raising of the Capital in Connection with the Initial Business Combination</w:t>
      </w:r>
      <w:r>
        <w:rPr>
          <w:rFonts w:ascii="Arial" w:cs="Arial" w:eastAsia="Arial" w:hAnsi="Arial"/>
          <w:sz w:val="17"/>
          <w:szCs w:val="17"/>
          <w:color w:val="auto"/>
        </w:rPr>
        <w:t>.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Board and, in the case of any such issuance to the Sponsor or its affiliates, without taking into account any shares of Class B Common Stock (as defined below), par value $0.0001 per share, of the Company held by the Sponsor or such affiliates, as applicable, prior to such issuance) (the “</w:t>
      </w:r>
      <w:r>
        <w:rPr>
          <w:rFonts w:ascii="Arial" w:cs="Arial" w:eastAsia="Arial" w:hAnsi="Arial"/>
          <w:sz w:val="17"/>
          <w:szCs w:val="17"/>
          <w:b w:val="1"/>
          <w:bCs w:val="1"/>
          <w:i w:val="1"/>
          <w:iCs w:val="1"/>
          <w:color w:val="auto"/>
        </w:rPr>
        <w:t>Newly Issued Price</w:t>
      </w:r>
      <w:r>
        <w:rPr>
          <w:rFonts w:ascii="Arial" w:cs="Arial" w:eastAsia="Arial" w:hAnsi="Arial"/>
          <w:sz w:val="17"/>
          <w:szCs w:val="17"/>
          <w:color w:val="auto"/>
        </w:rPr>
        <w:t>”), (y) the aggregate gross proceeds from such issuances represent more than 60% of the total equity proceeds, and interest thereon, available for the funding of the Company’s initial Business Combination on the date of the completion of the Company’s initial Business Combination (net of redemptions), and (z) the volume-weighted average trading price of the Common Stock during the twenty (20) trading day period starting on the trading day prior to the day on which the Company consummates its initial Business Combination (such price, the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shall be adjusted (to the nearest cent) to be equal to 180% of the higher of the Market Value and the Newly Issued Price and the $10.00 per share redemption trigger price described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adjusted (to the nearest cent) to be equal to the higher of the Market Value and the Newly Issued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8" w:name="page289"/>
    <w:bookmarkEnd w:id="288"/>
    <w:p>
      <w:pPr>
        <w:jc w:val="both"/>
        <w:ind w:firstLine="1296"/>
        <w:spacing w:after="0" w:line="28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issued and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Issuance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 of the Common Stock were entitled to exercise a right of election as to the kind or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Common Stock in such consolidation or merger that affirmatively make such election, and (ii) if a tender, exchange or redemption offer shall have been made to and accepted by the holders of the Common Stock (other than a tender, exchange or redemption offer made by the Company in connection with redemption rights held by stockholders of the Company as provided for in the Charter or as a result of the redemption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 for a Capped American Call on Bloomberg Financial Markets (assuming zero dividends)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For purposes of calculating such amount,</w:t>
      </w:r>
    </w:p>
    <w:p>
      <w:pPr>
        <w:spacing w:after="0" w:line="8" w:lineRule="exact"/>
        <w:rPr>
          <w:sz w:val="20"/>
          <w:szCs w:val="20"/>
          <w:color w:val="auto"/>
        </w:rPr>
      </w:pPr>
    </w:p>
    <w:p>
      <w:pPr>
        <w:jc w:val="both"/>
        <w:ind w:firstLine="8"/>
        <w:spacing w:after="0" w:line="267" w:lineRule="auto"/>
        <w:tabs>
          <w:tab w:leader="none" w:pos="215"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Agreement shall be taken into account, (ii) the price of each share of Common Stock shall be the volume weighted average price of the Common Stock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Arial" w:cs="Arial" w:eastAsia="Arial" w:hAnsi="Arial"/>
          <w:sz w:val="17"/>
          <w:szCs w:val="17"/>
          <w:b w:val="1"/>
          <w:bCs w:val="1"/>
          <w:i w:val="1"/>
          <w:iCs w:val="1"/>
          <w:color w:val="auto"/>
        </w:rPr>
        <w:t>Per Share Consideration</w:t>
      </w:r>
      <w:r>
        <w:rPr>
          <w:rFonts w:ascii="Arial" w:cs="Arial" w:eastAsia="Arial" w:hAnsi="Arial"/>
          <w:sz w:val="17"/>
          <w:szCs w:val="17"/>
          <w:color w:val="auto"/>
        </w:rPr>
        <w:t xml:space="preserve">” means (i) if the consideration paid to holders of the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then such adjustment shall be made pursuant to </w:t>
      </w:r>
      <w:r>
        <w:rPr>
          <w:rFonts w:ascii="Arial" w:cs="Arial" w:eastAsia="Arial" w:hAnsi="Arial"/>
          <w:sz w:val="17"/>
          <w:szCs w:val="17"/>
          <w:u w:val="single" w:color="auto"/>
          <w:color w:val="auto"/>
        </w:rPr>
        <w:t>subsection 4.1.1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9" w:name="page290"/>
    <w:bookmarkEnd w:id="289"/>
    <w:p>
      <w:pPr>
        <w:jc w:val="both"/>
        <w:ind w:firstLine="129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4.5</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The form of Warrant need not be changed because of any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and Warrants issued after such adjustment may state the same Warrant Price and the same number of shares of Common Stock as is stated in the Warrants initially issued pursuant to this Agreement; provided, however,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ind w:left="840" w:hanging="184"/>
        <w:spacing w:after="0"/>
        <w:tabs>
          <w:tab w:leader="none" w:pos="84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0" w:name="page291"/>
    <w:bookmarkEnd w:id="290"/>
    <w:p>
      <w:pPr>
        <w:jc w:val="both"/>
        <w:ind w:firstLine="1296"/>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840" w:hanging="184"/>
        <w:spacing w:after="0"/>
        <w:tabs>
          <w:tab w:leader="none" w:pos="84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Redemption of Warrants for Cash</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at a Redemption Price of $0.01 per Warrant, provided that (a) the Reference Value equals or exceeds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(b) there is an effective registration statement covering the issuance of the shares of Common Stock issuable upon exercise of the Warrants, and a current prospectus relating thereto, available throughout the 30-day Redemption Period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Redemption of Warrants for Shares of Common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at a Redemption Price of $0.10 per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Reference Value equals or exceeds $10.00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and (ii) if the Reference Value is less than $18.00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Private Placement Warrants are also concurrently called for redemption on the same terms as the outstanding Public Warrants. During the 30-day Redemption Period in connection with a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Registered Holders of the Warrants may elect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receive a number of shares of Common Stock determined by reference to the table below, based on the Redemption Date (calculated for purposes of the table as the period to expiration of the Warrants) and the “Redemption Fair Market Value” (as such term is defined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(a “</w:t>
      </w:r>
      <w:r>
        <w:rPr>
          <w:rFonts w:ascii="Arial" w:cs="Arial" w:eastAsia="Arial" w:hAnsi="Arial"/>
          <w:sz w:val="16"/>
          <w:szCs w:val="16"/>
          <w:b w:val="1"/>
          <w:bCs w:val="1"/>
          <w:i w:val="1"/>
          <w:iCs w:val="1"/>
          <w:color w:val="auto"/>
        </w:rPr>
        <w:t>Make-Whole Exercise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w:t>
      </w:r>
      <w:r>
        <w:rPr>
          <w:rFonts w:ascii="Arial" w:cs="Arial" w:eastAsia="Arial" w:hAnsi="Arial"/>
          <w:sz w:val="16"/>
          <w:szCs w:val="16"/>
          <w:b w:val="1"/>
          <w:bCs w:val="1"/>
          <w:i w:val="1"/>
          <w:iCs w:val="1"/>
          <w:color w:val="auto"/>
        </w:rPr>
        <w:t>Redemption Fair Market Value</w:t>
      </w:r>
      <w:r>
        <w:rPr>
          <w:rFonts w:ascii="Arial" w:cs="Arial" w:eastAsia="Arial" w:hAnsi="Arial"/>
          <w:sz w:val="16"/>
          <w:szCs w:val="16"/>
          <w:color w:val="auto"/>
        </w:rPr>
        <w:t xml:space="preserve">” shall mean the volume weighted average price of the shares of Common Stock for the ten (10) trading days immediately following the date on which notice of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is sent to the Registered Holders. In connection with any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Company shall provide the Registered Holders with the Redemption Fair Market Value no later than one (1) Business Day after the ten (10) trading day period described above 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gridSpan w:val="15"/>
          </w:tcPr>
          <w:p>
            <w:pPr>
              <w:jc w:val="right"/>
              <w:ind w:right="100"/>
              <w:spacing w:after="0"/>
              <w:rPr>
                <w:sz w:val="20"/>
                <w:szCs w:val="20"/>
                <w:color w:val="auto"/>
              </w:rPr>
            </w:pPr>
            <w:r>
              <w:rPr>
                <w:rFonts w:ascii="Arial" w:cs="Arial" w:eastAsia="Arial" w:hAnsi="Arial"/>
                <w:sz w:val="18"/>
                <w:szCs w:val="18"/>
                <w:b w:val="1"/>
                <w:bCs w:val="1"/>
                <w:color w:val="auto"/>
                <w:w w:val="91"/>
              </w:rPr>
              <w:t>Redemption Fair Market Value of Class A Common Stock (period to expiration of warrants)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280" w:type="dxa"/>
            <w:vAlign w:val="bottom"/>
          </w:tcPr>
          <w:p>
            <w:pPr>
              <w:spacing w:after="0"/>
              <w:rPr>
                <w:sz w:val="20"/>
                <w:szCs w:val="20"/>
                <w:color w:val="auto"/>
              </w:rPr>
            </w:pPr>
            <w:r>
              <w:rPr>
                <w:rFonts w:ascii="Arial" w:cs="Arial" w:eastAsia="Arial" w:hAnsi="Arial"/>
                <w:sz w:val="18"/>
                <w:szCs w:val="18"/>
                <w:b w:val="1"/>
                <w:bCs w:val="1"/>
                <w:color w:val="auto"/>
              </w:rPr>
              <w:t>Redemption Date</w:t>
            </w:r>
          </w:p>
        </w:tc>
        <w:tc>
          <w:tcPr>
            <w:tcW w:w="840" w:type="dxa"/>
            <w:vAlign w:val="bottom"/>
            <w:gridSpan w:val="2"/>
          </w:tcPr>
          <w:p>
            <w:pPr>
              <w:ind w:left="140"/>
              <w:spacing w:after="0"/>
              <w:rPr>
                <w:sz w:val="20"/>
                <w:szCs w:val="20"/>
                <w:color w:val="auto"/>
              </w:rPr>
            </w:pPr>
            <w:r>
              <w:rPr>
                <w:rFonts w:ascii="Arial" w:cs="Arial" w:eastAsia="Arial" w:hAnsi="Arial"/>
                <w:sz w:val="18"/>
                <w:szCs w:val="18"/>
                <w:b w:val="1"/>
                <w:bCs w:val="1"/>
                <w:color w:val="auto"/>
              </w:rPr>
              <w:t>≤10.00</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11.00</w:t>
            </w:r>
          </w:p>
        </w:tc>
        <w:tc>
          <w:tcPr>
            <w:tcW w:w="2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24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13.00</w:t>
            </w:r>
          </w:p>
        </w:tc>
        <w:tc>
          <w:tcPr>
            <w:tcW w:w="22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rPr>
              <w:t>14.00</w:t>
            </w:r>
          </w:p>
        </w:tc>
        <w:tc>
          <w:tcPr>
            <w:tcW w:w="2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15.00</w:t>
            </w:r>
          </w:p>
        </w:tc>
        <w:tc>
          <w:tcPr>
            <w:tcW w:w="2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16.00</w:t>
            </w:r>
          </w:p>
        </w:tc>
        <w:tc>
          <w:tcPr>
            <w:tcW w:w="2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17.00</w:t>
            </w:r>
          </w:p>
        </w:tc>
        <w:tc>
          <w:tcPr>
            <w:tcW w:w="2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0"/>
                <w:szCs w:val="20"/>
                <w:color w:val="auto"/>
              </w:rPr>
            </w:pP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60 months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0.311</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4"/>
              </w:rPr>
              <w:t>0.324</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57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0.257</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0.277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0.294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0.310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0.252</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0.272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0.307</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51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0.246</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0.268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0.287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0.301</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45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0.235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0.258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0.279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0.298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0.330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0.228</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0.294</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39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0.221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0.246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0.269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0.290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0.309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0.213</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33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0.205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0.232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0.257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0.280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0.301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0.196</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0.274</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0.351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27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0.185</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0.214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0.242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0.268</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0.291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0.313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0.173</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0.204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0.233</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0.260</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21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0.161</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0.193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0.223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0.252</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0.279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0.304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0.326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0.146</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0.179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0.242</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15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0.130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0.197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0.230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0.291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0.317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0.111</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0.146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0.216</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0.250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9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0.090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0.125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0.162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0.199</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0.237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0.272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0.305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0.065</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0.099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0.178</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3 months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0.034</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0.065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0.104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0.150</w:t>
            </w: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0.197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0.243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0.286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0.326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0.115</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0.179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1" w:name="page292"/>
    <w:bookmarkEnd w:id="291"/>
    <w:p>
      <w:pPr>
        <w:jc w:val="both"/>
        <w:ind w:firstLine="648"/>
        <w:spacing w:after="0" w:line="257" w:lineRule="auto"/>
        <w:rPr>
          <w:sz w:val="20"/>
          <w:szCs w:val="20"/>
          <w:color w:val="auto"/>
        </w:rPr>
      </w:pPr>
      <w:r>
        <w:rPr>
          <w:rFonts w:ascii="Arial" w:cs="Arial" w:eastAsia="Arial" w:hAnsi="Arial"/>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shares of Common Stock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share prices set forth in the column headings of the table above shall be adjusted as of any date on which the number of shares issuable upon exercise of a Warrant or the Exercise Price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If the number of shares issuable upon exercise of a Warrant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Exercise Price of a warrant is adjusted, (a) in the case of an adjustment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hereof, the adjusted share prices in the column headings shall equal the share prices immediately prior to such adjustment less the decrease in the Exercise Price pursuant to such Exercise Price adjustment. In no event shall the number of shares issued in connection with a Make-Whole Exercise exceed 0.361 shares of Common Stock per Warrant (subject to adjustment)</w:t>
      </w:r>
    </w:p>
    <w:p>
      <w:pPr>
        <w:spacing w:after="0" w:line="17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Date Fixed for, and Notice of, Redemption; Redemption Price; Reference Value</w:t>
      </w:r>
      <w:r>
        <w:rPr>
          <w:rFonts w:ascii="Arial" w:cs="Arial" w:eastAsia="Arial" w:hAnsi="Arial"/>
          <w:sz w:val="16"/>
          <w:szCs w:val="16"/>
          <w:color w:val="auto"/>
        </w:rPr>
        <w:t xml:space="preserve">. In the event that the Company elects to redeem the Warrants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above, the Company shall fix a date for the redemption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Notice of redemption shall be mailed by first class mail, postage prepaid, by the Company not less than thirty (30) days prior to the Redemption Date (the “</w:t>
      </w:r>
      <w:r>
        <w:rPr>
          <w:rFonts w:ascii="Arial" w:cs="Arial" w:eastAsia="Arial" w:hAnsi="Arial"/>
          <w:sz w:val="16"/>
          <w:szCs w:val="16"/>
          <w:b w:val="1"/>
          <w:bCs w:val="1"/>
          <w:i w:val="1"/>
          <w:iCs w:val="1"/>
          <w:color w:val="auto"/>
        </w:rPr>
        <w:t>30-day Redemption Period</w:t>
      </w:r>
      <w:r>
        <w:rPr>
          <w:rFonts w:ascii="Arial" w:cs="Arial" w:eastAsia="Arial" w:hAnsi="Arial"/>
          <w:sz w:val="16"/>
          <w:szCs w:val="16"/>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xml:space="preserve">” shall mean the price per Warrant at which any Warrants are redeemed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 (b) “</w:t>
      </w:r>
      <w:r>
        <w:rPr>
          <w:rFonts w:ascii="Arial" w:cs="Arial" w:eastAsia="Arial" w:hAnsi="Arial"/>
          <w:sz w:val="16"/>
          <w:szCs w:val="16"/>
          <w:b w:val="1"/>
          <w:bCs w:val="1"/>
          <w:i w:val="1"/>
          <w:iCs w:val="1"/>
          <w:color w:val="auto"/>
        </w:rPr>
        <w:t>Reference Value</w:t>
      </w:r>
      <w:r>
        <w:rPr>
          <w:rFonts w:ascii="Arial" w:cs="Arial" w:eastAsia="Arial" w:hAnsi="Arial"/>
          <w:sz w:val="16"/>
          <w:szCs w:val="16"/>
          <w:color w:val="auto"/>
        </w:rPr>
        <w:t>” shall mean the last reported sales price of the shares of Common Stock for any twenty (20) trading days within the thirty (30) trading-day period ending on the third trading day prior to the date on which notice of the redemption is given.</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2" w:name="page293"/>
    <w:bookmarkEnd w:id="292"/>
    <w:p>
      <w:pPr>
        <w:jc w:val="both"/>
        <w:ind w:firstLine="1296"/>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The Company agrees that (a) the redemption rights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a Purchaser or its Permitted Transferees and (b) if the Reference Value equals or exceeds $18.00 per share (subject to adjustment in compliance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redemption rights provided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either Purchaser or its Permitted Transferees, as applicable.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6.2</w:t>
      </w:r>
      <w:r>
        <w:rPr>
          <w:rFonts w:ascii="Arial" w:cs="Arial" w:eastAsia="Arial" w:hAnsi="Arial"/>
          <w:sz w:val="17"/>
          <w:szCs w:val="17"/>
          <w:color w:val="auto"/>
        </w:rPr>
        <w:t xml:space="preserve"> hereof, provided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hereof. Private Placement Warrants that are transferred to persons other than Permitted Transferees shall upon such transfer cease to be Private Placement Warrants and shall become Public Warrants under this Agreement, including for purposes of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hereof.</w:t>
      </w:r>
    </w:p>
    <w:p>
      <w:pPr>
        <w:spacing w:after="0" w:line="185" w:lineRule="exact"/>
        <w:rPr>
          <w:sz w:val="20"/>
          <w:szCs w:val="20"/>
          <w:color w:val="auto"/>
        </w:rPr>
      </w:pPr>
    </w:p>
    <w:p>
      <w:pPr>
        <w:ind w:left="840" w:hanging="184"/>
        <w:spacing w:after="0"/>
        <w:tabs>
          <w:tab w:leader="none" w:pos="84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 Cashless Exercise at Company’s Option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Registration of the Common Stock</w:t>
      </w:r>
      <w:r>
        <w:rPr>
          <w:rFonts w:ascii="Arial" w:cs="Arial" w:eastAsia="Arial" w:hAnsi="Arial"/>
          <w:sz w:val="17"/>
          <w:szCs w:val="17"/>
          <w:color w:val="auto"/>
        </w:rPr>
        <w:t xml:space="preserve">. The Company agrees that as soon as practicable, but in no event later than fifteen (15) Business Days after the closing of its initial Business Combination, it shall use its best efforts to file with the Commission a registration statement for the registration, under the Securities Act, of the shares of Common Stock issuable upon exercise of the Warrants. The Company shall use its best efforts to cause the same to become effective within sixty (60) Business Days following the closing of its initial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for that number of shares of Common Stock equal to the lesser of (A) the quotient obtained by dividing (x) the product of the number of shares of Common Stock underlying the Warrants, multiplied by the excess of the “Fair Market Value” (as defined below) less the Warrant Price by (y) the Fair Market Value and (B) 0.361. Solely for purposes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volume-weighted average price of the Common Stock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is not required to be registered under the Securities Act and (ii) the shares of Common Stock issued upon such exercise shall be freely tradable under United States federal securities laws by anyone who is not an affiliate (as such term is defined in Rule 144 under the Securities Act) of the Company and, accordingly, shall not be required to bear a restrictive legend. Except as provided in </w:t>
      </w:r>
      <w:r>
        <w:rPr>
          <w:rFonts w:ascii="Arial" w:cs="Arial" w:eastAsia="Arial" w:hAnsi="Arial"/>
          <w:sz w:val="17"/>
          <w:szCs w:val="17"/>
          <w:u w:val="single" w:color="auto"/>
          <w:color w:val="auto"/>
        </w:rPr>
        <w:t>subsection 7.4.2</w:t>
      </w:r>
      <w:r>
        <w:rPr>
          <w:rFonts w:ascii="Arial" w:cs="Arial" w:eastAsia="Arial" w:hAnsi="Arial"/>
          <w:sz w:val="17"/>
          <w:szCs w:val="17"/>
          <w:color w:val="auto"/>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3" w:name="page294"/>
    <w:bookmarkEnd w:id="293"/>
    <w:p>
      <w:pPr>
        <w:jc w:val="both"/>
        <w:ind w:firstLine="1944"/>
        <w:spacing w:after="0" w:line="254"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Cashless Exercise at Company’s Option</w:t>
      </w:r>
      <w:r>
        <w:rPr>
          <w:rFonts w:ascii="Arial" w:cs="Arial" w:eastAsia="Arial" w:hAnsi="Arial"/>
          <w:sz w:val="18"/>
          <w:szCs w:val="18"/>
          <w:color w:val="auto"/>
        </w:rPr>
        <w:t xml:space="preserve">. 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Arial" w:cs="Arial" w:eastAsia="Arial" w:hAnsi="Arial"/>
          <w:sz w:val="18"/>
          <w:szCs w:val="18"/>
          <w:u w:val="single" w:color="auto"/>
          <w:color w:val="auto"/>
        </w:rPr>
        <w:t>subsection 7.4.1</w:t>
      </w:r>
      <w:r>
        <w:rPr>
          <w:rFonts w:ascii="Arial" w:cs="Arial" w:eastAsia="Arial" w:hAnsi="Arial"/>
          <w:sz w:val="18"/>
          <w:szCs w:val="18"/>
          <w:color w:val="auto"/>
        </w:rPr>
        <w:t xml:space="preserve"> above and (ii) in the event the Company so elects, the Company shall (x) not be required to file or maintain in effect a registration statement for the registration, under the Securities Act, of the shares of Common Stock issuable upon exercise of the Warrants, notwithstanding anything in this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92" w:lineRule="exact"/>
        <w:rPr>
          <w:sz w:val="20"/>
          <w:szCs w:val="20"/>
          <w:color w:val="auto"/>
        </w:rPr>
      </w:pPr>
    </w:p>
    <w:p>
      <w:pPr>
        <w:ind w:left="840" w:hanging="184"/>
        <w:spacing w:after="0"/>
        <w:tabs>
          <w:tab w:leader="none" w:pos="8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shares of Common Stock upon the exercise of the Warrants, but the Company shall not be obligated to pay any transfer taxes in respect of the Warrants or such shares of Common Stock.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4" w:name="page295"/>
    <w:bookmarkEnd w:id="294"/>
    <w:p>
      <w:pPr>
        <w:jc w:val="both"/>
        <w:ind w:firstLine="1944"/>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75"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The Warrant Agent may rely upon such statement for any action taken or suffered in good faith by it pursuant to the provisions of this Agreement.</w:t>
      </w:r>
    </w:p>
    <w:p>
      <w:pPr>
        <w:spacing w:after="0" w:line="176"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spacing w:after="0" w:line="187"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Exclusions</w:t>
      </w:r>
      <w:r>
        <w:rPr>
          <w:rFonts w:ascii="Arial" w:cs="Arial" w:eastAsia="Arial" w:hAnsi="Arial"/>
          <w:sz w:val="17"/>
          <w:szCs w:val="17"/>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5" w:name="page296"/>
    <w:bookmarkEnd w:id="295"/>
    <w:p>
      <w:pPr>
        <w:jc w:val="both"/>
        <w:ind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840" w:hanging="184"/>
        <w:spacing w:after="0"/>
        <w:tabs>
          <w:tab w:leader="none" w:pos="8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6" w:name="page297"/>
    <w:bookmarkEnd w:id="296"/>
    <w:p>
      <w:pPr>
        <w:jc w:val="both"/>
        <w:spacing w:after="0" w:line="31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Gregg Noel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gregg.noel@skadden.com</w:t>
      </w:r>
    </w:p>
    <w:p>
      <w:pPr>
        <w:spacing w:after="0" w:line="21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Agreement and of the Warrants shall be governed in all respects by the laws of the State of New York. The Company hereby agrees that any action, proceeding or claim against it arising out of, or otherwise based on,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7" w:name="page298"/>
    <w:bookmarkEnd w:id="297"/>
    <w:p>
      <w:pPr>
        <w:jc w:val="both"/>
        <w:ind w:firstLine="1296"/>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or (ii)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50% of the then-outstanding Public Warrants and, solely with respect to any amendment to the terms of the Private Placement Warrants or any provision of this Agreement with respect to the Private Placement Warrants, 50%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908" w:right="95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07"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 xml:space="preserve">CUSIP </w:t>
      </w:r>
      <w:r>
        <w:rPr>
          <w:rFonts w:ascii="Arial" w:cs="Arial" w:eastAsia="Arial" w:hAnsi="Arial"/>
          <w:sz w:val="16"/>
          <w:szCs w:val="16"/>
          <w:b w:val="1"/>
          <w:bCs w:val="1"/>
          <w:color w:val="auto"/>
        </w:rPr>
        <w:t>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4140" w:val="left"/>
          <w:tab w:leader="none" w:pos="8400" w:val="left"/>
        </w:tabs>
        <w:rPr>
          <w:sz w:val="20"/>
          <w:szCs w:val="20"/>
          <w:color w:val="auto"/>
        </w:rPr>
      </w:pPr>
      <w:r>
        <w:rPr>
          <w:rFonts w:ascii="Arial" w:cs="Arial" w:eastAsia="Arial" w:hAnsi="Arial"/>
          <w:sz w:val="18"/>
          <w:szCs w:val="18"/>
          <w:b w:val="1"/>
          <w:bCs w:val="1"/>
          <w:i w:val="1"/>
          <w:i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shares of Class A common stock, $0.0001 par value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of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shares of Class A Common Stock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whole Warrant is initially exercisable for one fully paid and non-assessable share of Class A Common Stock. Fractional shares shall not be issued upon exercise of any Warrant. If, upon the exercise of Warrants, a holder would be entitled to receive a fractional interest in a share of Class A Common Stock, the Company shall,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Exercise Price per share of Class A Common Stock for any Warrant is equal to $11.50 per share. The Exercise Price is subject to adjustment upon the occurrence of certain events as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ind w:firstLine="648"/>
        <w:spacing w:after="0" w:line="277" w:lineRule="auto"/>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 This Warrant Certificate shall be governed by and construed in accordance with the internal laws of the State of New York.</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1" w:name="page302"/>
    <w:bookmarkEnd w:id="301"/>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Warrants evidenced by this Warrant Certificate are part of a duly authorized issue of Warrants entitling the holder on exercise to receive shares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 Class A Common Stock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Arial" w:cs="Arial" w:eastAsia="Arial" w:hAnsi="Arial"/>
          <w:sz w:val="17"/>
          <w:szCs w:val="17"/>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issuance of the shares of Class A Common Stock to be issued upon exercise is effective under the Securities Act and</w:t>
      </w:r>
    </w:p>
    <w:p>
      <w:pPr>
        <w:ind w:firstLine="8"/>
        <w:spacing w:after="0" w:line="260" w:lineRule="auto"/>
        <w:tabs>
          <w:tab w:leader="none" w:pos="27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prospectus thereunder relating to the shares of Class A Common Stock is current, except through “</w:t>
      </w:r>
      <w:r>
        <w:rPr>
          <w:rFonts w:ascii="Arial" w:cs="Arial" w:eastAsia="Arial" w:hAnsi="Arial"/>
          <w:sz w:val="18"/>
          <w:szCs w:val="18"/>
          <w:i w:val="1"/>
          <w:iCs w:val="1"/>
          <w:color w:val="auto"/>
        </w:rPr>
        <w:t>cashless exercise</w:t>
      </w:r>
      <w:r>
        <w:rPr>
          <w:rFonts w:ascii="Arial" w:cs="Arial" w:eastAsia="Arial" w:hAnsi="Arial"/>
          <w:sz w:val="18"/>
          <w:szCs w:val="18"/>
          <w:color w:val="auto"/>
        </w:rPr>
        <w:t>” as provided for in the Warrant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Election to Purchase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tabs>
          <w:tab w:leader="none" w:pos="9920" w:val="left"/>
        </w:tabs>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w:t>
      </w:r>
      <w:r>
        <w:rPr>
          <w:sz w:val="20"/>
          <w:szCs w:val="20"/>
          <w:color w:val="auto"/>
        </w:rPr>
        <w:tab/>
      </w:r>
      <w:r>
        <w:rPr>
          <w:rFonts w:ascii="Arial" w:cs="Arial" w:eastAsia="Arial" w:hAnsi="Arial"/>
          <w:sz w:val="16"/>
          <w:szCs w:val="16"/>
          <w:color w:val="auto"/>
        </w:rPr>
        <w:t>shares of Class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herewith tenders payment for such shares of Class A Common Stock to the order of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w:t>
      </w:r>
    </w:p>
    <w:p>
      <w:pPr>
        <w:spacing w:after="0" w:line="38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amount of $ in accordance with the terms hereof. The undersigned requests that a certificate for such shares of Class A Common Stock be registered in the name of , whose address is and that such shares of Class A Common Stock be delivered to whose address is</w:t>
      </w:r>
    </w:p>
    <w:p>
      <w:pPr>
        <w:spacing w:after="0" w:line="1" w:lineRule="exact"/>
        <w:rPr>
          <w:sz w:val="20"/>
          <w:szCs w:val="20"/>
          <w:color w:val="auto"/>
        </w:rPr>
      </w:pPr>
    </w:p>
    <w:p>
      <w:pPr>
        <w:jc w:val="both"/>
        <w:ind w:firstLine="976"/>
        <w:spacing w:after="0" w:line="281" w:lineRule="auto"/>
        <w:tabs>
          <w:tab w:leader="none" w:pos="107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said number of shares of Class A Common Stock is less than all of the shares of Class A Common Stock purchasable hereunder, the undersigned requests that a new Warrant Certificate representing the remaining balance of such shares of Class A Common Stock be registered in the name</w:t>
      </w:r>
    </w:p>
    <w:p>
      <w:pPr>
        <w:spacing w:after="0" w:line="1" w:lineRule="exact"/>
        <w:rPr>
          <w:sz w:val="20"/>
          <w:szCs w:val="20"/>
          <w:color w:val="auto"/>
        </w:rPr>
      </w:pPr>
    </w:p>
    <w:p>
      <w:pPr>
        <w:spacing w:after="0"/>
        <w:tabs>
          <w:tab w:leader="none" w:pos="860" w:val="left"/>
          <w:tab w:leader="none" w:pos="2920" w:val="left"/>
          <w:tab w:leader="none" w:pos="7120" w:val="left"/>
          <w:tab w:leader="none" w:pos="91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and a holder thereof elects to exercise its Warrant pursuant to a Make-Whole Exercise, the number of shares of Class A Common Stock that this Warrant is exercisable for shall be determined in accordance with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as applicable.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Class A Common Stock that this Warrant is exercisable for shall be determined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Class A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 be registered in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name of</w:t>
            </w:r>
          </w:p>
        </w:tc>
        <w:tc>
          <w:tcPr>
            <w:tcW w:w="2040" w:type="dxa"/>
            <w:vAlign w:val="bottom"/>
          </w:tcPr>
          <w:p>
            <w:pPr>
              <w:ind w:left="360"/>
              <w:spacing w:after="0"/>
              <w:rPr>
                <w:sz w:val="20"/>
                <w:szCs w:val="20"/>
                <w:color w:val="auto"/>
              </w:rPr>
            </w:pPr>
            <w:r>
              <w:rPr>
                <w:rFonts w:ascii="Arial" w:cs="Arial" w:eastAsia="Arial" w:hAnsi="Arial"/>
                <w:sz w:val="18"/>
                <w:szCs w:val="18"/>
                <w:color w:val="auto"/>
              </w:rPr>
              <w:t>, whose address is</w:t>
            </w:r>
          </w:p>
        </w:tc>
        <w:tc>
          <w:tcPr>
            <w:tcW w:w="4220" w:type="dxa"/>
            <w:vAlign w:val="bottom"/>
          </w:tcPr>
          <w:p>
            <w:pPr>
              <w:ind w:left="380"/>
              <w:spacing w:after="0"/>
              <w:rPr>
                <w:sz w:val="20"/>
                <w:szCs w:val="20"/>
                <w:color w:val="auto"/>
              </w:rPr>
            </w:pPr>
            <w:r>
              <w:rPr>
                <w:rFonts w:ascii="Arial" w:cs="Arial" w:eastAsia="Arial" w:hAnsi="Arial"/>
                <w:sz w:val="18"/>
                <w:szCs w:val="18"/>
                <w:color w:val="auto"/>
                <w:w w:val="98"/>
              </w:rPr>
              <w:t>and that such Warrant Certificate be delivered to</w:t>
            </w:r>
          </w:p>
        </w:tc>
        <w:tc>
          <w:tcPr>
            <w:tcW w:w="2020" w:type="dxa"/>
            <w:vAlign w:val="bottom"/>
          </w:tcPr>
          <w:p>
            <w:pPr>
              <w:ind w:left="360"/>
              <w:spacing w:after="0"/>
              <w:rPr>
                <w:sz w:val="20"/>
                <w:szCs w:val="20"/>
                <w:color w:val="auto"/>
              </w:rPr>
            </w:pPr>
            <w:r>
              <w:rPr>
                <w:rFonts w:ascii="Arial" w:cs="Arial" w:eastAsia="Arial" w:hAnsi="Arial"/>
                <w:sz w:val="18"/>
                <w:szCs w:val="18"/>
                <w:color w:val="auto"/>
              </w:rPr>
              <w:t>, whose address is</w:t>
            </w:r>
          </w:p>
        </w:tc>
        <w:tc>
          <w:tcPr>
            <w:tcW w:w="2000" w:type="dxa"/>
            <w:vAlign w:val="bottom"/>
          </w:tcPr>
          <w:p>
            <w:pPr>
              <w:jc w:val="right"/>
              <w:ind w:right="1510"/>
              <w:spacing w:after="0"/>
              <w:rPr>
                <w:sz w:val="20"/>
                <w:szCs w:val="20"/>
                <w:color w:val="auto"/>
              </w:rPr>
            </w:pPr>
            <w:r>
              <w:rPr>
                <w:rFonts w:ascii="Arial" w:cs="Arial" w:eastAsia="Arial" w:hAnsi="Arial"/>
                <w:sz w:val="18"/>
                <w:szCs w:val="18"/>
                <w:color w:val="auto"/>
              </w:rPr>
              <w:t>.</w:t>
            </w:r>
          </w:p>
        </w:tc>
      </w:tr>
      <w:tr>
        <w:trPr>
          <w:trHeight w:val="418"/>
        </w:trPr>
        <w:tc>
          <w:tcPr>
            <w:tcW w:w="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682"/>
        </w:trPr>
        <w:tc>
          <w:tcPr>
            <w:tcW w:w="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03" w:name="page304"/>
    <w:bookmarkEnd w:id="303"/>
    <w:p>
      <w:pPr>
        <w:spacing w:after="0"/>
        <w:tabs>
          <w:tab w:leader="none" w:pos="1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597535</wp:posOffset>
            </wp:positionV>
            <wp:extent cx="284607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443230</wp:posOffset>
            </wp:positionV>
            <wp:extent cx="284607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Indentification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CM LIFE 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CMLS HOLDINGS LLC AND THE OTHER PARTIES THERETO, THE SECURITIES REPRESENTED BY THIS CERTIFICATE MAY NOT BE SOLD OR TRANSFERRED PRIOR TO THE DATE THAT IS THIRTY (30) DAYS AFTER THE DATE UPON WHICH THE COMPANY COMPLETES ITS INITIAL BUSINESS COMBINATION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WARRANT AGREEMENT REFERRED TO HEREIN) EXCEPT TO A PERMITTED TRANSFEREE (AS DEFINED IN THE RECITALS OF THE WARRANT AGREEMENT) WHO AGREES IN WRITING WITH THE COMPANY TO BE SUBJECT TO SUCH TRANSFER PROVISIONS.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EVIDENCED BY THIS CERTIFICATE AND SHARES OF CLASS A COMMON STOCK OF THE COMPANY ISSUED UPON EXERCISE OF SUCH SECURITIES SHALL BE ENTITLED TO REGISTRATION RIGHTS UNDER A REGISTRATION AGREEMENT TO BE EXECUTED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163195</wp:posOffset>
            </wp:positionV>
            <wp:extent cx="1329055" cy="939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32905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August 24,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acted as New York counsel to CM Life Sciences, Inc., a corporation organized under the laws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preparation and filing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a registration statement on Form S-1 (File No. 333-246251)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the related prospectus relating to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offer and sale by the Company of 35,000,000 units of the Company, including up to 5,250,000 units which may be purchased from the Company upon the exercise of the over-allotment option to purchase additional units set forth in the Underwriting Agreement (as defined below) (collectively, the “</w:t>
      </w:r>
      <w:r>
        <w:rPr>
          <w:rFonts w:ascii="Arial" w:cs="Arial" w:eastAsia="Arial" w:hAnsi="Arial"/>
          <w:sz w:val="18"/>
          <w:szCs w:val="18"/>
          <w:u w:val="single" w:color="auto"/>
          <w:color w:val="auto"/>
        </w:rPr>
        <w:t>Units</w:t>
      </w:r>
      <w:r>
        <w:rPr>
          <w:rFonts w:ascii="Arial" w:cs="Arial" w:eastAsia="Arial" w:hAnsi="Arial"/>
          <w:sz w:val="18"/>
          <w:szCs w:val="18"/>
          <w:color w:val="auto"/>
        </w:rPr>
        <w:t>”), with each Unit consisting of one share of the Company’s Class A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one-third of one redeemable warrant (each, a “</w:t>
      </w:r>
      <w:r>
        <w:rPr>
          <w:rFonts w:ascii="Arial" w:cs="Arial" w:eastAsia="Arial" w:hAnsi="Arial"/>
          <w:sz w:val="18"/>
          <w:szCs w:val="18"/>
          <w:u w:val="single" w:color="auto"/>
          <w:color w:val="auto"/>
        </w:rPr>
        <w:t>Warrant</w:t>
      </w:r>
      <w:r>
        <w:rPr>
          <w:rFonts w:ascii="Arial" w:cs="Arial" w:eastAsia="Arial" w:hAnsi="Arial"/>
          <w:sz w:val="18"/>
          <w:szCs w:val="18"/>
          <w:color w:val="auto"/>
        </w:rPr>
        <w:t>”), each whole Warrant entitling the holder to purchase one share of Common Stock.</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any prospectus filed pursuant to Rule 424(b) with respect thereto, other than as expressly stated herein with respect to the issue of the Units.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84" w:lineRule="exact"/>
        <w:rPr>
          <w:sz w:val="20"/>
          <w:szCs w:val="20"/>
          <w:color w:val="auto"/>
        </w:rPr>
      </w:pPr>
    </w:p>
    <w:p>
      <w:pPr>
        <w:ind w:left="980" w:hanging="324"/>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form of underwriting agreement to be entered into between the Company and the representative on behalf of each of the several underwriters named in Schedule A thereto, filed as Exhibit 1.1 to the Registration Statement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specimen Unit certificate, filed as Exhibit 4.1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specimen Common Stock certificate, filed as Exhibit 4.2 to the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specimen Warrant certificate, filed as Exhibit 4.3 to the Registration Statement;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form of Warrant Agreement to be entered into by and between the Company and Continental Stock Transfer &amp; Trust Company, as warrant agent (the “</w:t>
      </w:r>
      <w:r>
        <w:rPr>
          <w:rFonts w:ascii="Arial" w:cs="Arial" w:eastAsia="Arial" w:hAnsi="Arial"/>
          <w:sz w:val="18"/>
          <w:szCs w:val="18"/>
          <w:u w:val="single" w:color="auto"/>
          <w:color w:val="auto"/>
        </w:rPr>
        <w:t>Warrant Agent</w:t>
      </w:r>
      <w:r>
        <w:rPr>
          <w:rFonts w:ascii="Arial" w:cs="Arial" w:eastAsia="Arial" w:hAnsi="Arial"/>
          <w:sz w:val="18"/>
          <w:szCs w:val="18"/>
          <w:color w:val="auto"/>
        </w:rPr>
        <w:t>”), pursuant to which the Warrants will be issued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filed as Exhibit 4.4 to the Registration Statement;</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copy of the Amended and Restated Certificate of Incorporation of the Company, certified by the Secretary of State of the State of Delaware on July 13, 2020;</w:t>
      </w:r>
    </w:p>
    <w:p>
      <w:pPr>
        <w:spacing w:after="0" w:line="37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6" w:name="page307"/>
    <w:bookmarkEnd w:id="306"/>
    <w:p>
      <w:pPr>
        <w:ind w:left="980" w:hanging="324"/>
        <w:spacing w:after="0" w:line="308" w:lineRule="auto"/>
        <w:tabs>
          <w:tab w:leader="none" w:pos="9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5986145</wp:posOffset>
            </wp:positionH>
            <wp:positionV relativeFrom="page">
              <wp:posOffset>234950</wp:posOffset>
            </wp:positionV>
            <wp:extent cx="1329055" cy="946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1329055" cy="94615"/>
                    </a:xfrm>
                    <a:prstGeom prst="rect">
                      <a:avLst/>
                    </a:prstGeom>
                    <a:noFill/>
                  </pic:spPr>
                </pic:pic>
              </a:graphicData>
            </a:graphic>
          </wp:anchor>
        </w:drawing>
        <w:t>the Second Amended and Restated Certificate of Incorporation of the Company to be in effect immediately prior to the consummation of the offering of the Units, a form of which is filed as Exhibit 3.2 to the Registration Statement (the “</w:t>
      </w:r>
      <w:r>
        <w:rPr>
          <w:rFonts w:ascii="Arial" w:cs="Arial" w:eastAsia="Arial" w:hAnsi="Arial"/>
          <w:sz w:val="17"/>
          <w:szCs w:val="17"/>
          <w:u w:val="single" w:color="auto"/>
          <w:color w:val="auto"/>
        </w:rPr>
        <w:t>Amended Certificate of Incorporation</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copy of the Bylaws of the Company as in effect on August 24, 2020, certified by the Secretary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 copy of Resolutions of the Board of Directors of the Company adopted on July 16, 2020, certified by the Secretary of the Company; and</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copy of a certificate, dated the date hereof, of the Delaware Secretary of State, dated August 21, 2020, certifying the existence and good standing of the Company under the laws of the State of Delaware.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146" w:lineRule="exact"/>
        <w:rPr>
          <w:sz w:val="20"/>
          <w:szCs w:val="20"/>
          <w:color w:val="auto"/>
        </w:rPr>
      </w:pPr>
    </w:p>
    <w:p>
      <w:pPr>
        <w:jc w:val="both"/>
        <w:ind w:left="980" w:hanging="324"/>
        <w:spacing w:after="0" w:line="254" w:lineRule="auto"/>
        <w:tabs>
          <w:tab w:leader="none" w:pos="9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When the Registration Statement becomes effective under the Securities Act and the Units have been issued and delivered by the Company pursuant to the Underwriting Agreement against the payment of the consideration set forth in the Underwriting Agreement, assuming the due authorization, execution and delivery of the Units by Continental Stock Transfer &amp; Trust Company, as transfer agent, the Units will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in equity or at law).</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When the Registration Statement becomes effective under the Securities Act, the Amended Certificate of Incorporation has been filed with the Secretary of State of the State of Delaware and the shares of Common Stock included in the Units have been delivered by the Company pursuant to the Underwriting Agreement against the payment of the consideration set forth in the Underwriting Agreement, the shares of Common Stock will be validly issued, fully paid and nonassessable.</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7" w:name="page308"/>
    <w:bookmarkEnd w:id="307"/>
    <w:p>
      <w:pPr>
        <w:jc w:val="both"/>
        <w:ind w:left="980" w:hanging="324"/>
        <w:spacing w:after="0" w:line="293" w:lineRule="auto"/>
        <w:tabs>
          <w:tab w:leader="none" w:pos="9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5986145</wp:posOffset>
            </wp:positionH>
            <wp:positionV relativeFrom="page">
              <wp:posOffset>234950</wp:posOffset>
            </wp:positionV>
            <wp:extent cx="1329055" cy="946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1329055" cy="94615"/>
                    </a:xfrm>
                    <a:prstGeom prst="rect">
                      <a:avLst/>
                    </a:prstGeom>
                    <a:noFill/>
                  </pic:spPr>
                </pic:pic>
              </a:graphicData>
            </a:graphic>
          </wp:anchor>
        </w:drawing>
        <w:t>When the Registration Statement becomes effective under the Securities Act and the Warrants included in the Units have been delivered by the Company pursuant to the Underwriting Agreement against the payment of the consideration set forth in the Underwriting Agreement, assuming the due authorization, execution and delivery of the Warrants by the Warrant Agent, the Warrants will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 expressed above is limited to questions arising under the law of the State of New York and the Delaware General Corporation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express any opinion as to the laws of any other jurisdiction.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Units pursuant to the Registration Statement and is not to be relied upon for any other purpose.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reference to our firm as counsel for the Company that has passed on the validity of the Units, Common Stock and Warrants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JR:CD:RB:DN:KW:JL</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10065</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letter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is being delivered to you in accordance with the Underwriting Agreement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 entered into by and between CM Life Sciences,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Jefferies LLC, as representative of the several underwriters (the “</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relating to an underwritten initial public offering (the “</w:t>
      </w:r>
      <w:r>
        <w:rPr>
          <w:rFonts w:ascii="Arial" w:cs="Arial" w:eastAsia="Arial" w:hAnsi="Arial"/>
          <w:sz w:val="16"/>
          <w:szCs w:val="16"/>
          <w:b w:val="1"/>
          <w:bCs w:val="1"/>
          <w:i w:val="1"/>
          <w:iCs w:val="1"/>
          <w:color w:val="auto"/>
        </w:rPr>
        <w:t>Public Offering</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of up to 40,250,000 of the Company’s units (including up to 5,250,000 units that may be purchased to cover over-allotments, if any)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each comprised of one share of the Company’s Class A common stock, par value $0.0001 per share (the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one-third of one redeemable warrant. Each whole warrant (each, a “</w:t>
      </w:r>
      <w:r>
        <w:rPr>
          <w:rFonts w:ascii="Arial" w:cs="Arial" w:eastAsia="Arial" w:hAnsi="Arial"/>
          <w:sz w:val="16"/>
          <w:szCs w:val="16"/>
          <w:b w:val="1"/>
          <w:bCs w:val="1"/>
          <w:i w:val="1"/>
          <w:iCs w:val="1"/>
          <w:color w:val="auto"/>
        </w:rPr>
        <w:t>Public Warrant</w:t>
      </w:r>
      <w:r>
        <w:rPr>
          <w:rFonts w:ascii="Arial" w:cs="Arial" w:eastAsia="Arial" w:hAnsi="Arial"/>
          <w:sz w:val="16"/>
          <w:szCs w:val="16"/>
          <w:color w:val="auto"/>
        </w:rPr>
        <w:t>”) entitles the holder thereof to purchase one share of Class A Common Stock at a price of $11.50 per share, subject to adjustment as described in the Prospectus (as defined below). The Units will be sold in the Public Offering pursuant to a registration statement on Form S-1 and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filed by the Company with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and the Company has applied to have the Units listed on the New York Stock Exchange. Certain capitalized terms used herein are defined in paragraph 11 hereof.</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induce the Company and the Underwriter to enter into the Underwriting Agreement and to proceed with the Public Offering and for other good and valuable consideration, the receipt and sufficiency of which are hereby acknowledged, each of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undersigned individuals, each of whom is a member of the Company’s board of directors and/or management team (each of the undersigned individuals,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agrees with the Company as follows:</w:t>
      </w:r>
    </w:p>
    <w:p>
      <w:pPr>
        <w:spacing w:after="0" w:line="171" w:lineRule="exact"/>
        <w:rPr>
          <w:sz w:val="20"/>
          <w:szCs w:val="20"/>
          <w:color w:val="auto"/>
        </w:rPr>
      </w:pPr>
    </w:p>
    <w:p>
      <w:pPr>
        <w:jc w:val="both"/>
        <w:ind w:firstLine="656"/>
        <w:spacing w:after="0" w:line="275" w:lineRule="auto"/>
        <w:tabs>
          <w:tab w:leader="none" w:pos="833"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Sponsor and each Insider agrees that if the Company seeks stockholder approval of a proposed Business Combination, then in connection with such proposed Business Combination, it, he or she shall (i) vote any shares of Common Stock (as defined below)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Common Stock owned by it, him or her in connection therewith.</w:t>
      </w:r>
    </w:p>
    <w:p>
      <w:pPr>
        <w:spacing w:after="0" w:line="176" w:lineRule="exact"/>
        <w:rPr>
          <w:rFonts w:ascii="Arial" w:cs="Arial" w:eastAsia="Arial" w:hAnsi="Arial"/>
          <w:sz w:val="17"/>
          <w:szCs w:val="17"/>
          <w:color w:val="auto"/>
        </w:rPr>
      </w:pPr>
    </w:p>
    <w:p>
      <w:pPr>
        <w:jc w:val="both"/>
        <w:ind w:firstLine="656"/>
        <w:spacing w:after="0" w:line="285" w:lineRule="auto"/>
        <w:tabs>
          <w:tab w:leader="none" w:pos="82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Sponsor and each Insider shall take all reasonable steps to cause the Company to (i) cease all operations except for the purpose of winding up, (ii) as promptly as reasonably possible but not more than ten business days thereafter, redeem 100% of the shares of Class A Common Stock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all Public Stockholders’ (as defined below)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other requirements of applicable law. The Sponsor and each Insider agrees to not propose any amendment to the Charter to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9" w:name="page310"/>
    <w:bookmarkEnd w:id="309"/>
    <w:p>
      <w:pPr>
        <w:jc w:val="both"/>
        <w:ind w:firstLine="648"/>
        <w:spacing w:after="0" w:line="269" w:lineRule="auto"/>
        <w:rPr>
          <w:sz w:val="20"/>
          <w:szCs w:val="20"/>
          <w:color w:val="auto"/>
        </w:rPr>
      </w:pPr>
      <w:r>
        <w:rPr>
          <w:rFonts w:ascii="Arial" w:cs="Arial" w:eastAsia="Arial" w:hAnsi="Arial"/>
          <w:sz w:val="17"/>
          <w:szCs w:val="17"/>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shares of Common Stock held by it, him or her, if any, any redemption rights it, he or she may have in connection with (A) the consummation of a Business Combination, including, without limitation, any such rights available in the context of a stockholder vote to approve such Business Combination, or (B) a stockholder vote to approve an amendment to the Charter to modify the substance or timing of the Company’s obligation to redeem 100% of the Offering Shares if the Company has not consummated a Business Combination within the time period set forth in the Charter or with respect to any other material provisions relating to stockholders’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85" w:lineRule="exact"/>
        <w:rPr>
          <w:sz w:val="20"/>
          <w:szCs w:val="20"/>
          <w:color w:val="auto"/>
        </w:rPr>
      </w:pPr>
    </w:p>
    <w:p>
      <w:pPr>
        <w:jc w:val="both"/>
        <w:ind w:firstLine="656"/>
        <w:spacing w:after="0" w:line="285" w:lineRule="auto"/>
        <w:tabs>
          <w:tab w:leader="none" w:pos="82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in 7(a) and 7(b), during the period commencing on the effective date of the Underwriting Agreement and ending 180 days after such date, the Sponsor and each Insider shall not, without the prior written consent of the Underwriter,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rules and regulations of the Commission promulgated thereunder, with respect to, any Units, shares of Class A Common Stock (including, but not limited to, Founder Shares), Warrants (as defined below) or any securities convertible into, or exercisable, or exchangeable for, shares of Class A Common Stock owned by it, him or her, (ii) enter into any swap or other arrangement that transfers to another, in whole or in part, any of the economic consequences of ownership of any Units, shares of Common Stock (including, but not limited to, Founder Shares), Warrants or any securities convertible into, or exercisable, or exchangeable for, shares of Common Stock owned by it, him or her, whether any such transaction is to be settled by delivery of such securities, in cash or otherwise, or (iii) publicly announce any intention to effect any transaction specified in clause (i) or (ii); provided, however, all of the foregoing does not apply to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Each of the Insiders and the Sponsor acknowledges and agrees that, prior to the effective date of any release or waiver, of the restrictions set forth in this paragraph 3 or paragraph 7 below, the Company may announce the impending release or waiver by press release through a major news service at least two business days before the effective date of the release or waiver.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0" w:name="page311"/>
    <w:bookmarkEnd w:id="310"/>
    <w:p>
      <w:pPr>
        <w:jc w:val="both"/>
        <w:ind w:firstLine="656"/>
        <w:spacing w:after="0" w:line="286" w:lineRule="auto"/>
        <w:tabs>
          <w:tab w:leader="none" w:pos="83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(other than the independent registered public accounting firm)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however, that such indemnification of the Company by the Indemnitor (x) shall apply only to the extent necessary to ensure that such claims by a third party for services rendered (other than the independent registered public accounting firm) or products sold to the Company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67" w:lineRule="exact"/>
        <w:rPr>
          <w:rFonts w:ascii="Arial" w:cs="Arial" w:eastAsia="Arial" w:hAnsi="Arial"/>
          <w:sz w:val="16"/>
          <w:szCs w:val="16"/>
          <w:color w:val="auto"/>
        </w:rPr>
      </w:pPr>
    </w:p>
    <w:p>
      <w:pPr>
        <w:jc w:val="both"/>
        <w:ind w:firstLine="656"/>
        <w:spacing w:after="0" w:line="286" w:lineRule="auto"/>
        <w:tabs>
          <w:tab w:leader="none" w:pos="83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To the extent that the Underwriter does not exercise its over-allotment option to purchase up to an additional 5,250,000 Units within 45 days from the date of the Prospectus (and as further described in the Prospectus), the Sponsor agrees to forfeit, at no cost, a number of Founder Shares in the aggregate equal to 1,312,500 multiplied by a fraction, (i) the numerator of which is 5,250,000 minus the number of Units purchased by the Underwriter upon the exercise of their over-allotment option, and (ii) the denominator of which is 5,250,000. The forfeiture will be adjusted to the extent that the over-allotment option is not exercised in full by the Underwriter so that the Founder Shares will represent an aggregate of 20.0% of the Company’s issued and outstanding shares of Class A Common Stock after the Public Offering (not including shares of Class A Common Stock underlying the Public Warrants or Private Placement Warrants (as defined below)). The Sponsor further agrees that to the extent that the size of the Public Offering is increased or decreased, the Company will purchase or sell Units or effect a stock dividend or share contribution back to capital, as applicable, immediately prior to the consummation of the Public Offering in such amount as to maintain the number of Founder Shares at 20.0% of its issued and outstanding Common Stock upon the consummation of the Public Offering. In connection with such increase or decrease in the size of the Public Offering, (A) the references to 5,250,000 in the numerator and denominator of the formula in the first sentence of this paragraph shall be changed to a number equal to 15% of the number of Offering Shares included in the Units issued in the Public Offering and (B) the reference to 1,312,500 in the formula set forth in the first sentence of this paragraph shall be adjusted to such number of Founder Shares that the Sponsor would have to surrender to the Company in order for the number of Founder Shares to equal an aggregate of 20.0% of the Company’s issued and outstanding shares of Class A Common Stock after the Public Offering (not including shares of Class A Common Stock underlying the Public Warrants or Private Placement Warrants).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1" w:name="page312"/>
    <w:bookmarkEnd w:id="311"/>
    <w:p>
      <w:pPr>
        <w:jc w:val="both"/>
        <w:ind w:firstLine="656"/>
        <w:spacing w:after="0" w:line="259" w:lineRule="auto"/>
        <w:tabs>
          <w:tab w:leader="none" w:pos="83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86" w:lineRule="exact"/>
        <w:rPr>
          <w:rFonts w:ascii="Arial" w:cs="Arial" w:eastAsia="Arial" w:hAnsi="Arial"/>
          <w:sz w:val="18"/>
          <w:szCs w:val="18"/>
          <w:color w:val="auto"/>
        </w:rPr>
      </w:pPr>
    </w:p>
    <w:p>
      <w:pPr>
        <w:jc w:val="both"/>
        <w:ind w:firstLine="656"/>
        <w:spacing w:after="0" w:line="291" w:lineRule="auto"/>
        <w:tabs>
          <w:tab w:leader="none" w:pos="83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 The Sponsor and each Insider agrees that it, he or she shall not Transfer (as defined below) any Founder Shares (or any shares of Class A Common Stock issuable upon conversion thereof) until the earlier of (A) one year after the completion of the Company’s initial Business Combination and</w:t>
      </w:r>
    </w:p>
    <w:p>
      <w:pPr>
        <w:jc w:val="both"/>
        <w:ind w:firstLine="8"/>
        <w:spacing w:after="0" w:line="252" w:lineRule="auto"/>
        <w:tabs>
          <w:tab w:leader="none" w:pos="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subsequent to the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w:t>
      </w:r>
      <w:r>
        <w:rPr>
          <w:rFonts w:ascii="Arial" w:cs="Arial" w:eastAsia="Arial" w:hAnsi="Arial"/>
          <w:sz w:val="18"/>
          <w:szCs w:val="18"/>
          <w:b w:val="1"/>
          <w:bCs w:val="1"/>
          <w:i w:val="1"/>
          <w:iCs w:val="1"/>
          <w:color w:val="auto"/>
        </w:rPr>
        <w:t>Founder Shares 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3" w:lineRule="exact"/>
        <w:rPr>
          <w:rFonts w:ascii="Arial" w:cs="Arial" w:eastAsia="Arial" w:hAnsi="Arial"/>
          <w:sz w:val="18"/>
          <w:szCs w:val="18"/>
          <w:color w:val="auto"/>
        </w:rPr>
      </w:pPr>
    </w:p>
    <w:p>
      <w:pPr>
        <w:jc w:val="both"/>
        <w:ind w:firstLine="1304"/>
        <w:spacing w:after="0" w:line="286" w:lineRule="auto"/>
        <w:tabs>
          <w:tab w:leader="none" w:pos="1564" w:val="left"/>
        </w:tabs>
        <w:numPr>
          <w:ilvl w:val="2"/>
          <w:numId w:val="221"/>
        </w:numPr>
        <w:rPr>
          <w:rFonts w:ascii="Arial" w:cs="Arial" w:eastAsia="Arial" w:hAnsi="Arial"/>
          <w:sz w:val="17"/>
          <w:szCs w:val="17"/>
          <w:color w:val="auto"/>
        </w:rPr>
      </w:pPr>
      <w:r>
        <w:rPr>
          <w:rFonts w:ascii="Arial" w:cs="Arial" w:eastAsia="Arial" w:hAnsi="Arial"/>
          <w:sz w:val="17"/>
          <w:szCs w:val="17"/>
          <w:color w:val="auto"/>
        </w:rPr>
        <w:t>The Sponsor and each Insider agrees that it, he or she shall not Transfer any Private Placement Warrants (or any share of Class A Common Stock issued or issuable upon the exercise of the Private Placement Warrants), until 30 days after the completion of a Business Combination (the “</w:t>
      </w:r>
      <w:r>
        <w:rPr>
          <w:rFonts w:ascii="Arial" w:cs="Arial" w:eastAsia="Arial" w:hAnsi="Arial"/>
          <w:sz w:val="17"/>
          <w:szCs w:val="17"/>
          <w:b w:val="1"/>
          <w:bCs w:val="1"/>
          <w:i w:val="1"/>
          <w:iCs w:val="1"/>
          <w:color w:val="auto"/>
        </w:rPr>
        <w:t>Private Placement Warrants Lock-up Period</w:t>
      </w:r>
      <w:r>
        <w:rPr>
          <w:rFonts w:ascii="Arial" w:cs="Arial" w:eastAsia="Arial" w:hAnsi="Arial"/>
          <w:sz w:val="17"/>
          <w:szCs w:val="17"/>
          <w:color w:val="auto"/>
        </w:rPr>
        <w:t>”, together with the Founder Shares Lock-up Period, the “</w:t>
      </w:r>
      <w:r>
        <w:rPr>
          <w:rFonts w:ascii="Arial" w:cs="Arial" w:eastAsia="Arial" w:hAnsi="Arial"/>
          <w:sz w:val="17"/>
          <w:szCs w:val="17"/>
          <w:b w:val="1"/>
          <w:bCs w:val="1"/>
          <w:i w:val="1"/>
          <w:iCs w:val="1"/>
          <w:color w:val="auto"/>
        </w:rPr>
        <w:t>Lock-up Periods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5" w:lineRule="exact"/>
        <w:rPr>
          <w:rFonts w:ascii="Arial" w:cs="Arial" w:eastAsia="Arial" w:hAnsi="Arial"/>
          <w:sz w:val="17"/>
          <w:szCs w:val="17"/>
          <w:color w:val="auto"/>
        </w:rPr>
      </w:pPr>
    </w:p>
    <w:p>
      <w:pPr>
        <w:jc w:val="both"/>
        <w:ind w:firstLine="1304"/>
        <w:spacing w:after="0" w:line="284" w:lineRule="auto"/>
        <w:tabs>
          <w:tab w:leader="none" w:pos="1546" w:val="left"/>
        </w:tabs>
        <w:numPr>
          <w:ilvl w:val="2"/>
          <w:numId w:val="221"/>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7(a) and (b), Transfers of the Founder Shares, Private Placement Warrants and shares of Class A Common Stock issued or issuable upon the exercise or conversion of the Private Placement Warrants or the Founder Shares that are held by the Sponsor, any Insider or any of their permitted transferees (that have complied with this paragraph 7(c)), are permitted (a) to the Company’s officers or directors, any affiliates or family members of any of the Company’s officers or directors, any members or partners of the Sponsor or their affiliates (including members of the Sponsor’s members), any affiliates of the Sponsor, or any employees of such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w:t>
      </w:r>
    </w:p>
    <w:p>
      <w:pPr>
        <w:spacing w:after="0" w:line="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by virtue of the laws of the State of Delaware or the Sponsor’s organizational documents upon liquidation or dissolution of the Sponsor; (g) to the Company for no value for cancellation in connection with the consummation of an initial Business Combination; (h) in the event of the Company’s liquidation prior to the consummation of an initial Business Combination; or (i) in the event of the Company’s completion of a liquidation, merger, capital stock exchange or other similar transaction which results in all of the Company’s stockholders having the right to exchange their shares of Class A Common Stock for cash, securities or other property subsequent to the Company’s completion of an initial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clauses (a) through (f),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2" w:name="page313"/>
    <w:bookmarkEnd w:id="312"/>
    <w:p>
      <w:pPr>
        <w:jc w:val="both"/>
        <w:ind w:firstLine="656"/>
        <w:spacing w:after="0" w:line="270" w:lineRule="auto"/>
        <w:tabs>
          <w:tab w:leader="none" w:pos="825"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material respects and does not omit any material information with respect to such Insider’s background. The Sponsor and each Insider represents and warrants that the questionnaire it, he or she furnished to the Company is true and accurate in all material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80" w:lineRule="exact"/>
        <w:rPr>
          <w:rFonts w:ascii="Arial" w:cs="Arial" w:eastAsia="Arial" w:hAnsi="Arial"/>
          <w:sz w:val="17"/>
          <w:szCs w:val="17"/>
          <w:color w:val="auto"/>
        </w:rPr>
      </w:pPr>
    </w:p>
    <w:p>
      <w:pPr>
        <w:jc w:val="both"/>
        <w:ind w:firstLine="656"/>
        <w:spacing w:after="0" w:line="287" w:lineRule="auto"/>
        <w:tabs>
          <w:tab w:leader="none" w:pos="83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$300,000 made to the Company by the Sponsor;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of the post-Business Combination entity at a price of $1.50 per warrant at the option of the lender. Such warrants would be identical to the Private Placement Warrants, including as to exercise price, exercisability and exercise period.</w:t>
      </w:r>
    </w:p>
    <w:p>
      <w:pPr>
        <w:spacing w:after="0" w:line="167" w:lineRule="exact"/>
        <w:rPr>
          <w:rFonts w:ascii="Arial" w:cs="Arial" w:eastAsia="Arial" w:hAnsi="Arial"/>
          <w:sz w:val="16"/>
          <w:szCs w:val="16"/>
          <w:color w:val="auto"/>
        </w:rPr>
      </w:pPr>
    </w:p>
    <w:p>
      <w:pPr>
        <w:jc w:val="both"/>
        <w:ind w:firstLine="656"/>
        <w:spacing w:after="0" w:line="259" w:lineRule="auto"/>
        <w:tabs>
          <w:tab w:leader="none" w:pos="91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firstLine="656"/>
        <w:spacing w:after="0" w:line="283" w:lineRule="auto"/>
        <w:tabs>
          <w:tab w:leader="none" w:pos="90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Class A Common Stock and Class B common stock, par value $0.0001 per share, of the Company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10,062,500 shares of Class B Common Stock issued and outstanding immediately prior to the consummation of the Public Offering (up to 1,312,500 shares of which are subject to complete or partial forfeiture by the Sponsor if the over-allotment option is not exercised by the Underwriter); (iv) “</w:t>
      </w:r>
      <w:r>
        <w:rPr>
          <w:rFonts w:ascii="Arial" w:cs="Arial" w:eastAsia="Arial" w:hAnsi="Arial"/>
          <w:sz w:val="16"/>
          <w:szCs w:val="16"/>
          <w:b w:val="1"/>
          <w:bCs w:val="1"/>
          <w:i w:val="1"/>
          <w:iCs w:val="1"/>
          <w:color w:val="auto"/>
        </w:rPr>
        <w:t>Initial Stockholders</w:t>
      </w:r>
      <w:r>
        <w:rPr>
          <w:rFonts w:ascii="Arial" w:cs="Arial" w:eastAsia="Arial" w:hAnsi="Arial"/>
          <w:sz w:val="16"/>
          <w:szCs w:val="16"/>
          <w:color w:val="auto"/>
        </w:rPr>
        <w:t>” shall mean the Sponsor and any Insider that holds Founder Shares;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6,000,000 warrants (or 6,700,000 warrants if the over-allotment option is exercised in full) that the Sponsor and certain Insiders have agreed to purchase for an aggregate purchase price of $9,000,000 (or $10,050,000 if the over-allotment option is exercised in full), or $1.50 per warrant, in a private placement that shall occur simultaneously with the consummation of the Public Offering; (vi)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 shall mean the holders of securities issued in the Public Offering; (vii)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Warrants shall be deposited;</w:t>
      </w:r>
    </w:p>
    <w:p>
      <w:pPr>
        <w:spacing w:after="0" w:line="4" w:lineRule="exact"/>
        <w:rPr>
          <w:rFonts w:ascii="Arial" w:cs="Arial" w:eastAsia="Arial" w:hAnsi="Arial"/>
          <w:sz w:val="16"/>
          <w:szCs w:val="16"/>
          <w:color w:val="auto"/>
        </w:rPr>
      </w:pPr>
    </w:p>
    <w:p>
      <w:pPr>
        <w:jc w:val="both"/>
        <w:ind w:firstLine="8"/>
        <w:spacing w:after="0" w:line="252" w:lineRule="auto"/>
        <w:tabs>
          <w:tab w:leader="none" w:pos="40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(ix)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Private Placement Warrants and Public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3" w:name="page314"/>
    <w:bookmarkEnd w:id="313"/>
    <w:p>
      <w:pPr>
        <w:jc w:val="both"/>
        <w:ind w:firstLine="656"/>
        <w:spacing w:after="0" w:line="263" w:lineRule="auto"/>
        <w:tabs>
          <w:tab w:leader="none" w:pos="91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and Officer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1" w:lineRule="exact"/>
        <w:rPr>
          <w:rFonts w:ascii="Arial" w:cs="Arial" w:eastAsia="Arial" w:hAnsi="Arial"/>
          <w:sz w:val="17"/>
          <w:szCs w:val="17"/>
          <w:color w:val="auto"/>
        </w:rPr>
      </w:pPr>
    </w:p>
    <w:p>
      <w:pPr>
        <w:jc w:val="both"/>
        <w:ind w:firstLine="656"/>
        <w:spacing w:after="0" w:line="259" w:lineRule="auto"/>
        <w:tabs>
          <w:tab w:leader="none" w:pos="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right="20" w:firstLine="656"/>
        <w:spacing w:after="0" w:line="277" w:lineRule="auto"/>
        <w:tabs>
          <w:tab w:leader="none" w:pos="94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2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2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1" w:lineRule="exact"/>
        <w:rPr>
          <w:rFonts w:ascii="Arial" w:cs="Arial" w:eastAsia="Arial" w:hAnsi="Arial"/>
          <w:sz w:val="17"/>
          <w:szCs w:val="17"/>
          <w:color w:val="auto"/>
        </w:rPr>
      </w:pPr>
    </w:p>
    <w:p>
      <w:pPr>
        <w:ind w:firstLine="656"/>
        <w:spacing w:after="0" w:line="342" w:lineRule="auto"/>
        <w:tabs>
          <w:tab w:leader="none" w:pos="91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3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and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4" w:name="page315"/>
    <w:bookmarkEnd w:id="3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7175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25628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284607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Name: Shaun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296545</wp:posOffset>
            </wp:positionV>
            <wp:extent cx="284607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Name: Sean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284607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1540510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040" w:space="720"/>
            <w:col w:w="3379"/>
          </w:cols>
          <w:pgMar w:left="320" w:top="341" w:right="1440"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 2020 by and between CM Life 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Company’s registration statement on Form S-1, as amended, File No. 333-246251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of which consists of one share of the Company’s Class A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one-third of one redeemable warrant, has been declared effective as of the date hereof by the U.S. Securities and Exchange Commission;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Jefferies LLC, as representative of the several underwriters (the “</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WHEREAS, as described in the Prospectus, $350,000,000 of the net proceeds of the Offering and sale of the Private Placement Warrants (as defined in the Underwriting Agreement) (or $402,500,000 if the Underwriter’s over-allotment option is exercised in full) will be, after deducting $7,000,000 in underwriting discounts and commissions payable upon the closing of this offering (or $8,050,000 if the Underwriter’s over-allotment option is exercised in full) and an aggregate of $2,000,000 to pay fees and expenses in connection with the closing of this offering and for working capital following the closing of this offering, delivered to the Trustee to be deposited and held in a segregated trust account located at all times in the United States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for the benefit of the Company and the holders of the Common Stock included in the Units issued in the Offering as hereinafter provided (the amount to be delivered to the Trustee (and any interest subsequently earned thereon) is referred to herein as the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the stockholders for whose benefit the Trustee shall hold the Property will be referred to as the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 and the Public Stockholders and the Company will be referred to together as the “</w:t>
      </w:r>
      <w:r>
        <w:rPr>
          <w:rFonts w:ascii="Arial" w:cs="Arial" w:eastAsia="Arial" w:hAnsi="Arial"/>
          <w:sz w:val="17"/>
          <w:szCs w:val="17"/>
          <w:b w:val="1"/>
          <w:bCs w:val="1"/>
          <w:i w:val="1"/>
          <w:iCs w:val="1"/>
          <w:color w:val="auto"/>
        </w:rPr>
        <w:t>Beneficiaries</w:t>
      </w:r>
      <w:r>
        <w:rPr>
          <w:rFonts w:ascii="Arial" w:cs="Arial" w:eastAsia="Arial" w:hAnsi="Arial"/>
          <w:sz w:val="17"/>
          <w:szCs w:val="17"/>
          <w:color w:val="auto"/>
        </w:rPr>
        <w:t>”); and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$12,250,000, or $14,087,500 if the Underwriter’s over-allotment option is exercised in full, is attributable to deferred underwriting discounts and commissions that will be payable by the Company to the Underwriter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180" w:hanging="172"/>
        <w:spacing w:after="0"/>
        <w:tabs>
          <w:tab w:leader="none" w:pos="18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right="20" w:firstLine="656"/>
        <w:spacing w:after="0" w:line="286" w:lineRule="auto"/>
        <w:tabs>
          <w:tab w:leader="none" w:pos="892" w:val="left"/>
        </w:tabs>
        <w:numPr>
          <w:ilvl w:val="1"/>
          <w:numId w:val="225"/>
        </w:numPr>
        <w:rPr>
          <w:rFonts w:ascii="Arial" w:cs="Arial" w:eastAsia="Arial" w:hAnsi="Arial"/>
          <w:sz w:val="17"/>
          <w:szCs w:val="17"/>
          <w:color w:val="auto"/>
        </w:rPr>
      </w:pPr>
      <w:r>
        <w:rPr>
          <w:rFonts w:ascii="Arial" w:cs="Arial" w:eastAsia="Arial" w:hAnsi="Arial"/>
          <w:sz w:val="17"/>
          <w:szCs w:val="17"/>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maintained by the Trustee and at a brokerage institution selected by the Trustee that is reasonably satisfactory to the Company;</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6" w:name="page317"/>
    <w:bookmarkEnd w:id="316"/>
    <w:p>
      <w:pPr>
        <w:jc w:val="both"/>
        <w:ind w:firstLine="656"/>
        <w:spacing w:after="0" w:line="255" w:lineRule="auto"/>
        <w:tabs>
          <w:tab w:leader="none" w:pos="89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192" w:lineRule="exact"/>
        <w:rPr>
          <w:rFonts w:ascii="Arial" w:cs="Arial" w:eastAsia="Arial" w:hAnsi="Arial"/>
          <w:sz w:val="18"/>
          <w:szCs w:val="18"/>
          <w:color w:val="auto"/>
        </w:rPr>
      </w:pPr>
    </w:p>
    <w:p>
      <w:pPr>
        <w:ind w:left="920" w:hanging="264"/>
        <w:spacing w:after="0"/>
        <w:tabs>
          <w:tab w:leader="none" w:pos="9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Collect and receive, when due, all interest or other income arising from the Property, which shall become part of the “Property,” as such term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used herein;</w:t>
      </w:r>
    </w:p>
    <w:p>
      <w:pPr>
        <w:spacing w:after="0" w:line="210" w:lineRule="exact"/>
        <w:rPr>
          <w:rFonts w:ascii="Arial" w:cs="Arial" w:eastAsia="Arial" w:hAnsi="Arial"/>
          <w:sz w:val="16"/>
          <w:szCs w:val="16"/>
          <w:color w:val="auto"/>
        </w:rPr>
      </w:pPr>
    </w:p>
    <w:p>
      <w:pPr>
        <w:ind w:right="20" w:firstLine="656"/>
        <w:spacing w:after="0" w:line="277" w:lineRule="auto"/>
        <w:tabs>
          <w:tab w:leader="none" w:pos="89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Promptly notify the Company and the Underwriter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 or in connection with the Company’s preparation or completion of an audit of the Company’s financial statements;</w:t>
      </w:r>
    </w:p>
    <w:p>
      <w:pPr>
        <w:spacing w:after="0" w:line="183" w:lineRule="exact"/>
        <w:rPr>
          <w:rFonts w:ascii="Arial" w:cs="Arial" w:eastAsia="Arial" w:hAnsi="Arial"/>
          <w:sz w:val="18"/>
          <w:szCs w:val="18"/>
          <w:color w:val="auto"/>
        </w:rPr>
      </w:pPr>
    </w:p>
    <w:p>
      <w:pPr>
        <w:ind w:firstLine="656"/>
        <w:spacing w:after="0" w:line="277" w:lineRule="auto"/>
        <w:tabs>
          <w:tab w:leader="none" w:pos="90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20" w:firstLine="656"/>
        <w:spacing w:after="0" w:line="277" w:lineRule="auto"/>
        <w:tabs>
          <w:tab w:leader="none" w:pos="94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87" w:lineRule="auto"/>
        <w:tabs>
          <w:tab w:leader="none" w:pos="86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(x) receipt of, and only in accordance with, the terms of a letter from the Company (“</w:t>
      </w:r>
      <w:r>
        <w:rPr>
          <w:rFonts w:ascii="Arial" w:cs="Arial" w:eastAsia="Arial" w:hAnsi="Arial"/>
          <w:sz w:val="16"/>
          <w:szCs w:val="16"/>
          <w:b w:val="1"/>
          <w:bCs w:val="1"/>
          <w:i w:val="1"/>
          <w:iCs w:val="1"/>
          <w:color w:val="auto"/>
        </w:rPr>
        <w:t>Termination Letter</w:t>
      </w:r>
      <w:r>
        <w:rPr>
          <w:rFonts w:ascii="Arial" w:cs="Arial" w:eastAsia="Arial" w:hAnsi="Arial"/>
          <w:sz w:val="16"/>
          <w:szCs w:val="16"/>
          <w:color w:val="auto"/>
        </w:rPr>
        <w:t xml:space="preserve">”) in a form substantially similar to that attached hereto as either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signed on behalf of the Company by its Chief Executive Officer, Chief Financial Officer, Secretary or Chairman of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or other authorized officer of the Company, and complete the liquidation of the Trust Account and distribute the Property in the Trust Account, including interest earned on the funds held in the Trust Account and not previously released to the Company to pay its taxes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as amended from time to time,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Property in the Trust Account, including interest earned on the funds held in the Trust Account and not previously released to the Company to pay its taxes (less up to $100,000 of interest to pay dissolution expenses), shall be distributed to the Public Stockholders of record as of such date;</w:t>
      </w:r>
    </w:p>
    <w:p>
      <w:pPr>
        <w:spacing w:after="0" w:line="171" w:lineRule="exact"/>
        <w:rPr>
          <w:rFonts w:ascii="Arial" w:cs="Arial" w:eastAsia="Arial" w:hAnsi="Arial"/>
          <w:sz w:val="16"/>
          <w:szCs w:val="16"/>
          <w:color w:val="auto"/>
        </w:rPr>
      </w:pPr>
    </w:p>
    <w:p>
      <w:pPr>
        <w:jc w:val="both"/>
        <w:ind w:firstLine="656"/>
        <w:spacing w:after="0" w:line="269" w:lineRule="auto"/>
        <w:tabs>
          <w:tab w:leader="none" w:pos="88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7" w:name="page318"/>
    <w:bookmarkEnd w:id="317"/>
    <w:p>
      <w:pPr>
        <w:jc w:val="both"/>
        <w:ind w:firstLine="656"/>
        <w:spacing w:after="0" w:line="253" w:lineRule="auto"/>
        <w:tabs>
          <w:tab w:leader="none" w:pos="92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Stockholder Redemption Withdrawal Instruction</w:t>
      </w:r>
      <w:r>
        <w:rPr>
          <w:rFonts w:ascii="Arial" w:cs="Arial" w:eastAsia="Arial" w:hAnsi="Arial"/>
          <w:sz w:val="18"/>
          <w:szCs w:val="18"/>
          <w:color w:val="auto"/>
        </w:rPr>
        <w:t xml:space="preserve">”), the Trustee shall distribute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shares of Common Stock included in the Units sold in the Offering (the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public shares</w:t>
      </w:r>
      <w:r>
        <w:rPr>
          <w:rFonts w:ascii="Arial" w:cs="Arial" w:eastAsia="Arial" w:hAnsi="Arial"/>
          <w:sz w:val="18"/>
          <w:szCs w:val="18"/>
          <w:color w:val="auto"/>
        </w:rPr>
        <w:t>”)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656"/>
        <w:spacing w:after="0" w:line="301" w:lineRule="auto"/>
        <w:tabs>
          <w:tab w:leader="none" w:pos="913"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Give all instructions to the Trustee hereunder in writing, signed by the Company’s Chairman of the Board, Chief Executive Officer, Chief Financial Officer or Secretary. In addition, except with respect to its duties under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57" w:lineRule="exact"/>
        <w:rPr>
          <w:rFonts w:ascii="Arial" w:cs="Arial" w:eastAsia="Arial" w:hAnsi="Arial"/>
          <w:sz w:val="16"/>
          <w:szCs w:val="16"/>
          <w:color w:val="auto"/>
        </w:rPr>
      </w:pPr>
    </w:p>
    <w:p>
      <w:pPr>
        <w:jc w:val="both"/>
        <w:ind w:firstLine="656"/>
        <w:spacing w:after="0" w:line="288" w:lineRule="auto"/>
        <w:tabs>
          <w:tab w:leader="none" w:pos="907" w:val="left"/>
        </w:tabs>
        <w:numPr>
          <w:ilvl w:val="1"/>
          <w:numId w:val="22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656"/>
        <w:spacing w:after="0" w:line="275" w:lineRule="auto"/>
        <w:tabs>
          <w:tab w:leader="none" w:pos="92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Schedule A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8" w:name="page319"/>
    <w:bookmarkEnd w:id="318"/>
    <w:p>
      <w:pPr>
        <w:jc w:val="both"/>
        <w:ind w:firstLine="656"/>
        <w:spacing w:after="0" w:line="259" w:lineRule="auto"/>
        <w:tabs>
          <w:tab w:leader="none" w:pos="92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firstLine="656"/>
        <w:spacing w:after="0" w:line="277" w:lineRule="auto"/>
        <w:tabs>
          <w:tab w:leader="none" w:pos="90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Provide the Underwriter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84"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Unless otherwise agreed between the Company and the Underwriter, ensure that any Instruction Letter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delivered in connection with a Termination Letter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expressly provides that the Deferred Discount is paid directly to the account or accounts directed by the Underwriter prior to any transfer of the funds held in the Trust Account to the Company or any other person;</w:t>
      </w:r>
    </w:p>
    <w:p>
      <w:pPr>
        <w:spacing w:after="0" w:line="165" w:lineRule="exact"/>
        <w:rPr>
          <w:rFonts w:ascii="Arial" w:cs="Arial" w:eastAsia="Arial" w:hAnsi="Arial"/>
          <w:sz w:val="17"/>
          <w:szCs w:val="17"/>
          <w:color w:val="auto"/>
        </w:rPr>
      </w:pPr>
    </w:p>
    <w:p>
      <w:pPr>
        <w:ind w:right="20" w:firstLine="656"/>
        <w:spacing w:after="0" w:line="277" w:lineRule="auto"/>
        <w:tabs>
          <w:tab w:leader="none" w:pos="90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1"/>
          <w:numId w:val="229"/>
        </w:numPr>
        <w:rPr>
          <w:rFonts w:ascii="Arial" w:cs="Arial" w:eastAsia="Arial" w:hAnsi="Arial"/>
          <w:sz w:val="18"/>
          <w:szCs w:val="18"/>
          <w:color w:val="auto"/>
        </w:rPr>
      </w:pPr>
      <w:r>
        <w:rPr>
          <w:rFonts w:ascii="Arial" w:cs="Arial" w:eastAsia="Arial" w:hAnsi="Arial"/>
          <w:sz w:val="18"/>
          <w:szCs w:val="18"/>
          <w:color w:val="auto"/>
        </w:rPr>
        <w:t>Within four (4) business days after the Underwriter exercises the over-allotment option (or any unexercised portion thereof) or such over-allotment option expires, provide the Trustee with a notice in writing of the total amount of the Deferred Discount.</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656"/>
        <w:spacing w:after="0" w:line="277" w:lineRule="auto"/>
        <w:tabs>
          <w:tab w:leader="none" w:pos="90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656"/>
        <w:spacing w:after="0" w:line="277" w:lineRule="auto"/>
        <w:tabs>
          <w:tab w:leader="none" w:pos="90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70" w:lineRule="exact"/>
        <w:rPr>
          <w:rFonts w:ascii="Arial" w:cs="Arial" w:eastAsia="Arial" w:hAnsi="Arial"/>
          <w:sz w:val="18"/>
          <w:szCs w:val="18"/>
          <w:color w:val="auto"/>
        </w:rPr>
      </w:pPr>
    </w:p>
    <w:p>
      <w:pPr>
        <w:jc w:val="both"/>
        <w:ind w:firstLine="656"/>
        <w:spacing w:after="0" w:line="290" w:lineRule="auto"/>
        <w:tabs>
          <w:tab w:leader="none" w:pos="875"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9" w:name="page320"/>
    <w:bookmarkEnd w:id="319"/>
    <w:p>
      <w:pPr>
        <w:ind w:left="920" w:hanging="264"/>
        <w:spacing w:after="0"/>
        <w:tabs>
          <w:tab w:leader="none" w:pos="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firstLine="656"/>
        <w:spacing w:after="0" w:line="277" w:lineRule="auto"/>
        <w:tabs>
          <w:tab w:leader="none" w:pos="94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20" w:firstLine="656"/>
        <w:spacing w:after="0" w:line="277" w:lineRule="auto"/>
        <w:tabs>
          <w:tab w:leader="none" w:pos="86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Verify calculations, qualify or otherwise approve the Company’s written requests for distributions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w:t>
      </w:r>
    </w:p>
    <w:p>
      <w:pPr>
        <w:spacing w:after="0" w:line="248" w:lineRule="exact"/>
        <w:rPr>
          <w:rFonts w:ascii="Arial" w:cs="Arial" w:eastAsia="Arial" w:hAnsi="Arial"/>
          <w:sz w:val="16"/>
          <w:szCs w:val="16"/>
          <w:color w:val="auto"/>
        </w:rPr>
      </w:pPr>
    </w:p>
    <w:p>
      <w:pPr>
        <w:jc w:val="both"/>
        <w:ind w:firstLine="8"/>
        <w:spacing w:after="0" w:line="301" w:lineRule="auto"/>
        <w:tabs>
          <w:tab w:leader="none" w:pos="18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7" w:lineRule="exact"/>
        <w:rPr>
          <w:rFonts w:ascii="Arial" w:cs="Arial" w:eastAsia="Arial" w:hAnsi="Arial"/>
          <w:sz w:val="16"/>
          <w:szCs w:val="16"/>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0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656"/>
        <w:spacing w:after="0" w:line="263" w:lineRule="auto"/>
        <w:tabs>
          <w:tab w:leader="none" w:pos="92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2" w:lineRule="auto"/>
        <w:tabs>
          <w:tab w:leader="none" w:pos="91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0" w:name="page321"/>
    <w:bookmarkEnd w:id="320"/>
    <w:p>
      <w:pPr>
        <w:ind w:right="20" w:firstLine="656"/>
        <w:spacing w:after="0" w:line="342" w:lineRule="auto"/>
        <w:tabs>
          <w:tab w:leader="none" w:pos="90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23" w:lineRule="exact"/>
        <w:rPr>
          <w:rFonts w:ascii="Arial" w:cs="Arial" w:eastAsia="Arial" w:hAnsi="Arial"/>
          <w:sz w:val="16"/>
          <w:szCs w:val="16"/>
          <w:color w:val="auto"/>
        </w:rPr>
      </w:pPr>
    </w:p>
    <w:p>
      <w:pPr>
        <w:jc w:val="both"/>
        <w:ind w:firstLine="656"/>
        <w:spacing w:after="0" w:line="286" w:lineRule="auto"/>
        <w:tabs>
          <w:tab w:leader="none" w:pos="91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This Agreement contains the entire agreement and understanding of the parties hereto with respect to the subject matter hereof. Except for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1(l)</w:t>
      </w:r>
      <w:r>
        <w:rPr>
          <w:rFonts w:ascii="Arial" w:cs="Arial" w:eastAsia="Arial" w:hAnsi="Arial"/>
          <w:sz w:val="16"/>
          <w:szCs w:val="16"/>
          <w:color w:val="auto"/>
        </w:rPr>
        <w:t xml:space="preserve"> hereof (which sections may not be modified, amended or deleted without the Consent of the Stockholders;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amendment will affect any Public Stockholder who has otherwise indicated his election to redeem his shares of Common Stock in connection with a stockholder vote sought to amend this Agreement or the amended and restated certificate of incorporation to modify the substance or timing of the Company’s obligation to redeem 100% of the public shares if the Company does not complete its initial Business Combination within the time frame specified in the Company’s amended and restated certificate of incorporation or with respect to any other material provisions relating to stockholders’ rights or pre-initial business combination activity), this Agreement or any provision hereof may only be changed, amended or modified (other than to correct a typographical error) by a writing signed by each of the parties hereto. For purposes of this </w:t>
      </w:r>
      <w:r>
        <w:rPr>
          <w:rFonts w:ascii="Arial" w:cs="Arial" w:eastAsia="Arial" w:hAnsi="Arial"/>
          <w:sz w:val="16"/>
          <w:szCs w:val="16"/>
          <w:u w:val="single" w:color="auto"/>
          <w:color w:val="auto"/>
        </w:rPr>
        <w:t>Section 6(c)</w:t>
      </w:r>
      <w:r>
        <w:rPr>
          <w:rFonts w:ascii="Arial" w:cs="Arial" w:eastAsia="Arial" w:hAnsi="Arial"/>
          <w:sz w:val="16"/>
          <w:szCs w:val="16"/>
          <w:color w:val="auto"/>
        </w:rPr>
        <w:t>, the “Consent of the Stockholders” means receipt by the Trustee of a certificate from the inspector of elections of the stockholder meeting certifying that the Company’s stockholders of record as of a record date established in accordance with Section 213(a) of the Delaware General Corporation Law, as amended (“DGCL”) (or any successor rule), who hold sixty-five percent (65%) or more of all then outstanding shares of the Common Stock and Class B common stock, par value $0.0001 per share, of the Company voting together as a single class, have voted in favor of such change, amendment or modification.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70" w:lineRule="exact"/>
        <w:rPr>
          <w:rFonts w:ascii="Arial" w:cs="Arial" w:eastAsia="Arial" w:hAnsi="Arial"/>
          <w:sz w:val="16"/>
          <w:szCs w:val="16"/>
          <w:color w:val="auto"/>
        </w:rPr>
      </w:pPr>
    </w:p>
    <w:p>
      <w:pPr>
        <w:jc w:val="both"/>
        <w:ind w:firstLine="656"/>
        <w:spacing w:after="0" w:line="263" w:lineRule="auto"/>
        <w:tabs>
          <w:tab w:leader="none" w:pos="91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right="20" w:firstLine="656"/>
        <w:spacing w:after="0" w:line="308" w:lineRule="auto"/>
        <w:tabs>
          <w:tab w:leader="none" w:pos="89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1" w:name="page322"/>
    <w:bookmarkEnd w:id="321"/>
    <w:p>
      <w:pPr>
        <w:ind w:left="130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L. Rubinstein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(646) 619-4437</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Gregg Noel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gregg.noel@skadden.com</w:t>
      </w:r>
    </w:p>
    <w:p>
      <w:pPr>
        <w:spacing w:after="0" w:line="211" w:lineRule="exact"/>
        <w:rPr>
          <w:sz w:val="20"/>
          <w:szCs w:val="20"/>
          <w:color w:val="auto"/>
        </w:rPr>
      </w:pPr>
    </w:p>
    <w:p>
      <w:pPr>
        <w:jc w:val="both"/>
        <w:ind w:firstLine="656"/>
        <w:spacing w:after="0" w:line="311" w:lineRule="auto"/>
        <w:tabs>
          <w:tab w:leader="none" w:pos="89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firstLine="656"/>
        <w:spacing w:after="0" w:line="277" w:lineRule="auto"/>
        <w:tabs>
          <w:tab w:leader="none" w:pos="91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91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of the Company and the Trustee hereby acknowledges and agrees that the Underwriter is a third- party beneficiary of this Agreement.</w:t>
      </w:r>
    </w:p>
    <w:p>
      <w:pPr>
        <w:spacing w:after="0" w:line="248" w:lineRule="exact"/>
        <w:rPr>
          <w:rFonts w:ascii="Arial" w:cs="Arial" w:eastAsia="Arial" w:hAnsi="Arial"/>
          <w:sz w:val="16"/>
          <w:szCs w:val="16"/>
          <w:color w:val="auto"/>
        </w:rPr>
      </w:pPr>
    </w:p>
    <w:p>
      <w:pPr>
        <w:ind w:left="880" w:hanging="224"/>
        <w:spacing w:after="0"/>
        <w:tabs>
          <w:tab w:leader="none" w:pos="8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 entity.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TRUST COMPANY, as Trustee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23495</wp:posOffset>
            </wp:positionV>
            <wp:extent cx="255460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tabs>
          <w:tab w:leader="none" w:pos="7200" w:val="left"/>
        </w:tabs>
        <w:rPr>
          <w:sz w:val="20"/>
          <w:szCs w:val="20"/>
          <w:color w:val="auto"/>
        </w:rPr>
      </w:pPr>
      <w:r>
        <w:rPr>
          <w:rFonts w:ascii="Arial" w:cs="Arial" w:eastAsia="Arial" w:hAnsi="Arial"/>
          <w:sz w:val="18"/>
          <w:szCs w:val="18"/>
          <w:color w:val="auto"/>
        </w:rPr>
        <w:t>Name:</w:t>
        <w:tab/>
        <w:t>Francis Wolf</w:t>
      </w:r>
    </w:p>
    <w:p>
      <w:pPr>
        <w:spacing w:after="0" w:line="23" w:lineRule="exact"/>
        <w:rPr>
          <w:sz w:val="20"/>
          <w:szCs w:val="20"/>
          <w:color w:val="auto"/>
        </w:rPr>
      </w:pPr>
    </w:p>
    <w:p>
      <w:pPr>
        <w:ind w:left="656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23495</wp:posOffset>
            </wp:positionV>
            <wp:extent cx="255460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560"/>
        <w:spacing w:after="0"/>
        <w:tabs>
          <w:tab w:leader="none" w:pos="7200" w:val="left"/>
        </w:tabs>
        <w:rPr>
          <w:sz w:val="20"/>
          <w:szCs w:val="20"/>
          <w:color w:val="auto"/>
        </w:rPr>
      </w:pPr>
      <w:r>
        <w:rPr>
          <w:rFonts w:ascii="Arial" w:cs="Arial" w:eastAsia="Arial" w:hAnsi="Arial"/>
          <w:sz w:val="18"/>
          <w:szCs w:val="18"/>
          <w:color w:val="auto"/>
        </w:rPr>
        <w:t>Name:</w:t>
        <w:tab/>
        <w:t>Eli Casdin</w:t>
      </w:r>
    </w:p>
    <w:p>
      <w:pPr>
        <w:spacing w:after="0" w:line="23" w:lineRule="exact"/>
        <w:rPr>
          <w:sz w:val="20"/>
          <w:szCs w:val="20"/>
          <w:color w:val="auto"/>
        </w:rPr>
      </w:pPr>
    </w:p>
    <w:p>
      <w:pPr>
        <w:ind w:left="656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 to Investment Management Trust Agreement]</w:t>
      </w:r>
    </w:p>
    <w:p>
      <w:pPr>
        <w:spacing w:after="0" w:line="200" w:lineRule="exact"/>
        <w:rPr>
          <w:sz w:val="20"/>
          <w:szCs w:val="20"/>
          <w:color w:val="auto"/>
        </w:rPr>
      </w:pPr>
    </w:p>
    <w:p>
      <w:pPr>
        <w:spacing w:after="0" w:line="234"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gridSpan w:val="5"/>
          </w:tcPr>
          <w:p>
            <w:pPr>
              <w:ind w:left="780"/>
              <w:spacing w:after="0"/>
              <w:rPr>
                <w:sz w:val="20"/>
                <w:szCs w:val="20"/>
                <w:color w:val="auto"/>
              </w:rPr>
            </w:pPr>
            <w:r>
              <w:rPr>
                <w:rFonts w:ascii="Arial" w:cs="Arial" w:eastAsia="Arial" w:hAnsi="Arial"/>
                <w:sz w:val="18"/>
                <w:szCs w:val="18"/>
                <w:b w:val="1"/>
                <w:bCs w:val="1"/>
                <w:color w:val="auto"/>
              </w:rPr>
              <w:t>SCHEDULE 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ind w:left="520"/>
              <w:spacing w:after="0"/>
              <w:rPr>
                <w:sz w:val="20"/>
                <w:szCs w:val="20"/>
                <w:color w:val="auto"/>
              </w:rPr>
            </w:pPr>
            <w:r>
              <w:rPr>
                <w:rFonts w:ascii="Arial" w:cs="Arial" w:eastAsia="Arial" w:hAnsi="Arial"/>
                <w:sz w:val="18"/>
                <w:szCs w:val="18"/>
                <w:b w:val="1"/>
                <w:bCs w:val="1"/>
                <w:color w:val="auto"/>
              </w:rPr>
              <w:t>Fee Item</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5"/>
          </w:tcPr>
          <w:p>
            <w:pPr>
              <w:ind w:left="1880"/>
              <w:spacing w:after="0"/>
              <w:rPr>
                <w:sz w:val="20"/>
                <w:szCs w:val="20"/>
                <w:color w:val="auto"/>
              </w:rPr>
            </w:pPr>
            <w:r>
              <w:rPr>
                <w:rFonts w:ascii="Arial" w:cs="Arial" w:eastAsia="Arial" w:hAnsi="Arial"/>
                <w:sz w:val="18"/>
                <w:szCs w:val="18"/>
                <w:b w:val="1"/>
                <w:bCs w:val="1"/>
                <w:color w:val="auto"/>
              </w:rPr>
              <w:t>Time and method of payment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Amount</w:t>
            </w:r>
          </w:p>
        </w:tc>
      </w:tr>
      <w:tr>
        <w:trPr>
          <w:trHeight w:val="230"/>
        </w:trPr>
        <w:tc>
          <w:tcPr>
            <w:tcW w:w="38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Initial set-up fee</w:t>
            </w:r>
          </w:p>
        </w:tc>
        <w:tc>
          <w:tcPr>
            <w:tcW w:w="2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Initial closing of Offering by wire transfer.</w:t>
            </w:r>
          </w:p>
        </w:tc>
        <w:tc>
          <w:tcPr>
            <w:tcW w:w="4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$3,500.00</w:t>
            </w:r>
          </w:p>
        </w:tc>
        <w:tc>
          <w:tcPr>
            <w:tcW w:w="20" w:type="dxa"/>
            <w:vAlign w:val="bottom"/>
          </w:tcPr>
          <w:p>
            <w:pPr>
              <w:spacing w:after="0"/>
              <w:rPr>
                <w:sz w:val="20"/>
                <w:szCs w:val="20"/>
                <w:color w:val="auto"/>
              </w:rPr>
            </w:pPr>
          </w:p>
        </w:tc>
      </w:tr>
      <w:tr>
        <w:trPr>
          <w:trHeight w:val="403"/>
        </w:trPr>
        <w:tc>
          <w:tcPr>
            <w:tcW w:w="3880" w:type="dxa"/>
            <w:vAlign w:val="bottom"/>
            <w:gridSpan w:val="5"/>
          </w:tcPr>
          <w:p>
            <w:pPr>
              <w:spacing w:after="0"/>
              <w:rPr>
                <w:sz w:val="20"/>
                <w:szCs w:val="20"/>
                <w:color w:val="auto"/>
              </w:rPr>
            </w:pPr>
            <w:r>
              <w:rPr>
                <w:rFonts w:ascii="Arial" w:cs="Arial" w:eastAsia="Arial" w:hAnsi="Arial"/>
                <w:sz w:val="18"/>
                <w:szCs w:val="18"/>
                <w:color w:val="auto"/>
              </w:rPr>
              <w:t>Trustee administration fee</w:t>
            </w:r>
          </w:p>
        </w:tc>
        <w:tc>
          <w:tcPr>
            <w:tcW w:w="240" w:type="dxa"/>
            <w:vAlign w:val="bottom"/>
          </w:tcPr>
          <w:p>
            <w:pPr>
              <w:spacing w:after="0"/>
              <w:rPr>
                <w:sz w:val="24"/>
                <w:szCs w:val="24"/>
                <w:color w:val="auto"/>
              </w:rPr>
            </w:pPr>
          </w:p>
        </w:tc>
        <w:tc>
          <w:tcPr>
            <w:tcW w:w="7140" w:type="dxa"/>
            <w:vAlign w:val="bottom"/>
            <w:gridSpan w:val="9"/>
          </w:tcPr>
          <w:p>
            <w:pPr>
              <w:ind w:left="60"/>
              <w:spacing w:after="0"/>
              <w:rPr>
                <w:sz w:val="20"/>
                <w:szCs w:val="20"/>
                <w:color w:val="auto"/>
              </w:rPr>
            </w:pPr>
            <w:r>
              <w:rPr>
                <w:rFonts w:ascii="Arial" w:cs="Arial" w:eastAsia="Arial" w:hAnsi="Arial"/>
                <w:sz w:val="18"/>
                <w:szCs w:val="18"/>
                <w:color w:val="auto"/>
                <w:w w:val="91"/>
              </w:rPr>
              <w:t>Payable annually. First year fee payable, at initial closing of Offering by wire transfer, $10,000.00</w:t>
            </w:r>
          </w:p>
        </w:tc>
      </w:tr>
      <w:tr>
        <w:trPr>
          <w:trHeight w:val="230"/>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gridSpan w:val="7"/>
          </w:tcPr>
          <w:p>
            <w:pPr>
              <w:ind w:left="60"/>
              <w:spacing w:after="0"/>
              <w:rPr>
                <w:sz w:val="20"/>
                <w:szCs w:val="20"/>
                <w:color w:val="auto"/>
              </w:rPr>
            </w:pPr>
            <w:r>
              <w:rPr>
                <w:rFonts w:ascii="Arial" w:cs="Arial" w:eastAsia="Arial" w:hAnsi="Arial"/>
                <w:sz w:val="18"/>
                <w:szCs w:val="18"/>
                <w:color w:val="auto"/>
              </w:rPr>
              <w:t>thereafter by wire transfer or check.</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3880" w:type="dxa"/>
            <w:vAlign w:val="bottom"/>
            <w:gridSpan w:val="5"/>
          </w:tcPr>
          <w:p>
            <w:pPr>
              <w:spacing w:after="0"/>
              <w:rPr>
                <w:sz w:val="20"/>
                <w:szCs w:val="20"/>
                <w:color w:val="auto"/>
              </w:rPr>
            </w:pPr>
            <w:r>
              <w:rPr>
                <w:rFonts w:ascii="Arial" w:cs="Arial" w:eastAsia="Arial" w:hAnsi="Arial"/>
                <w:sz w:val="18"/>
                <w:szCs w:val="18"/>
                <w:color w:val="auto"/>
              </w:rPr>
              <w:t>Transaction  processing  fee  for  disbursements</w:t>
            </w:r>
          </w:p>
        </w:tc>
        <w:tc>
          <w:tcPr>
            <w:tcW w:w="6540" w:type="dxa"/>
            <w:vAlign w:val="bottom"/>
            <w:gridSpan w:val="8"/>
          </w:tcPr>
          <w:p>
            <w:pPr>
              <w:ind w:left="100"/>
              <w:spacing w:after="0"/>
              <w:rPr>
                <w:sz w:val="20"/>
                <w:szCs w:val="20"/>
                <w:color w:val="auto"/>
              </w:rPr>
            </w:pPr>
            <w:r>
              <w:rPr>
                <w:rFonts w:ascii="Arial" w:cs="Arial" w:eastAsia="Arial" w:hAnsi="Arial"/>
                <w:sz w:val="18"/>
                <w:szCs w:val="18"/>
                <w:color w:val="auto"/>
                <w:w w:val="94"/>
              </w:rPr>
              <w:t>to Billed to Company following disbursement made to Company under Sections 1 and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r>
      <w:tr>
        <w:trPr>
          <w:trHeight w:val="196"/>
        </w:trPr>
        <w:tc>
          <w:tcPr>
            <w:tcW w:w="3880" w:type="dxa"/>
            <w:vAlign w:val="bottom"/>
            <w:gridSpan w:val="5"/>
          </w:tcPr>
          <w:p>
            <w:pPr>
              <w:spacing w:after="0" w:line="196" w:lineRule="exact"/>
              <w:rPr>
                <w:sz w:val="20"/>
                <w:szCs w:val="20"/>
                <w:color w:val="auto"/>
              </w:rPr>
            </w:pPr>
            <w:r>
              <w:rPr>
                <w:rFonts w:ascii="Arial" w:cs="Arial" w:eastAsia="Arial" w:hAnsi="Arial"/>
                <w:sz w:val="18"/>
                <w:szCs w:val="18"/>
                <w:color w:val="auto"/>
              </w:rPr>
              <w:t>Company under Sections 1 and 2</w:t>
            </w:r>
          </w:p>
        </w:tc>
        <w:tc>
          <w:tcPr>
            <w:tcW w:w="436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2.</w:t>
            </w:r>
          </w:p>
        </w:tc>
        <w:tc>
          <w:tcPr>
            <w:tcW w:w="10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412"/>
        </w:trPr>
        <w:tc>
          <w:tcPr>
            <w:tcW w:w="10420" w:type="dxa"/>
            <w:vAlign w:val="bottom"/>
            <w:gridSpan w:val="13"/>
          </w:tcPr>
          <w:p>
            <w:pPr>
              <w:spacing w:after="0"/>
              <w:rPr>
                <w:sz w:val="20"/>
                <w:szCs w:val="20"/>
                <w:color w:val="auto"/>
              </w:rPr>
            </w:pPr>
            <w:r>
              <w:rPr>
                <w:rFonts w:ascii="Arial" w:cs="Arial" w:eastAsia="Arial" w:hAnsi="Arial"/>
                <w:sz w:val="18"/>
                <w:szCs w:val="18"/>
                <w:color w:val="auto"/>
                <w:w w:val="97"/>
              </w:rPr>
              <w:t>Paying Agent services as required pursuant to Sections Billed to Company upon delivery of service pursuant to Sections 1(i) and 1(k).</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Prevailing</w:t>
            </w:r>
          </w:p>
        </w:tc>
      </w:tr>
      <w:tr>
        <w:trPr>
          <w:trHeight w:val="196"/>
        </w:trPr>
        <w:tc>
          <w:tcPr>
            <w:tcW w:w="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2"/>
              </w:rPr>
              <w:t>1(i) and 1(k)</w:t>
            </w:r>
          </w:p>
        </w:tc>
        <w:tc>
          <w:tcPr>
            <w:tcW w:w="2600" w:type="dxa"/>
            <w:vAlign w:val="bottom"/>
            <w:gridSpan w:val="3"/>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rates</w:t>
            </w: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this is to advise you that the Company has entered into 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on or about </w:t>
      </w:r>
      <w:r>
        <w:rPr>
          <w:rFonts w:ascii="Arial" w:cs="Arial" w:eastAsia="Arial" w:hAnsi="Arial"/>
          <w:sz w:val="18"/>
          <w:szCs w:val="18"/>
          <w:b w:val="1"/>
          <w:bCs w:val="1"/>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Company shall notify you at least seventy-two (72) hours in advance of the actual date (or such shorter period as you may agree)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set forth in the Trust Agreement.</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Account at JP Morgan Chase Bank, N.A. will be immediately available for transfer to the account or accounts that the Company shall direct on the Consummation Date (including as directed to it by the Underwriter (with respect to the Deferred Discount)).</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 and (ii) the Company shall deliver to you (a) a certificate by the Chief Executive Officer, Chief Financial Officer, Co-Executive Chairman or Vice Chairman, which verifies that the Business Combination has been approved by a vote of the Company’s stockholders, if a vote is held and (b) a joint written instruction signed by the Company and the Underwriter with respect to the transfer of the funds held in the Trust Account, including payment of amounts owed to public stockholders who have properly exercised their redemption rights and payment of the Deferred Discount directly to the account or accounts directed by the Underwriter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Trust Agreement on the business day immediately following the Consummation Date as set forth in such notice as soon thereafter as possible.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CM Life Science,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this is to advise you that the Company 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Operating Account and to transfer the total proceeds into a segregated account held by you on behalf of the Beneficiaries to await distribution to the Public Stockholders. The</w:t>
      </w:r>
    </w:p>
    <w:p>
      <w:pPr>
        <w:jc w:val="both"/>
        <w:spacing w:after="0" w:line="264" w:lineRule="auto"/>
        <w:rPr>
          <w:sz w:val="20"/>
          <w:szCs w:val="20"/>
          <w:color w:val="auto"/>
        </w:rPr>
      </w:pPr>
      <w:r>
        <w:rPr>
          <w:rFonts w:ascii="Arial" w:cs="Arial" w:eastAsia="Arial" w:hAnsi="Arial"/>
          <w:sz w:val="16"/>
          <w:szCs w:val="16"/>
          <w:color w:val="auto"/>
        </w:rPr>
        <w:t>Company has selected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Trust Agreement.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54" w:lineRule="exact"/>
        <w:rPr>
          <w:sz w:val="20"/>
          <w:szCs w:val="20"/>
          <w:color w:val="auto"/>
        </w:rPr>
      </w:pPr>
    </w:p>
    <w:p>
      <w:pPr>
        <w:ind w:left="340" w:hanging="332"/>
        <w:spacing w:after="0" w:line="194" w:lineRule="auto"/>
        <w:tabs>
          <w:tab w:leader="none" w:pos="340" w:val="left"/>
        </w:tabs>
        <w:numPr>
          <w:ilvl w:val="0"/>
          <w:numId w:val="235"/>
        </w:numPr>
        <w:rPr>
          <w:rFonts w:ascii="Arial" w:cs="Arial" w:eastAsia="Arial" w:hAnsi="Arial"/>
          <w:sz w:val="30"/>
          <w:szCs w:val="30"/>
          <w:color w:val="auto"/>
          <w:vertAlign w:val="superscript"/>
        </w:rPr>
      </w:pPr>
      <w:r>
        <w:rPr>
          <w:rFonts w:ascii="Arial" w:cs="Arial" w:eastAsia="Arial" w:hAnsi="Arial"/>
          <w:sz w:val="18"/>
          <w:szCs w:val="18"/>
          <w:color w:val="auto"/>
        </w:rPr>
        <w:t>24 months from the closing of the Offering or such later date as may be approved by the Company’s stockholders in accordance with the Company’s amended and restated certificate of incorporation.</w:t>
      </w:r>
    </w:p>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dated as of ,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the Company hereby requests that you deliver to the Company $ of the interest income earned on the Property as of the date hereof.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1(k)</w:t>
      </w:r>
      <w:r>
        <w:rPr>
          <w:rFonts w:ascii="Arial" w:cs="Arial" w:eastAsia="Arial" w:hAnsi="Arial"/>
          <w:sz w:val="17"/>
          <w:szCs w:val="17"/>
          <w:color w:val="auto"/>
        </w:rPr>
        <w:t xml:space="preserve"> of the Investment Management Trust Agreement between CM Life 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Continental</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Stock Transfer &amp; Trust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dated as of , 2020 (the “</w:t>
      </w:r>
      <w:r>
        <w:rPr>
          <w:rFonts w:ascii="Arial" w:cs="Arial" w:eastAsia="Arial" w:hAnsi="Arial"/>
          <w:sz w:val="17"/>
          <w:szCs w:val="17"/>
          <w:b w:val="1"/>
          <w:bCs w:val="1"/>
          <w:i w:val="1"/>
          <w:iCs w:val="1"/>
          <w:color w:val="auto"/>
        </w:rPr>
        <w:t>Trust Agreement</w:t>
      </w:r>
      <w:r>
        <w:rPr>
          <w:rFonts w:ascii="Arial" w:cs="Arial" w:eastAsia="Arial" w:hAnsi="Arial"/>
          <w:sz w:val="17"/>
          <w:szCs w:val="17"/>
          <w:color w:val="auto"/>
        </w:rPr>
        <w:t>”), the Company hereby requests that you deliver to the redeeming Public Stockholders of the Company $ of the principal and interest income earned on the Property as of the date hereof to a segregated</w:t>
      </w:r>
    </w:p>
    <w:p>
      <w:pPr>
        <w:spacing w:after="0"/>
        <w:rPr>
          <w:sz w:val="20"/>
          <w:szCs w:val="20"/>
          <w:color w:val="auto"/>
        </w:rPr>
      </w:pPr>
      <w:r>
        <w:rPr>
          <w:rFonts w:ascii="Arial" w:cs="Arial" w:eastAsia="Arial" w:hAnsi="Arial"/>
          <w:sz w:val="16"/>
          <w:szCs w:val="16"/>
          <w:color w:val="auto"/>
        </w:rPr>
        <w:t>account held by you on behalf of the Beneficiaries. Capitalized terms used but not defined herein shall have the meanings set forth in the Trust Agreement.</w:t>
      </w:r>
    </w:p>
    <w:p>
      <w:pPr>
        <w:spacing w:after="0" w:line="2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to modify the substance or timing of the Company’s obligation to redeem 100% of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ind w:left="1032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660"/>
        <w:spacing w:after="0"/>
        <w:tabs>
          <w:tab w:leader="none" w:pos="7140" w:val="left"/>
        </w:tabs>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w:t>
      </w:r>
      <w:r>
        <w:rPr>
          <w:sz w:val="20"/>
          <w:szCs w:val="20"/>
          <w:color w:val="auto"/>
        </w:rPr>
        <w:tab/>
      </w:r>
      <w:r>
        <w:rPr>
          <w:rFonts w:ascii="Arial" w:cs="Arial" w:eastAsia="Arial" w:hAnsi="Arial"/>
          <w:sz w:val="16"/>
          <w:szCs w:val="16"/>
          <w:color w:val="auto"/>
        </w:rPr>
        <w:t>, 2020, is made and entered into by and among CM Life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CMLS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and the undersigned parties listed on the signature page hereto under “Holders” (each such party, including the Sponsor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a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10,062,500 shares of Class B common stock, par value $0.0001 per share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up to 1,312,500 of which will be forfeited by the Sponsor to the Company for no consideration depending on the extent to which the underwriters of the Company’s initial public offering exercise their over-allotment option;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 (“</w:t>
      </w:r>
      <w:r>
        <w:rPr>
          <w:rFonts w:ascii="Arial" w:cs="Arial" w:eastAsia="Arial" w:hAnsi="Arial"/>
          <w:sz w:val="18"/>
          <w:szCs w:val="18"/>
          <w:b w:val="1"/>
          <w:bCs w:val="1"/>
          <w:i w:val="1"/>
          <w:iCs w:val="1"/>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time of the initial Business Combination (as defined below) on the terms and conditions provided in the Company’s amended and restated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as may be amended from time to time;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 2020, the Company and the Sponsor entered into that certain Private Placement Warrants Purchase Agreement (the “</w:t>
      </w:r>
      <w:r>
        <w:rPr>
          <w:rFonts w:ascii="Arial" w:cs="Arial" w:eastAsia="Arial" w:hAnsi="Arial"/>
          <w:sz w:val="18"/>
          <w:szCs w:val="18"/>
          <w:b w:val="1"/>
          <w:bCs w:val="1"/>
          <w:i w:val="1"/>
          <w:iCs w:val="1"/>
          <w:color w:val="auto"/>
        </w:rPr>
        <w:t>Private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Placement Warrants Purchase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the Sponsor and certain of the Company’s directors agreed to purchase 6,000,000 warrants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up to 6,700,000 warrants to the extent that the over-allotment option in connection with the Company’s initial public offering is exercised in full) in aggregate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in a private placement transaction occurring simultaneously with the closing of the Company’s initial public offering;</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finance the Company’s transaction costs in connection with its search for and consummation of an initial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 Sponsor or an affiliate of the Sponsor or certain of the Company’s officers and directors may loan to the Company funds as the Company may require, of which up to $1,500,000 of such loans may be convertible into private placement-equivalent warrants (“</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at a price of $1.50 per warrant at the option of the lender;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terms defined in this </w:t>
      </w:r>
      <w:r>
        <w:rPr>
          <w:rFonts w:ascii="Arial" w:cs="Arial" w:eastAsia="Arial" w:hAnsi="Arial"/>
          <w:sz w:val="16"/>
          <w:szCs w:val="16"/>
          <w:i w:val="1"/>
          <w:iCs w:val="1"/>
          <w:u w:val="single" w:color="auto"/>
          <w:color w:val="auto"/>
        </w:rPr>
        <w:t>Article I</w:t>
      </w:r>
      <w:r>
        <w:rPr>
          <w:rFonts w:ascii="Arial" w:cs="Arial" w:eastAsia="Arial" w:hAnsi="Arial"/>
          <w:sz w:val="16"/>
          <w:szCs w:val="16"/>
          <w:color w:val="auto"/>
        </w:rPr>
        <w:t xml:space="preserve"> shall, for all purposes of this Agreement, have the respective meanings set forth below:</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 2020, by and among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0" w:name="page331"/>
    <w:bookmarkEnd w:id="33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Holder and the Company, and to any transferee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shares of Common Stock issued or issuable upon the exercise of the Private Placement Warrants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xml:space="preserve">” shall mean (a) the Founder Shares and the shares of Common Stock issued or issuable upon the conversion of the Founder Shares, (b) the Private Placement Warrants (including any shares of Common Stock issued or issuable upon the exercise of the Private Placement Warrants), (c) any outstanding shares of Common Stock or any other equity security (including the shares of Common Stock issued or issuable upon the exercise of any other equity security) of the Company held by a Holder as of the date of this Agreement, (d) any equity securities (including the shares of Common Stock issued or issuable upon the exercise of any such equity security) of the Company issuable upon conversion of any working capital loans in an amount up to $1,500,000 made to the Company by a Holder (including the Working Capital Warrants and shares of Common Stock issued or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1" w:name="page332"/>
    <w:bookmarkEnd w:id="331"/>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firstLine="644"/>
        <w:spacing w:after="0" w:line="277" w:lineRule="auto"/>
        <w:tabs>
          <w:tab w:leader="none" w:pos="15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660" w:firstLine="644"/>
        <w:spacing w:after="0" w:line="277" w:lineRule="auto"/>
        <w:tabs>
          <w:tab w:leader="none" w:pos="158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68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5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2.1 Demand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fifteen percent (15%)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17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3" w:name="page334"/>
    <w:bookmarkEnd w:id="333"/>
    <w:p>
      <w:pPr>
        <w:jc w:val="both"/>
        <w:ind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(if any) have requested be included in such Underwritten Registration (such proportion is referred to herein as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without exceeding the Maximum Number of Securities; and (iii) third, to the extent that the Maximum Number of Securities has not been reached under the foregoing clauses (i) and (ii), the shares of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 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hereof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4" w:name="page335"/>
    <w:bookmarkEnd w:id="334"/>
    <w:p>
      <w:pPr>
        <w:jc w:val="both"/>
        <w:ind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left="660" w:firstLine="1292"/>
        <w:spacing w:after="0" w:line="290" w:lineRule="auto"/>
        <w:tabs>
          <w:tab w:leader="none" w:pos="226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stockholders of the Company, which can be sold without exceeding the Maximum Number of Securities;</w:t>
      </w:r>
    </w:p>
    <w:p>
      <w:pPr>
        <w:spacing w:after="0" w:line="165" w:lineRule="exact"/>
        <w:rPr>
          <w:rFonts w:ascii="Arial" w:cs="Arial" w:eastAsia="Arial" w:hAnsi="Arial"/>
          <w:sz w:val="16"/>
          <w:szCs w:val="16"/>
          <w:color w:val="auto"/>
        </w:rPr>
      </w:pPr>
    </w:p>
    <w:p>
      <w:pPr>
        <w:jc w:val="both"/>
        <w:ind w:left="660" w:firstLine="1292"/>
        <w:spacing w:after="0" w:line="287" w:lineRule="auto"/>
        <w:tabs>
          <w:tab w:leader="none" w:pos="222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5" w:name="page336"/>
    <w:bookmarkEnd w:id="335"/>
    <w:p>
      <w:pPr>
        <w:jc w:val="both"/>
        <w:ind w:firstLine="1296"/>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an Underwritten Registration pursuant to Rule 415 under the Securities Act, at least two business days prior to the time of pricing of the applicable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may fulfill its obligations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by means of filing a prospectus supplement to an existing registration statement on Form S-3 to the extent that it is eligible to do so.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6" w:name="page337"/>
    <w:bookmarkEnd w:id="336"/>
    <w:p>
      <w:pPr>
        <w:jc w:val="both"/>
        <w:ind w:firstLine="648"/>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hereof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7" w:name="page338"/>
    <w:bookmarkEnd w:id="337"/>
    <w:p>
      <w:pPr>
        <w:jc w:val="both"/>
        <w:ind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9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8" w:name="page339"/>
    <w:bookmarkEnd w:id="338"/>
    <w:p>
      <w:pPr>
        <w:jc w:val="both"/>
        <w:ind w:firstLine="1296"/>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9" w:name="page340"/>
    <w:bookmarkEnd w:id="339"/>
    <w:p>
      <w:pPr>
        <w:jc w:val="both"/>
        <w:ind w:firstLine="648"/>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0" w:name="page341"/>
    <w:bookmarkEnd w:id="340"/>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c/o Corvex Management LP, 667 Madison Avenue, New York, NY 10065,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Assignment; No Third Party Beneficiaries.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2" w:name="page343"/>
    <w:bookmarkEnd w:id="342"/>
    <w:p>
      <w:pPr>
        <w:jc w:val="both"/>
        <w:ind w:firstLine="648"/>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THIS AGREEMENT SHALL BE ANY STATE OR FEDERAL COURT IN NEW YORK COUNTY IN THE STATE OF NEW YORK.</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of this Agreement and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Article IV</w:t>
      </w:r>
      <w:r>
        <w:rPr>
          <w:rFonts w:ascii="Arial" w:cs="Arial" w:eastAsia="Arial" w:hAnsi="Arial"/>
          <w:sz w:val="16"/>
          <w:szCs w:val="16"/>
          <w:color w:val="auto"/>
        </w:rPr>
        <w:t xml:space="preserve"> hereof shall survive any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CM LIFE SCIENCES, INC., a Delaware corporation</w:t>
      </w: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CMLS HOLDINGS LLC, a Delaware limited liability</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280035</wp:posOffset>
            </wp:positionV>
            <wp:extent cx="284607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288925</wp:posOffset>
            </wp:positionV>
            <wp:extent cx="284607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Nat Turner</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80" w:top="904" w:right="919" w:bottom="1440" w:gutter="0" w:footer="0" w:header="0"/>
        </w:sectPr>
      </w:pPr>
    </w:p>
    <w:bookmarkStart w:id="344" w:name="page345"/>
    <w:bookmarkEnd w:id="344"/>
    <w:p>
      <w:pPr>
        <w:ind w:left="10320"/>
        <w:spacing w:after="0"/>
        <w:rPr>
          <w:sz w:val="20"/>
          <w:szCs w:val="20"/>
          <w:color w:val="auto"/>
        </w:rPr>
      </w:pPr>
      <w:r>
        <w:rPr>
          <w:rFonts w:ascii="Arial" w:cs="Arial" w:eastAsia="Arial" w:hAnsi="Arial"/>
          <w:sz w:val="16"/>
          <w:szCs w:val="16"/>
          <w:b w:val="1"/>
          <w:bCs w:val="1"/>
          <w:color w:val="auto"/>
        </w:rPr>
        <w:t>Exhibit 10.4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ind w:left="660"/>
        <w:spacing w:after="0"/>
        <w:tabs>
          <w:tab w:leader="none" w:pos="7400" w:val="left"/>
        </w:tabs>
        <w:rPr>
          <w:sz w:val="20"/>
          <w:szCs w:val="20"/>
          <w:color w:val="auto"/>
        </w:rPr>
      </w:pPr>
      <w:r>
        <w:rPr>
          <w:rFonts w:ascii="Arial" w:cs="Arial" w:eastAsia="Arial" w:hAnsi="Arial"/>
          <w:sz w:val="18"/>
          <w:szCs w:val="18"/>
          <w:color w:val="auto"/>
        </w:rPr>
        <w:t>THIS PRIVATE PLACEMENT WARRANTS PURCHASE AGREEMENT, dated as of</w:t>
      </w:r>
      <w:r>
        <w:rPr>
          <w:sz w:val="20"/>
          <w:szCs w:val="20"/>
          <w:color w:val="auto"/>
        </w:rPr>
        <w:tab/>
      </w:r>
      <w:r>
        <w:rPr>
          <w:rFonts w:ascii="Arial" w:cs="Arial" w:eastAsia="Arial" w:hAnsi="Arial"/>
          <w:sz w:val="16"/>
          <w:szCs w:val="16"/>
          <w:color w:val="auto"/>
        </w:rPr>
        <w:t>, 2020 (as it may from time to time be amended and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including all exhibits referenced herein,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CM Life 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CMLS Holdings LLC, a Delaware limited liability company (the “</w:t>
      </w:r>
      <w:r>
        <w:rPr>
          <w:rFonts w:ascii="Arial" w:cs="Arial" w:eastAsia="Arial" w:hAnsi="Arial"/>
          <w:sz w:val="18"/>
          <w:szCs w:val="18"/>
          <w:b w:val="1"/>
          <w:bCs w:val="1"/>
          <w:color w:val="auto"/>
        </w:rPr>
        <w:t>Sponsor</w:t>
      </w:r>
      <w:r>
        <w:rPr>
          <w:rFonts w:ascii="Arial" w:cs="Arial" w:eastAsia="Arial" w:hAnsi="Arial"/>
          <w:sz w:val="18"/>
          <w:szCs w:val="18"/>
          <w:color w:val="auto"/>
        </w:rPr>
        <w:t>”), and each of the individuals set forth on the signature pages hereto under “Purchasers” (together with the Sponsor, the “</w:t>
      </w:r>
      <w:r>
        <w:rPr>
          <w:rFonts w:ascii="Arial" w:cs="Arial" w:eastAsia="Arial" w:hAnsi="Arial"/>
          <w:sz w:val="18"/>
          <w:szCs w:val="18"/>
          <w:b w:val="1"/>
          <w:bCs w:val="1"/>
          <w:color w:val="auto"/>
        </w:rPr>
        <w:t>Purchasers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the Company intends to consummate an initial public offering of the Company’s units (the “</w:t>
      </w:r>
      <w:r>
        <w:rPr>
          <w:rFonts w:ascii="Arial" w:cs="Arial" w:eastAsia="Arial" w:hAnsi="Arial"/>
          <w:sz w:val="18"/>
          <w:szCs w:val="18"/>
          <w:b w:val="1"/>
          <w:bCs w:val="1"/>
          <w:color w:val="auto"/>
        </w:rPr>
        <w:t>Public Offering</w:t>
      </w:r>
      <w:r>
        <w:rPr>
          <w:rFonts w:ascii="Arial" w:cs="Arial" w:eastAsia="Arial" w:hAnsi="Arial"/>
          <w:sz w:val="18"/>
          <w:szCs w:val="18"/>
          <w:color w:val="auto"/>
        </w:rPr>
        <w:t>”), each unit consisting of one share of the Company’s Class A common stock, par value $0.0001 per share (each, a “</w:t>
      </w:r>
      <w:r>
        <w:rPr>
          <w:rFonts w:ascii="Arial" w:cs="Arial" w:eastAsia="Arial" w:hAnsi="Arial"/>
          <w:sz w:val="18"/>
          <w:szCs w:val="18"/>
          <w:b w:val="1"/>
          <w:bCs w:val="1"/>
          <w:color w:val="auto"/>
        </w:rPr>
        <w:t>Share</w:t>
      </w:r>
      <w:r>
        <w:rPr>
          <w:rFonts w:ascii="Arial" w:cs="Arial" w:eastAsia="Arial" w:hAnsi="Arial"/>
          <w:sz w:val="18"/>
          <w:szCs w:val="18"/>
          <w:color w:val="auto"/>
        </w:rPr>
        <w:t>”), and one-third of one redeemable warrant. Each whole warrant entitles the holder to purchase one Share at an exercise price of $11.50 per Share. The Purchasers have agreed to purchase an aggregate of 6,000,000 warrants (or 6,700,000 warrants in the aggregate to the extent the underwriter’s over-allotment option in connection with the Public Offering is exercised in full) (the “</w:t>
      </w:r>
      <w:r>
        <w:rPr>
          <w:rFonts w:ascii="Arial" w:cs="Arial" w:eastAsia="Arial" w:hAnsi="Arial"/>
          <w:sz w:val="18"/>
          <w:szCs w:val="18"/>
          <w:b w:val="1"/>
          <w:bCs w:val="1"/>
          <w:color w:val="auto"/>
        </w:rPr>
        <w:t>Private Placement Warrants</w:t>
      </w:r>
      <w:r>
        <w:rPr>
          <w:rFonts w:ascii="Arial" w:cs="Arial" w:eastAsia="Arial" w:hAnsi="Arial"/>
          <w:sz w:val="18"/>
          <w:szCs w:val="18"/>
          <w:color w:val="auto"/>
        </w:rPr>
        <w:t>”), each Private Placement Warrant entitling the holder to purchase one Share at an exercise price of $11.50 per Share.</w:t>
      </w:r>
    </w:p>
    <w:p>
      <w:pPr>
        <w:spacing w:after="0" w:line="19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Authorization, Purchase and Sale; Terms of the Private Placement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xml:space="preserve"> The Company has duly authorized the issuance and sale of the Private Placement Warrants to the Purchasers.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Purchase and Sale of the Private Placement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the date of the consummation of the Public Offering or on such earlier time and date as may be mutually agreed by the Purchasers and the Company (the “</w:t>
      </w:r>
      <w:r>
        <w:rPr>
          <w:rFonts w:ascii="Arial" w:cs="Arial" w:eastAsia="Arial" w:hAnsi="Arial"/>
          <w:sz w:val="16"/>
          <w:szCs w:val="16"/>
          <w:b w:val="1"/>
          <w:bCs w:val="1"/>
          <w:color w:val="auto"/>
        </w:rPr>
        <w:t>Initial Closing Date</w:t>
      </w:r>
      <w:r>
        <w:rPr>
          <w:rFonts w:ascii="Arial" w:cs="Arial" w:eastAsia="Arial" w:hAnsi="Arial"/>
          <w:sz w:val="16"/>
          <w:szCs w:val="16"/>
          <w:color w:val="auto"/>
        </w:rPr>
        <w:t>”), the Company shall issue and sell to the Purchasers, and the Purchasers shall purchase from the Company, an aggregate of 6,000,000 Private Placement Warrants at a price of $1.50 per warrant for an aggregate purchase price of $9,000,000 (the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(in such amounts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which shall be paid by wire transfer of immediately available funds to the Company in accordance with the Company’s wiring instructions at least one business day prior to the Initial Closing Date. On the Initial Closing Date, the Company, shall either, at its option, deliver certificates evidencing the Private Placement Warrants purchased by the Purchasers on such date duly registered in each Purchaser’s name to each Purchaser, or effect such delivery in book-entry form. On the date of any closing of the over-allotment option in connection with the Public Offering or on such earlier time and date as may be mutually agreed by the Purchasers and the Company (each such date, an “</w:t>
      </w:r>
      <w:r>
        <w:rPr>
          <w:rFonts w:ascii="Arial" w:cs="Arial" w:eastAsia="Arial" w:hAnsi="Arial"/>
          <w:sz w:val="16"/>
          <w:szCs w:val="16"/>
          <w:b w:val="1"/>
          <w:bCs w:val="1"/>
          <w:color w:val="auto"/>
        </w:rPr>
        <w:t>Over-allotment Closing</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color w:val="auto"/>
        </w:rPr>
        <w:t>Closing Date</w:t>
      </w:r>
      <w:r>
        <w:rPr>
          <w:rFonts w:ascii="Arial" w:cs="Arial" w:eastAsia="Arial" w:hAnsi="Arial"/>
          <w:sz w:val="16"/>
          <w:szCs w:val="16"/>
          <w:color w:val="auto"/>
        </w:rPr>
        <w: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issue and sell to the Purchasers, and the Purchasers shall purchase from the Company, up to an aggregate of 700,000 Private Placement Warrants, in the same proportion as the amount of the over-allotment option that is exercised, at a price of $1.50 per warrant for an aggregate purchase price of up to $1,050,000 (if the over-allotment option in connection with the Public Offering is exercised in full) (the “</w:t>
      </w:r>
      <w:r>
        <w:rPr>
          <w:rFonts w:ascii="Arial" w:cs="Arial" w:eastAsia="Arial" w:hAnsi="Arial"/>
          <w:sz w:val="16"/>
          <w:szCs w:val="16"/>
          <w:b w:val="1"/>
          <w:bCs w:val="1"/>
          <w:color w:val="auto"/>
        </w:rPr>
        <w:t>Over-allotment Purchase Price</w:t>
      </w:r>
      <w:r>
        <w:rPr>
          <w:rFonts w:ascii="Arial" w:cs="Arial" w:eastAsia="Arial" w:hAnsi="Arial"/>
          <w:sz w:val="16"/>
          <w:szCs w:val="16"/>
          <w:color w:val="auto"/>
        </w:rPr>
        <w:t xml:space="preserve">”) (in such amounts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which shall be paid by wire transfer of immediately available funds to the Company in accordance with the Company’s wiring instructions at least one business day prior to such Over-allotment Closing Date. On the Over-allotment Closing Date, following the payment by the Purchasers of the Over-allotment Purchase Price payable by them by wire transfer of immediately available funds to the Company, the Company shall either, at its option, deliver certificates evidencing the Private Placement Warrants purchased by the Purchasers on such date duly registered in each Purchaser’s name to each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5" w:name="page346"/>
    <w:bookmarkEnd w:id="345"/>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Terms of the Private Placement Warrants.</w:t>
      </w:r>
    </w:p>
    <w:p>
      <w:pPr>
        <w:spacing w:after="0" w:line="225" w:lineRule="exact"/>
        <w:rPr>
          <w:sz w:val="20"/>
          <w:szCs w:val="20"/>
          <w:color w:val="auto"/>
        </w:rPr>
      </w:pPr>
    </w:p>
    <w:p>
      <w:pPr>
        <w:ind w:left="660" w:firstLine="644"/>
        <w:spacing w:after="0" w:line="277" w:lineRule="auto"/>
        <w:tabs>
          <w:tab w:leader="none" w:pos="153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Private Placement Warrants shall have their terms set forth in a Warrant Agreement to be entered into by the Company and a warrant agent, in connection with the Public Offering (a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Purchasers shall enter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to the Purchasers relating to the Private Placement Warrants and the Shares underlying the Private Placement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Purchasers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Warrants, the Company hereby represents and warrants to the Purchasers (which representations and warranties shall survive each Closing Date) that:</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xml:space="preserve">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301" w:lineRule="auto"/>
        <w:tabs>
          <w:tab w:leader="none" w:pos="153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Private Placement Warrants have been duly authorized and approved by the Company as of each Closing Date. This Agreement constitutes a valid and binding obligation of the Company, enforceable in accordance with its terms. Upon each issuance of Private Placement Warrants in accordance with, and payment pursuant to, the terms of the Warrant Agreement and this Agreement, the Private Placement Warrants will constitute valid and binding obligations of the Company, enforceable in accordance with their terms.</w:t>
      </w:r>
    </w:p>
    <w:p>
      <w:pPr>
        <w:spacing w:after="0" w:line="157" w:lineRule="exact"/>
        <w:rPr>
          <w:rFonts w:ascii="Arial" w:cs="Arial" w:eastAsia="Arial" w:hAnsi="Arial"/>
          <w:sz w:val="16"/>
          <w:szCs w:val="16"/>
          <w:color w:val="auto"/>
        </w:rPr>
      </w:pPr>
    </w:p>
    <w:p>
      <w:pPr>
        <w:jc w:val="both"/>
        <w:ind w:firstLine="1304"/>
        <w:spacing w:after="0" w:line="270" w:lineRule="auto"/>
        <w:tabs>
          <w:tab w:leader="none" w:pos="157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capital stock or assets under, (d) result in a violation of, or (e) require any authorization, consent, approval, exemption, action, notice, declaration or filing, in each case, by or to any court or administrative or governmental body or agency pursuant to the amended and restated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6" w:name="page347"/>
    <w:bookmarkEnd w:id="346"/>
    <w:p>
      <w:pPr>
        <w:jc w:val="both"/>
        <w:ind w:firstLine="648"/>
        <w:spacing w:after="0" w:line="284"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Title to Securities.</w:t>
      </w:r>
      <w:r>
        <w:rPr>
          <w:rFonts w:ascii="Arial" w:cs="Arial" w:eastAsia="Arial" w:hAnsi="Arial"/>
          <w:sz w:val="16"/>
          <w:szCs w:val="16"/>
          <w:color w:val="auto"/>
        </w:rPr>
        <w:t xml:space="preserve"> Upon issuance in accordance with, and payment pursuant to, the terms hereof and the Warrant Agreement, the Private Placement Warrants will be duly and validly issued and the Shares issuable upon exercise of the Private Placement Warrants will be duly and validly issued, fully paid and nonassessable. On the date of issuance of the Private Placement Warrants, the Shares issuable upon exercise of the Private Placement Warrants shall have been reserved for issuance. Upon issuance in accordance with, and payment pursuant to, the terms hereof and the Warrant Agreement, each Purchaser will have good title to the Private Placement Warrants and the Shares issuable upon exercise of such Private Placement Warrants, free and clear of all liens, claims and encumbrances of any kind, other than (i) transfer restrictions hereunder and under the other agreements contemplated hereby,</w:t>
      </w:r>
    </w:p>
    <w:p>
      <w:pPr>
        <w:spacing w:after="0" w:line="4" w:lineRule="exact"/>
        <w:rPr>
          <w:sz w:val="20"/>
          <w:szCs w:val="20"/>
          <w:color w:val="auto"/>
        </w:rPr>
      </w:pPr>
    </w:p>
    <w:p>
      <w:pPr>
        <w:ind w:left="280" w:hanging="272"/>
        <w:spacing w:after="0"/>
        <w:tabs>
          <w:tab w:leader="none" w:pos="2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transfer restrictions under federal and state securities laws, and (iii) liens, claims or encumbrances imposed due to the actions of any of the Purchasers.</w:t>
      </w:r>
    </w:p>
    <w:p>
      <w:pPr>
        <w:spacing w:after="0" w:line="233" w:lineRule="exact"/>
        <w:rPr>
          <w:rFonts w:ascii="Arial" w:cs="Arial" w:eastAsia="Arial" w:hAnsi="Arial"/>
          <w:sz w:val="16"/>
          <w:szCs w:val="16"/>
          <w:color w:val="auto"/>
        </w:rPr>
      </w:pPr>
    </w:p>
    <w:p>
      <w:pPr>
        <w:jc w:val="both"/>
        <w:ind w:firstLine="648"/>
        <w:spacing w:after="0" w:line="263" w:lineRule="auto"/>
        <w:rPr>
          <w:rFonts w:ascii="Arial" w:cs="Arial" w:eastAsia="Arial" w:hAnsi="Arial"/>
          <w:sz w:val="16"/>
          <w:szCs w:val="16"/>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Purchasers. </w:t>
      </w:r>
      <w:r>
        <w:rPr>
          <w:rFonts w:ascii="Arial" w:cs="Arial" w:eastAsia="Arial" w:hAnsi="Arial"/>
          <w:sz w:val="18"/>
          <w:szCs w:val="18"/>
          <w:color w:val="auto"/>
        </w:rPr>
        <w:t>As a material inducement to the Company to enter into this Agreement and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and sell the Private Placement Warrants to the Purchasers, each Purchaser hereby, severally and not jointly, represents and warrants to the Company (which representations and warranties shall survive each Closing Date) that: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xml:space="preserve"> Such Purchaser possesses all requisite power and authority necessary to carry out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263" w:lineRule="auto"/>
        <w:tabs>
          <w:tab w:leader="none" w:pos="1531"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such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61"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execution and delivery by such Purchaser of this Agreement and the fulfillment of and compliance with the terms hereof by such Purchaser does not and shall not as of each Closing Date conflict with or result in a breach by such Purchaser of the terms, conditions or provisions of any agreement, instrument, order, judgment or decree to which such Purchaser is subject that would materially impact its ability to perform its obligations hereunder.</w:t>
      </w:r>
    </w:p>
    <w:p>
      <w:pPr>
        <w:spacing w:after="0" w:line="186" w:lineRule="exact"/>
        <w:rPr>
          <w:rFonts w:ascii="Arial" w:cs="Arial" w:eastAsia="Arial" w:hAnsi="Arial"/>
          <w:sz w:val="18"/>
          <w:szCs w:val="18"/>
          <w:color w:val="auto"/>
        </w:rPr>
      </w:pPr>
    </w:p>
    <w:p>
      <w:pPr>
        <w:ind w:left="860" w:hanging="204"/>
        <w:spacing w:after="0"/>
        <w:tabs>
          <w:tab w:leader="none" w:pos="8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1514" w:val="left"/>
        </w:tabs>
        <w:numPr>
          <w:ilvl w:val="1"/>
          <w:numId w:val="242"/>
        </w:numPr>
        <w:rPr>
          <w:rFonts w:ascii="Arial" w:cs="Arial" w:eastAsia="Arial" w:hAnsi="Arial"/>
          <w:sz w:val="18"/>
          <w:szCs w:val="18"/>
          <w:color w:val="auto"/>
        </w:rPr>
      </w:pPr>
      <w:r>
        <w:rPr>
          <w:rFonts w:ascii="Arial" w:cs="Arial" w:eastAsia="Arial" w:hAnsi="Arial"/>
          <w:sz w:val="18"/>
          <w:szCs w:val="18"/>
          <w:color w:val="auto"/>
        </w:rPr>
        <w:t>Such Purchaser is acquiring the Private Placement Warrants and, upon exercise of the Private Placement Warrants, the Shares issuable upon such exercise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for such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Such Purchaser is an “accredited investor” as such term is defined in Rule 501(a)(3) under Regulation D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such Purchaser has not experienced a disqualifying event as enumerated pursuant to Rule 506(d) of Regulation D under the Securities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7" w:name="page348"/>
    <w:bookmarkEnd w:id="347"/>
    <w:p>
      <w:pPr>
        <w:jc w:val="both"/>
        <w:ind w:firstLine="1304"/>
        <w:spacing w:after="0" w:line="259" w:lineRule="auto"/>
        <w:tabs>
          <w:tab w:leader="none" w:pos="162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Purchaser understands that the Securities are being offered and will be sold to it in reliance on specific exemptions from the registration requirements of the United States federal and state securities laws and that the Company is relying upon the truth and accuracy of, and such Purchaser’s compliance with, the representations and warranties of such Purchaser set forth herein in order to determine the availability of such exemptions and the eligibility of such Purchaser to acquire such Securities.</w:t>
      </w:r>
    </w:p>
    <w:p>
      <w:pPr>
        <w:spacing w:after="0" w:line="186" w:lineRule="exact"/>
        <w:rPr>
          <w:rFonts w:ascii="Arial" w:cs="Arial" w:eastAsia="Arial" w:hAnsi="Arial"/>
          <w:sz w:val="18"/>
          <w:szCs w:val="18"/>
          <w:color w:val="auto"/>
        </w:rPr>
      </w:pPr>
    </w:p>
    <w:p>
      <w:pPr>
        <w:ind w:right="20" w:firstLine="1304"/>
        <w:spacing w:after="0" w:line="277" w:lineRule="auto"/>
        <w:tabs>
          <w:tab w:leader="none" w:pos="161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Purchaser did not decide to enter into this Agreement as a result of any general solicitation or general advertising within the meaning of Rule 502(c) of Regulation D under the Securities Act.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Purchaser has been furnished with all materials relating to the business, finances and operations of the Company and materials relating to the offer and sale of the Securities which have been requested by such Purchaser. Such Purchaser has been afforded the opportunity to ask questions of the executive officers and directors of the Company. Such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62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Purchaser understands that no United States federal or state agency or any other government or governmental agency has passed on or made any recommendation or endorsement of the Securities or the fairness or suitability of the investment in the Securities by the Purchasers nor have such authorities passed upon or endorsed the merits of the offering of the Securities.</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65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Such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such Purchaser understands that Rule 144 under the Securities Act is not available for the resale of securities initially issued by shell companies (other than business combination related shell companies) or issuers that have been at any time previously a shell company, such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reflecting its status as an entity that is not a shell company.</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170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Such Purchaser has knowledge and experience in financial and business matters, understands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Such Purchaser has adequate means of providing for its current financial needs and contingencies and will have no current or anticipated future needs for liquidity which would be jeopardized by the investment in the Securities. Such Purchaser can afford a complete loss of its investment in the Securities.</w:t>
      </w:r>
    </w:p>
    <w:p>
      <w:pPr>
        <w:spacing w:after="0" w:line="161" w:lineRule="exact"/>
        <w:rPr>
          <w:rFonts w:ascii="Arial" w:cs="Arial" w:eastAsia="Arial" w:hAnsi="Arial"/>
          <w:sz w:val="16"/>
          <w:szCs w:val="16"/>
          <w:color w:val="auto"/>
        </w:rPr>
      </w:pPr>
    </w:p>
    <w:p>
      <w:pPr>
        <w:ind w:left="1640" w:hanging="336"/>
        <w:spacing w:after="0"/>
        <w:tabs>
          <w:tab w:leader="none" w:pos="16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Such Purchaser understands that the Private Placement Warrants shall bear the legend substantially in the form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Warrant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8" w:name="page349"/>
    <w:bookmarkEnd w:id="348"/>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Purchasers to purchase and pay for the Private Placement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are subject to the fulfillment, on or before each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Company shall have performed and complied with all agreements, obligations and conditions contained in this Agreement that are required to be performed or complied with by it on or before such Closing Date.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Warrant Agreement and Registration Rights Agreement.</w:t>
      </w:r>
      <w:r>
        <w:rPr>
          <w:rFonts w:ascii="Arial" w:cs="Arial" w:eastAsia="Arial" w:hAnsi="Arial"/>
          <w:sz w:val="18"/>
          <w:szCs w:val="18"/>
          <w:color w:val="auto"/>
        </w:rPr>
        <w:t xml:space="preserve"> The Company shall have entered into the Warrant Agreement and the Registration Rights Agreement, each on terms satisfactory to the Purchasers.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Purchasers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each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Purchasers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Purchasers shall have performed and complied with all agreements, obligations and conditions contained in this Agreement that are required to be performed or complied with by the Purchasers on or before such Closing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Warrant Agreement.</w:t>
      </w:r>
      <w:r>
        <w:rPr>
          <w:rFonts w:ascii="Arial" w:cs="Arial" w:eastAsia="Arial" w:hAnsi="Arial"/>
          <w:sz w:val="18"/>
          <w:szCs w:val="18"/>
          <w:color w:val="auto"/>
        </w:rPr>
        <w:t xml:space="preserve"> The Company shall have entered into the Warrant Agreement on terms satisfactory to the Company.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9" w:name="page350"/>
    <w:bookmarkEnd w:id="349"/>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 Termination. </w:t>
      </w:r>
      <w:r>
        <w:rPr>
          <w:rFonts w:ascii="Arial" w:cs="Arial" w:eastAsia="Arial" w:hAnsi="Arial"/>
          <w:sz w:val="18"/>
          <w:szCs w:val="18"/>
          <w:color w:val="auto"/>
        </w:rPr>
        <w:t>This Agreement may be terminated at any time after December 31, 2020 upon the election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upon written notice to the other party if the closing of the Public Offering does not occur prior to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 Survival of Representations and Warranties. </w:t>
      </w:r>
      <w:r>
        <w:rPr>
          <w:rFonts w:ascii="Arial" w:cs="Arial" w:eastAsia="Arial" w:hAnsi="Arial"/>
          <w:sz w:val="16"/>
          <w:szCs w:val="16"/>
          <w:color w:val="auto"/>
        </w:rPr>
        <w:t>All of the representations and warranties contained herein shall survive each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 Definitions. </w:t>
      </w:r>
      <w:r>
        <w:rPr>
          <w:rFonts w:ascii="Arial" w:cs="Arial" w:eastAsia="Arial" w:hAnsi="Arial"/>
          <w:sz w:val="18"/>
          <w:szCs w:val="18"/>
          <w:color w:val="auto"/>
        </w:rPr>
        <w:t>Terms used but not otherwise defined in this Agreement shall have the meaning assigned to such terms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S-1 the Company has filed with the SEC under the Securities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Miscellaneous.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without the prior written consent of the other party hereto, other than assignments by the Purchasers to their respective affiliates (including, without limitation, one or more of its members, as applicable).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simultaneously in two or more counterparts, none of which need contain the signatures of more than one party, but all such counterparts taken together shall constitute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xml:space="preserve"> The descriptive headings of this Agreement are inserted for convenience only and do not constitute a substantive part of this Agreement. The use of the word “including’ in this Agreement shall be by way of example rather than by limitation.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deemed to be a contract made under the laws of the State of New York and for all purposes shall be construed in accordance with the internal laws of the State of New York.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to be effective as of the date first set forth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CM LIFE SCIENCES, INC., a Delaware corporation</w:t>
      </w: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PURCHASERS: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CMLS HOLDINGS LLC, a Delaware limited liability</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280035</wp:posOffset>
            </wp:positionV>
            <wp:extent cx="25628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288925</wp:posOffset>
            </wp:positionV>
            <wp:extent cx="25628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Emily Leproust</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980" w:top="337" w:right="919" w:bottom="1440" w:gutter="0" w:footer="0" w:header="0"/>
        </w:sectPr>
      </w:pPr>
    </w:p>
    <w:bookmarkStart w:id="351" w:name="page352"/>
    <w:bookmarkEnd w:id="351"/>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Exhibit 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Private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Number of Private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Placement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Placement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Purchase Price</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Purchase Price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(No Exercise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(No Exercise of</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of Over-</w:t>
            </w:r>
          </w:p>
        </w:tc>
        <w:tc>
          <w:tcPr>
            <w:tcW w:w="20" w:type="dxa"/>
            <w:vAlign w:val="bottom"/>
          </w:tcPr>
          <w:p>
            <w:pPr>
              <w:spacing w:after="0"/>
              <w:rPr>
                <w:sz w:val="18"/>
                <w:szCs w:val="18"/>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(Exercise of Over-</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Over-allotment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Over-allotment</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allotment Option in</w:t>
            </w:r>
          </w:p>
        </w:tc>
        <w:tc>
          <w:tcPr>
            <w:tcW w:w="1600" w:type="dxa"/>
            <w:vAlign w:val="bottom"/>
            <w:gridSpan w:val="5"/>
          </w:tcPr>
          <w:p>
            <w:pPr>
              <w:spacing w:after="0"/>
              <w:rPr>
                <w:sz w:val="20"/>
                <w:szCs w:val="20"/>
                <w:color w:val="auto"/>
              </w:rPr>
            </w:pPr>
            <w:r>
              <w:rPr>
                <w:rFonts w:ascii="Arial" w:cs="Arial" w:eastAsia="Arial" w:hAnsi="Arial"/>
                <w:sz w:val="18"/>
                <w:szCs w:val="18"/>
                <w:b w:val="1"/>
                <w:bCs w:val="1"/>
                <w:color w:val="auto"/>
                <w:w w:val="96"/>
              </w:rPr>
              <w:t>allotment Option in</w:t>
            </w:r>
          </w:p>
        </w:tc>
        <w:tc>
          <w:tcPr>
            <w:tcW w:w="0" w:type="dxa"/>
            <w:vAlign w:val="bottom"/>
          </w:tcPr>
          <w:p>
            <w:pPr>
              <w:spacing w:after="0"/>
              <w:rPr>
                <w:sz w:val="1"/>
                <w:szCs w:val="1"/>
                <w:color w:val="auto"/>
              </w:rPr>
            </w:pPr>
          </w:p>
        </w:tc>
      </w:tr>
      <w:tr>
        <w:trPr>
          <w:trHeight w:val="24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Full)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Full)</w:t>
            </w:r>
          </w:p>
        </w:tc>
        <w:tc>
          <w:tcPr>
            <w:tcW w:w="0" w:type="dxa"/>
            <w:vAlign w:val="bottom"/>
          </w:tcPr>
          <w:p>
            <w:pPr>
              <w:spacing w:after="0"/>
              <w:rPr>
                <w:sz w:val="1"/>
                <w:szCs w:val="1"/>
                <w:color w:val="auto"/>
              </w:rPr>
            </w:pPr>
          </w:p>
        </w:tc>
      </w:tr>
      <w:tr>
        <w:trPr>
          <w:trHeight w:val="216"/>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CMLS Holdings, LLC</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5,666,668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8,500,002.00</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6,366,668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9,550,002.00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Munib Islam</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166,666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249,999.00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166,666</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249,999.00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Leproust</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166,666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249,999.00</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249,999.00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gridSpan w:val="2"/>
            <w:vMerge w:val="continue"/>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6,000,000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9,000,000.00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6,700,000</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10,050,000.00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INDEMNITY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as of ___________, 2020, by and between CM Life Sciences,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highly competent persons have become more reluctant to serve publicly-held corporations as directors, officers or in other capacities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in order to attract and retain qualified individuals,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attempt to maintain on an ongoing basis, at its sole expense, liability insurance to protect persons serving the Company and its subsidiaries from certain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directors, officers and other persons in service to corporations or business enterprises are being increasingly subjected to expensive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time-consuming litigation relating to, among other things, matters that traditionally would have been brought only against the Company or business enterprise itself;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Amended and Restated Certificate of Incorporation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and the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the Company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the officers and directors of the Company. Indemnitee may also be entitled to indemnification pursuant to applicable provisions of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uncertainties relating to such insurance and to indemnification have increased the difficulty of attracting and retaining such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that the increased difficulty in attracting and retaining such persons is detrimental to the best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stockholders and that the Company should act to assure such persons that there will be increased certainty of such protection in the future;</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reasonable, prudent and necessary for the Company contractually to obligate itself to indemnify, hold harmless, exonerate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a supplement to and in furtherance of the Charter and Bylaws and any resolutions adopted pursuant thereto,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a substitute therefor, nor to diminish or abrogate any rights of Indemnitee thereunder;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Indemnitee may not be willing to serve as an officer or director, advisor or in another capacity without adequate protection,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desires Indemnitee to serve in such capacity. Indemnitee is willing to serve, continue to serve and to take on additional service for or on behalf of the Company on the condition that Indemnitee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3" w:name="page354"/>
    <w:bookmarkEnd w:id="353"/>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contained herein, the Company and Indemnitee do hereby covenant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25" w:lineRule="exact"/>
        <w:rPr>
          <w:sz w:val="20"/>
          <w:szCs w:val="20"/>
          <w:color w:val="auto"/>
        </w:rPr>
      </w:pPr>
    </w:p>
    <w:p>
      <w:pPr>
        <w:jc w:val="both"/>
        <w:ind w:firstLine="656"/>
        <w:spacing w:after="0" w:line="274" w:lineRule="auto"/>
        <w:tabs>
          <w:tab w:leader="none" w:pos="841"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or continue to serve as an officer, director, advisor, key employee or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capacity of the Company, as applicable, for so long as Indemnitee is duly elected or appointed or retained or until Indemnitee tenders Indemnitee’s resignation or until Indemnitee is removed. The foregoing notwithstanding, this Agreement shall continue in full force and effect after Indemnitee has ceased to serve as a director, officer, advisor, key employee or in any other capacity of the Company, in each case as provided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hereof. This Agreement, however, shall not impose any obligation on Indemnitee or the Company to continue Indemnitee’s service to the Company beyond any period otherwise required by law or by other agreements or commitments of the parties, if any.</w:t>
      </w:r>
    </w:p>
    <w:p>
      <w:pPr>
        <w:spacing w:after="0" w:line="173" w:lineRule="exact"/>
        <w:rPr>
          <w:rFonts w:ascii="Arial" w:cs="Arial" w:eastAsia="Arial" w:hAnsi="Arial"/>
          <w:sz w:val="17"/>
          <w:szCs w:val="17"/>
          <w:b w:val="1"/>
          <w:bCs w:val="1"/>
          <w:color w:val="auto"/>
        </w:rPr>
      </w:pPr>
    </w:p>
    <w:p>
      <w:pPr>
        <w:ind w:left="840" w:hanging="184"/>
        <w:spacing w:after="0"/>
        <w:tabs>
          <w:tab w:leader="none" w:pos="8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Agreement:</w:t>
      </w:r>
    </w:p>
    <w:p>
      <w:pPr>
        <w:spacing w:after="0" w:line="229" w:lineRule="exact"/>
        <w:rPr>
          <w:sz w:val="20"/>
          <w:szCs w:val="20"/>
          <w:color w:val="auto"/>
        </w:rPr>
      </w:pPr>
    </w:p>
    <w:p>
      <w:pPr>
        <w:jc w:val="both"/>
        <w:ind w:firstLine="656"/>
        <w:spacing w:after="0" w:line="259" w:lineRule="auto"/>
        <w:tabs>
          <w:tab w:leader="none" w:pos="89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6" w:lineRule="exact"/>
        <w:rPr>
          <w:rFonts w:ascii="Arial" w:cs="Arial" w:eastAsia="Arial" w:hAnsi="Arial"/>
          <w:sz w:val="18"/>
          <w:szCs w:val="18"/>
          <w:color w:val="auto"/>
        </w:rPr>
      </w:pPr>
    </w:p>
    <w:p>
      <w:pPr>
        <w:ind w:firstLine="656"/>
        <w:spacing w:after="0" w:line="277" w:lineRule="auto"/>
        <w:tabs>
          <w:tab w:leader="none" w:pos="91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Beneficial Ownership</w:t>
      </w:r>
      <w:r>
        <w:rPr>
          <w:rFonts w:ascii="Arial" w:cs="Arial" w:eastAsia="Arial" w:hAnsi="Arial"/>
          <w:sz w:val="18"/>
          <w:szCs w:val="18"/>
          <w:i w:val="1"/>
          <w:iCs w:val="1"/>
          <w:color w:val="auto"/>
        </w:rPr>
        <w:t>”</w:t>
      </w:r>
      <w:r>
        <w:rPr>
          <w:rFonts w:ascii="Arial" w:cs="Arial" w:eastAsia="Arial" w:hAnsi="Arial"/>
          <w:sz w:val="18"/>
          <w:szCs w:val="18"/>
          <w:color w:val="auto"/>
        </w:rPr>
        <w:t xml:space="preserve"> shall have the meanings set forth in Rule 13d-3 promulgated under the Exchange Act (as defined below) as in effect on the date hereof.</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occur upon the earliest to occur after the date of this Agreement of any of the following events:</w:t>
      </w:r>
    </w:p>
    <w:p>
      <w:pPr>
        <w:spacing w:after="0" w:line="236" w:lineRule="exact"/>
        <w:rPr>
          <w:rFonts w:ascii="Arial" w:cs="Arial" w:eastAsia="Arial" w:hAnsi="Arial"/>
          <w:sz w:val="17"/>
          <w:szCs w:val="17"/>
          <w:color w:val="auto"/>
        </w:rPr>
      </w:pPr>
    </w:p>
    <w:p>
      <w:pPr>
        <w:jc w:val="both"/>
        <w:ind w:firstLine="1304"/>
        <w:spacing w:after="0" w:line="273" w:lineRule="auto"/>
        <w:tabs>
          <w:tab w:leader="none" w:pos="1511"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Other than CMLS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or any of its affiliates,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177" w:lineRule="exact"/>
        <w:rPr>
          <w:rFonts w:ascii="Arial" w:cs="Arial" w:eastAsia="Arial" w:hAnsi="Arial"/>
          <w:sz w:val="17"/>
          <w:szCs w:val="17"/>
          <w:color w:val="auto"/>
        </w:rPr>
      </w:pPr>
    </w:p>
    <w:p>
      <w:pPr>
        <w:jc w:val="both"/>
        <w:ind w:firstLine="1304"/>
        <w:spacing w:after="0" w:line="259" w:lineRule="auto"/>
        <w:tabs>
          <w:tab w:leader="none" w:pos="1561"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Arial" w:cs="Arial" w:eastAsia="Arial" w:hAnsi="Arial"/>
          <w:sz w:val="18"/>
          <w:szCs w:val="18"/>
          <w:b w:val="1"/>
          <w:bCs w:val="1"/>
          <w:i w:val="1"/>
          <w:iCs w:val="1"/>
          <w:color w:val="auto"/>
        </w:rPr>
        <w:t>Continuing Directors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cease for any reason to constitute at least a majority of the members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4" w:name="page355"/>
    <w:bookmarkEnd w:id="354"/>
    <w:p>
      <w:pPr>
        <w:jc w:val="both"/>
        <w:ind w:firstLine="1304"/>
        <w:spacing w:after="0" w:line="268" w:lineRule="auto"/>
        <w:tabs>
          <w:tab w:leader="none" w:pos="1624"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merger, capital stock exchange, asset acquisition, stock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(as defined below))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6" w:lineRule="exact"/>
        <w:rPr>
          <w:rFonts w:ascii="Arial" w:cs="Arial" w:eastAsia="Arial" w:hAnsi="Arial"/>
          <w:sz w:val="17"/>
          <w:szCs w:val="17"/>
          <w:color w:val="auto"/>
        </w:rPr>
      </w:pPr>
    </w:p>
    <w:p>
      <w:pPr>
        <w:jc w:val="both"/>
        <w:ind w:firstLine="1304"/>
        <w:spacing w:after="0" w:line="259" w:lineRule="auto"/>
        <w:tabs>
          <w:tab w:leader="none" w:pos="1601"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any successor rule)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i w:val="1"/>
          <w:iCs w:val="1"/>
          <w:color w:val="auto"/>
        </w:rPr>
        <w:t>”</w:t>
      </w:r>
      <w:r>
        <w:rPr>
          <w:rFonts w:ascii="Arial" w:cs="Arial" w:eastAsia="Arial" w:hAnsi="Arial"/>
          <w:sz w:val="18"/>
          <w:szCs w:val="18"/>
          <w:color w:val="auto"/>
        </w:rPr>
        <w:t xml:space="preserve">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183" w:lineRule="exact"/>
        <w:rPr>
          <w:rFonts w:ascii="Arial" w:cs="Arial" w:eastAsia="Arial" w:hAnsi="Arial"/>
          <w:sz w:val="18"/>
          <w:szCs w:val="18"/>
          <w:color w:val="auto"/>
        </w:rPr>
      </w:pPr>
    </w:p>
    <w:p>
      <w:pPr>
        <w:ind w:left="900" w:hanging="244"/>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Court”</w:t>
      </w:r>
      <w:r>
        <w:rPr>
          <w:rFonts w:ascii="Arial" w:cs="Arial" w:eastAsia="Arial" w:hAnsi="Arial"/>
          <w:sz w:val="18"/>
          <w:szCs w:val="18"/>
          <w:color w:val="auto"/>
        </w:rPr>
        <w:t xml:space="preserve"> shall mean the Court of Chancery of the State of Delaware.</w:t>
      </w:r>
    </w:p>
    <w:p>
      <w:pPr>
        <w:spacing w:after="0" w:line="225" w:lineRule="exact"/>
        <w:rPr>
          <w:rFonts w:ascii="Arial" w:cs="Arial" w:eastAsia="Arial" w:hAnsi="Arial"/>
          <w:sz w:val="18"/>
          <w:szCs w:val="18"/>
          <w:color w:val="auto"/>
        </w:rPr>
      </w:pPr>
    </w:p>
    <w:p>
      <w:pPr>
        <w:ind w:firstLine="656"/>
        <w:spacing w:after="0" w:line="277" w:lineRule="auto"/>
        <w:tabs>
          <w:tab w:leader="none" w:pos="87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xml:space="preserve">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manager, general partner, managing member, fiduciary, employee or agent.</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w:t>
      </w:r>
      <w:r>
        <w:rPr>
          <w:rFonts w:ascii="Arial" w:cs="Arial" w:eastAsia="Arial" w:hAnsi="Arial"/>
          <w:sz w:val="18"/>
          <w:szCs w:val="18"/>
          <w:color w:val="auto"/>
        </w:rPr>
        <w:t xml:space="preserve"> shall mean the Securities Exchange Act of 1934, as amended.</w:t>
      </w:r>
    </w:p>
    <w:p>
      <w:pPr>
        <w:spacing w:after="0" w:line="225" w:lineRule="exact"/>
        <w:rPr>
          <w:rFonts w:ascii="Arial" w:cs="Arial" w:eastAsia="Arial" w:hAnsi="Arial"/>
          <w:sz w:val="18"/>
          <w:szCs w:val="18"/>
          <w:color w:val="auto"/>
        </w:rPr>
      </w:pPr>
    </w:p>
    <w:p>
      <w:pPr>
        <w:jc w:val="both"/>
        <w:ind w:firstLine="656"/>
        <w:spacing w:after="0" w:line="289" w:lineRule="auto"/>
        <w:tabs>
          <w:tab w:leader="none" w:pos="87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Expenses</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5" w:name="page356"/>
    <w:bookmarkEnd w:id="355"/>
    <w:p>
      <w:pPr>
        <w:ind w:left="880" w:hanging="224"/>
        <w:spacing w:after="0"/>
        <w:tabs>
          <w:tab w:leader="none" w:pos="8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fines</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excise tax assessed on Indemnitee with respect to any employee benefit plan.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91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Counsel</w:t>
      </w:r>
      <w:r>
        <w:rPr>
          <w:rFonts w:ascii="Arial" w:cs="Arial" w:eastAsia="Arial" w:hAnsi="Arial"/>
          <w:sz w:val="16"/>
          <w:szCs w:val="16"/>
          <w:i w:val="1"/>
          <w:iCs w:val="1"/>
          <w:color w:val="auto"/>
        </w:rPr>
        <w:t>”</w:t>
      </w:r>
      <w:r>
        <w:rPr>
          <w:rFonts w:ascii="Arial" w:cs="Arial" w:eastAsia="Arial" w:hAnsi="Arial"/>
          <w:sz w:val="16"/>
          <w:szCs w:val="16"/>
          <w:color w:val="auto"/>
        </w:rPr>
        <w:t xml:space="preserve">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jc w:val="both"/>
        <w:ind w:firstLine="656"/>
        <w:spacing w:after="0" w:line="273" w:lineRule="auto"/>
        <w:tabs>
          <w:tab w:leader="none" w:pos="87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77" w:lineRule="exact"/>
        <w:rPr>
          <w:rFonts w:ascii="Arial" w:cs="Arial" w:eastAsia="Arial" w:hAnsi="Arial"/>
          <w:sz w:val="17"/>
          <w:szCs w:val="17"/>
          <w:color w:val="auto"/>
        </w:rPr>
      </w:pPr>
    </w:p>
    <w:p>
      <w:pPr>
        <w:jc w:val="both"/>
        <w:ind w:firstLine="656"/>
        <w:spacing w:after="0" w:line="290" w:lineRule="auto"/>
        <w:tabs>
          <w:tab w:leader="none" w:pos="95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otherwise by reason of the fact that Indemnitee is or was a director or officer of the Company, by reason of any action (or failure to act) taken by Indemnitee or of any action (or failure to act) on Indemnitee’s part while acting as a director or officer of the Company, or by reason of the fact that Indemnitee is or was serving at the request of the Company as a director, officer, trustee, general partner, manager,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65" w:lineRule="exact"/>
        <w:rPr>
          <w:rFonts w:ascii="Arial" w:cs="Arial" w:eastAsia="Arial" w:hAnsi="Arial"/>
          <w:sz w:val="16"/>
          <w:szCs w:val="16"/>
          <w:color w:val="auto"/>
        </w:rPr>
      </w:pPr>
    </w:p>
    <w:p>
      <w:pPr>
        <w:jc w:val="both"/>
        <w:ind w:firstLine="656"/>
        <w:spacing w:after="0" w:line="257" w:lineRule="auto"/>
        <w:tabs>
          <w:tab w:leader="none" w:pos="90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serving at the request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8"/>
          <w:szCs w:val="18"/>
          <w:b w:val="1"/>
          <w:bCs w:val="1"/>
          <w:i w:val="1"/>
          <w:iCs w:val="1"/>
          <w:color w:val="auto"/>
        </w:rPr>
        <w:t>not opposed to the best interests of the Company</w:t>
      </w:r>
      <w:r>
        <w:rPr>
          <w:rFonts w:ascii="Arial" w:cs="Arial" w:eastAsia="Arial" w:hAnsi="Arial"/>
          <w:sz w:val="18"/>
          <w:szCs w:val="18"/>
          <w:color w:val="auto"/>
        </w:rPr>
        <w:t>” as referred to in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6" w:name="page357"/>
    <w:bookmarkEnd w:id="356"/>
    <w:p>
      <w:pPr>
        <w:ind w:right="20" w:firstLine="656"/>
        <w:spacing w:after="0" w:line="308" w:lineRule="auto"/>
        <w:tabs>
          <w:tab w:leader="none" w:pos="90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i w:val="1"/>
          <w:iCs w:val="1"/>
          <w:color w:val="auto"/>
        </w:rPr>
        <w:t>,”</w:t>
      </w:r>
      <w:r>
        <w:rPr>
          <w:rFonts w:ascii="Arial" w:cs="Arial" w:eastAsia="Arial" w:hAnsi="Arial"/>
          <w:sz w:val="17"/>
          <w:szCs w:val="17"/>
          <w:color w:val="auto"/>
        </w:rPr>
        <w:t xml:space="preserve">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42" w:lineRule="exact"/>
        <w:rPr>
          <w:sz w:val="20"/>
          <w:szCs w:val="20"/>
          <w:color w:val="auto"/>
        </w:rPr>
      </w:pPr>
    </w:p>
    <w:p>
      <w:pPr>
        <w:jc w:val="both"/>
        <w:ind w:firstLine="656"/>
        <w:spacing w:after="0" w:line="271" w:lineRule="auto"/>
        <w:tabs>
          <w:tab w:leader="none" w:pos="841"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THIRD-PARTY PROCEEDINGS</w:t>
      </w:r>
      <w:r>
        <w:rPr>
          <w:rFonts w:ascii="Arial" w:cs="Arial" w:eastAsia="Arial" w:hAnsi="Arial"/>
          <w:sz w:val="17"/>
          <w:szCs w:val="17"/>
          <w:color w:val="auto"/>
        </w:rPr>
        <w:t>. To the fullest extent permitted by applicable law,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harmless and exonerate Indemnitee in accordance with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28" w:val="left"/>
        </w:tabs>
        <w:numPr>
          <w:ilvl w:val="0"/>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INDEMNITY IN PROCEEDINGS BY OR IN THE RIGHT OF THE COMPANY</w:t>
      </w:r>
      <w:r>
        <w:rPr>
          <w:rFonts w:ascii="Arial" w:cs="Arial" w:eastAsia="Arial" w:hAnsi="Arial"/>
          <w:sz w:val="16"/>
          <w:szCs w:val="16"/>
          <w:color w:val="auto"/>
        </w:rPr>
        <w:t>. To the fullest extent permitted by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indemnify, hold harmless and exonerate Indemnitee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Indemnitee was, is, or is threatened to be made, a party to or a participant (as a witness, deponent or otherwise) in any Proceeding by or in the right of the Company to procure a judgment in its favor by reason of Indemnitee’s Corporate Status.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hold harmless or exoneration for Expenses shall be made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160" w:lineRule="exact"/>
        <w:rPr>
          <w:rFonts w:ascii="Arial" w:cs="Arial" w:eastAsia="Arial" w:hAnsi="Arial"/>
          <w:sz w:val="16"/>
          <w:szCs w:val="16"/>
          <w:b w:val="1"/>
          <w:bCs w:val="1"/>
          <w:color w:val="auto"/>
        </w:rPr>
      </w:pPr>
    </w:p>
    <w:p>
      <w:pPr>
        <w:jc w:val="both"/>
        <w:ind w:firstLine="656"/>
        <w:spacing w:after="0" w:line="269" w:lineRule="auto"/>
        <w:tabs>
          <w:tab w:leader="none" w:pos="841"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this Agreement except for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to the extent 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Indemnitee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Indemnitee or on Indemnitee’s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7" w:name="page358"/>
    <w:bookmarkEnd w:id="357"/>
    <w:p>
      <w:pPr>
        <w:jc w:val="both"/>
        <w:ind w:left="-20" w:firstLine="656"/>
        <w:spacing w:after="0" w:line="281" w:lineRule="auto"/>
        <w:tabs>
          <w:tab w:leader="none" w:pos="808"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 FOR EXPENSES OF A WITNESS</w:t>
      </w:r>
      <w:r>
        <w:rPr>
          <w:rFonts w:ascii="Arial" w:cs="Arial" w:eastAsia="Arial" w:hAnsi="Arial"/>
          <w:sz w:val="17"/>
          <w:szCs w:val="17"/>
          <w:color w:val="auto"/>
        </w:rPr>
        <w:t>. Notwithstanding any other provision of this Agreement, except for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that Indemnitee is, by reason of Indemnitee’s Corporate Status, a witness or deponent in any Proceeding to which Indemnitee was or is not a party or threatened to be made a party, Indemnitee shall, to the fullest extent permitted by applicable law, be indemnified, held harmless and exonerated against all Expenses actually and reasonably incurred by Indemnitee or on Indemnitee’s behalf in connection therewith.</w:t>
      </w:r>
    </w:p>
    <w:p>
      <w:pPr>
        <w:spacing w:after="0" w:line="164" w:lineRule="exact"/>
        <w:rPr>
          <w:rFonts w:ascii="Arial" w:cs="Arial" w:eastAsia="Arial" w:hAnsi="Arial"/>
          <w:sz w:val="17"/>
          <w:szCs w:val="17"/>
          <w:b w:val="1"/>
          <w:bCs w:val="1"/>
          <w:color w:val="auto"/>
        </w:rPr>
      </w:pPr>
    </w:p>
    <w:p>
      <w:pPr>
        <w:jc w:val="both"/>
        <w:ind w:left="-20" w:firstLine="656"/>
        <w:spacing w:after="0" w:line="291" w:lineRule="auto"/>
        <w:tabs>
          <w:tab w:leader="none" w:pos="808" w:val="left"/>
        </w:tabs>
        <w:numPr>
          <w:ilvl w:val="0"/>
          <w:numId w:val="251"/>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INDEMNIFICATION, HOLD HARMLESS AND EXONERATION RIGHTS</w:t>
      </w:r>
      <w:r>
        <w:rPr>
          <w:rFonts w:ascii="Arial" w:cs="Arial" w:eastAsia="Arial" w:hAnsi="Arial"/>
          <w:sz w:val="16"/>
          <w:szCs w:val="16"/>
          <w:color w:val="auto"/>
        </w:rPr>
        <w:t>. Notwithstanding any limitation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and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liabilities, fines, penalties and amounts paid in settlement (including all interest, assessments and other charges paid or payable in connection with or in respect of such Expenses, judgments, liabilities, fines, penalties and amounts paid in settlement) actually and reasonably incurred by Indemnitee in connection with the Proceeding. No indemnification, hold harmless or exoneration rights shall be available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59" w:lineRule="exact"/>
        <w:rPr>
          <w:rFonts w:ascii="Arial" w:cs="Arial" w:eastAsia="Arial" w:hAnsi="Arial"/>
          <w:sz w:val="16"/>
          <w:szCs w:val="16"/>
          <w:b w:val="1"/>
          <w:bCs w:val="1"/>
          <w:color w:val="auto"/>
        </w:rPr>
      </w:pPr>
    </w:p>
    <w:p>
      <w:pPr>
        <w:ind w:left="820" w:hanging="184"/>
        <w:spacing w:after="0"/>
        <w:tabs>
          <w:tab w:leader="none" w:pos="82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 IN THE EVENT OF JOINT LIABILITY.</w:t>
      </w:r>
    </w:p>
    <w:p>
      <w:pPr>
        <w:spacing w:after="0" w:line="229" w:lineRule="exact"/>
        <w:rPr>
          <w:sz w:val="20"/>
          <w:szCs w:val="20"/>
          <w:color w:val="auto"/>
        </w:rPr>
      </w:pPr>
    </w:p>
    <w:p>
      <w:pPr>
        <w:jc w:val="both"/>
        <w:ind w:left="-20" w:firstLine="656"/>
        <w:spacing w:after="0" w:line="275" w:lineRule="auto"/>
        <w:tabs>
          <w:tab w:leader="none" w:pos="88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76" w:lineRule="exact"/>
        <w:rPr>
          <w:rFonts w:ascii="Arial" w:cs="Arial" w:eastAsia="Arial" w:hAnsi="Arial"/>
          <w:sz w:val="17"/>
          <w:szCs w:val="17"/>
          <w:color w:val="auto"/>
        </w:rPr>
      </w:pPr>
    </w:p>
    <w:p>
      <w:pPr>
        <w:ind w:left="-20" w:firstLine="656"/>
        <w:spacing w:after="0" w:line="277" w:lineRule="auto"/>
        <w:tabs>
          <w:tab w:leader="none" w:pos="89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70" w:lineRule="exact"/>
        <w:rPr>
          <w:rFonts w:ascii="Arial" w:cs="Arial" w:eastAsia="Arial" w:hAnsi="Arial"/>
          <w:sz w:val="18"/>
          <w:szCs w:val="18"/>
          <w:color w:val="auto"/>
        </w:rPr>
      </w:pPr>
    </w:p>
    <w:p>
      <w:pPr>
        <w:ind w:left="-20" w:firstLine="656"/>
        <w:spacing w:after="0" w:line="277" w:lineRule="auto"/>
        <w:tabs>
          <w:tab w:leader="none" w:pos="88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66" w:lineRule="exact"/>
        <w:rPr>
          <w:sz w:val="20"/>
          <w:szCs w:val="20"/>
          <w:color w:val="auto"/>
        </w:rPr>
      </w:pPr>
    </w:p>
    <w:p>
      <w:pPr>
        <w:ind w:left="-20" w:firstLine="656"/>
        <w:spacing w:after="0" w:line="282" w:lineRule="auto"/>
        <w:tabs>
          <w:tab w:leader="none" w:pos="821"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advance expenses, hold harmless or exoneration payment in connection with any claim made against Indemnitee:</w:t>
      </w:r>
    </w:p>
    <w:p>
      <w:pPr>
        <w:spacing w:after="0" w:line="166" w:lineRule="exact"/>
        <w:rPr>
          <w:sz w:val="20"/>
          <w:szCs w:val="20"/>
          <w:color w:val="auto"/>
        </w:rPr>
      </w:pPr>
    </w:p>
    <w:p>
      <w:pPr>
        <w:jc w:val="both"/>
        <w:ind w:left="-20" w:firstLine="656"/>
        <w:spacing w:after="0" w:line="263" w:lineRule="auto"/>
        <w:tabs>
          <w:tab w:leader="none" w:pos="87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58" w:name="page359"/>
    <w:bookmarkEnd w:id="358"/>
    <w:p>
      <w:pPr>
        <w:ind w:firstLine="656"/>
        <w:spacing w:after="0" w:line="277" w:lineRule="auto"/>
        <w:tabs>
          <w:tab w:leader="none" w:pos="91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89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Sections 14(f)-(g)</w:t>
      </w:r>
      <w:r>
        <w:rPr>
          <w:rFonts w:ascii="Arial" w:cs="Arial" w:eastAsia="Arial" w:hAnsi="Arial"/>
          <w:sz w:val="18"/>
          <w:szCs w:val="18"/>
          <w:color w:val="auto"/>
        </w:rPr>
        <w:t xml:space="preserve">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 Indemnitee shall seek payments or advances from the Company only to the extent that such payments or advances are unavailable from any insurance policy of the Company covering Indemnitee.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10. ADVANCES OF EXPENSES; DEFENSE OF CLAIM.</w:t>
      </w:r>
    </w:p>
    <w:p>
      <w:pPr>
        <w:spacing w:after="0" w:line="229" w:lineRule="exact"/>
        <w:rPr>
          <w:sz w:val="20"/>
          <w:szCs w:val="20"/>
          <w:color w:val="auto"/>
        </w:rPr>
      </w:pPr>
    </w:p>
    <w:p>
      <w:pPr>
        <w:jc w:val="both"/>
        <w:ind w:firstLine="656"/>
        <w:spacing w:after="0" w:line="287" w:lineRule="auto"/>
        <w:tabs>
          <w:tab w:leader="none" w:pos="892"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held harmless or exonerated by the Company under the provisions of this Agreement, the Charter, the Bylaws, applicable law or otherwise. This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shall not apply to any claim made by Indemnitee for which an indemnification, hold harmless or exoneration payment is excluded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w:t>
      </w:r>
    </w:p>
    <w:p>
      <w:pPr>
        <w:spacing w:after="0" w:line="167" w:lineRule="exact"/>
        <w:rPr>
          <w:rFonts w:ascii="Arial" w:cs="Arial" w:eastAsia="Arial" w:hAnsi="Arial"/>
          <w:sz w:val="16"/>
          <w:szCs w:val="16"/>
          <w:color w:val="auto"/>
        </w:rPr>
      </w:pPr>
    </w:p>
    <w:p>
      <w:pPr>
        <w:ind w:left="920" w:hanging="264"/>
        <w:spacing w:after="0"/>
        <w:tabs>
          <w:tab w:leader="none" w:pos="9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ind w:firstLine="656"/>
        <w:spacing w:after="0" w:line="277" w:lineRule="auto"/>
        <w:tabs>
          <w:tab w:leader="none" w:pos="892"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shall not settle any action, claim or Proceeding (in whole or in part) which would impose any Expense, judgment, liability, fine, penalty or limitation on Indemnitee without Indemnitee’s prior written consent.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 PROCEDURE FOR NOTIFICATION AND APPLICATION FOR INDEMNIFICATION.</w:t>
      </w:r>
    </w:p>
    <w:p>
      <w:pPr>
        <w:spacing w:after="0" w:line="229" w:lineRule="exact"/>
        <w:rPr>
          <w:sz w:val="20"/>
          <w:szCs w:val="20"/>
          <w:color w:val="auto"/>
        </w:rPr>
      </w:pPr>
    </w:p>
    <w:p>
      <w:pPr>
        <w:jc w:val="both"/>
        <w:ind w:firstLine="656"/>
        <w:spacing w:after="0" w:line="259" w:lineRule="auto"/>
        <w:tabs>
          <w:tab w:leader="none" w:pos="89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9" w:name="page360"/>
    <w:bookmarkEnd w:id="359"/>
    <w:p>
      <w:pPr>
        <w:jc w:val="both"/>
        <w:ind w:firstLine="656"/>
        <w:spacing w:after="0" w:line="259" w:lineRule="auto"/>
        <w:tabs>
          <w:tab w:leader="none" w:pos="91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12. PROCEDURE UPON APPLICATION FOR INDEMNIFICATION.</w:t>
      </w:r>
    </w:p>
    <w:p>
      <w:pPr>
        <w:spacing w:after="0" w:line="229" w:lineRule="exact"/>
        <w:rPr>
          <w:sz w:val="20"/>
          <w:szCs w:val="20"/>
          <w:color w:val="auto"/>
        </w:rPr>
      </w:pPr>
    </w:p>
    <w:p>
      <w:pPr>
        <w:jc w:val="both"/>
        <w:ind w:firstLine="656"/>
        <w:spacing w:after="0" w:line="286" w:lineRule="auto"/>
        <w:tabs>
          <w:tab w:leader="none" w:pos="89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(i) if no Change in Control has occurred (x) by a majority vote of the Disinterested Directors, even though less than a quorum of the Board, (y) by a committee of Disinterested Directors, even though less than a quorum of the Board, or (z) if there are no Disinterested Directors, or if such Disinterested Directors so direct, by Independent Counsel in a written opinion to the Board, a copy of which shall be delivered to Indemnitee; or (ii) if a Change in Control has occurred,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73" w:lineRule="exact"/>
        <w:rPr>
          <w:rFonts w:ascii="Arial" w:cs="Arial" w:eastAsia="Arial" w:hAnsi="Arial"/>
          <w:sz w:val="16"/>
          <w:szCs w:val="16"/>
          <w:color w:val="auto"/>
        </w:rPr>
      </w:pPr>
    </w:p>
    <w:p>
      <w:pPr>
        <w:jc w:val="both"/>
        <w:ind w:firstLine="656"/>
        <w:spacing w:after="0" w:line="285" w:lineRule="auto"/>
        <w:tabs>
          <w:tab w:leader="none" w:pos="90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In the event the determination of entitlement to indemnification is to be made by Independent Counsel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If the Independent Counsel is selected by the Board, the Company shall give written notice to Indemnitee advising Indemnitee of the identity of the Independent Counsel so selected and certifying that the Independent Counsel so selected meets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11(b)</w:t>
      </w:r>
      <w:r>
        <w:rPr>
          <w:rFonts w:ascii="Arial" w:cs="Arial" w:eastAsia="Arial" w:hAnsi="Arial"/>
          <w:sz w:val="16"/>
          <w:szCs w:val="16"/>
          <w:color w:val="auto"/>
        </w:rPr>
        <w:t xml:space="preserve">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hereof. Upon the due commencement of any judicial proceeding or arbitration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Independent Counsel shall be discharged and relieved of any further responsibility in such capacity (subject to the applicable standards of professional conduct then prevailing).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0" w:name="page361"/>
    <w:bookmarkEnd w:id="360"/>
    <w:p>
      <w:pPr>
        <w:jc w:val="both"/>
        <w:ind w:firstLine="656"/>
        <w:spacing w:after="0" w:line="263" w:lineRule="auto"/>
        <w:tabs>
          <w:tab w:leader="none" w:pos="91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13. PRESUMPTIONS AND EFFECT OF CERTAIN PROCEEDINGS.</w:t>
      </w:r>
    </w:p>
    <w:p>
      <w:pPr>
        <w:spacing w:after="0" w:line="229" w:lineRule="exact"/>
        <w:rPr>
          <w:sz w:val="20"/>
          <w:szCs w:val="20"/>
          <w:color w:val="auto"/>
        </w:rPr>
      </w:pPr>
    </w:p>
    <w:p>
      <w:pPr>
        <w:jc w:val="both"/>
        <w:ind w:firstLine="656"/>
        <w:spacing w:after="0" w:line="271" w:lineRule="auto"/>
        <w:tabs>
          <w:tab w:leader="none" w:pos="89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91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If the person, persons or entity empowered or selected under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178" w:lineRule="exact"/>
        <w:rPr>
          <w:rFonts w:ascii="Arial" w:cs="Arial" w:eastAsia="Arial" w:hAnsi="Arial"/>
          <w:sz w:val="17"/>
          <w:szCs w:val="17"/>
          <w:color w:val="auto"/>
        </w:rPr>
      </w:pPr>
    </w:p>
    <w:p>
      <w:pPr>
        <w:jc w:val="both"/>
        <w:ind w:firstLine="656"/>
        <w:spacing w:after="0" w:line="257" w:lineRule="auto"/>
        <w:tabs>
          <w:tab w:leader="none" w:pos="89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jc w:val="both"/>
        <w:ind w:firstLine="656"/>
        <w:spacing w:after="0" w:line="253" w:lineRule="auto"/>
        <w:tabs>
          <w:tab w:leader="none" w:pos="90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trustees, general partners, managers or managing members of the Enterprise in the course of their duties, or on the advice of legal counsel for the Enterprise, its Board, any committee of the Board or any director, trustee, general partner, manager or managing member of the Enterprise, or on information or records given or reports made to the Enterprise, its Board, any committee of the Board or any director, trustee, general partner, manager or managing member of the Enterprise, by an independent certified public accountant or by an appraiser or other expert selected by the Enterprise, its Board, any committee of the Board or any director, trustee, general partner, manager or managing member. The provisions of this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shall not be deemed to be exclusive or to limit in any way the other circumstances in which Indemnitee may be deemed or found to have met the applicable standard of conduct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1" w:name="page362"/>
    <w:bookmarkEnd w:id="361"/>
    <w:p>
      <w:pPr>
        <w:ind w:firstLine="656"/>
        <w:spacing w:after="0" w:line="308" w:lineRule="auto"/>
        <w:tabs>
          <w:tab w:leader="none" w:pos="89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14. REMEDIES OF INDEMNITEE.</w:t>
      </w:r>
    </w:p>
    <w:p>
      <w:pPr>
        <w:spacing w:after="0" w:line="229" w:lineRule="exact"/>
        <w:rPr>
          <w:sz w:val="20"/>
          <w:szCs w:val="20"/>
          <w:color w:val="auto"/>
        </w:rPr>
      </w:pPr>
    </w:p>
    <w:p>
      <w:pPr>
        <w:jc w:val="both"/>
        <w:ind w:firstLine="656"/>
        <w:spacing w:after="0" w:line="287" w:lineRule="auto"/>
        <w:tabs>
          <w:tab w:leader="none" w:pos="89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 the event that (i) a determination is made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this Agreement that Indemnitee is not entitled to indemnification under this Agreement, (ii) advancement of Expenses, to the fullest extent permitted by applicable law, is not timely made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Agreement, (iii) no determination of entitlement to indemnification shall have been made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thirty (30) days after receipt by the Company of the request for indemnification, (iv) payment of indemnification is not made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of this Agreement within ten (10) days after receipt by the Company of a written request therefor, (v) a contribution payment is not made in a timely manner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(vi) payment of indemnification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w:t>
      </w:r>
      <w:r>
        <w:rPr>
          <w:rFonts w:ascii="Arial" w:cs="Arial" w:eastAsia="Arial" w:hAnsi="Arial"/>
          <w:sz w:val="16"/>
          <w:szCs w:val="16"/>
          <w:color w:val="auto"/>
        </w:rPr>
        <w:t xml:space="preserve">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Indemnitee shall be entitled to an adjudication by the Delaware Court to such indemnification, hold harmless, exoneration, contribution or advancement rights. Alternatively, Indemnitee, at Indemnitee’s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9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In the event that a determination shall have been made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of this Agreement that Indemnitee is not entitled to indemnification,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conducted in all respects as a de novo trial, or arbitration, on the merits and Indemnitee shall not be prejudiced by reason of that adverse determination.</w:t>
      </w:r>
    </w:p>
    <w:p>
      <w:pPr>
        <w:spacing w:after="0" w:line="183" w:lineRule="exact"/>
        <w:rPr>
          <w:rFonts w:ascii="Arial" w:cs="Arial" w:eastAsia="Arial" w:hAnsi="Arial"/>
          <w:sz w:val="18"/>
          <w:szCs w:val="18"/>
          <w:color w:val="auto"/>
        </w:rPr>
      </w:pPr>
    </w:p>
    <w:p>
      <w:pPr>
        <w:jc w:val="both"/>
        <w:ind w:firstLine="656"/>
        <w:spacing w:after="0" w:line="272" w:lineRule="auto"/>
        <w:tabs>
          <w:tab w:leader="none" w:pos="89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be presumed to be entitled to be indemnified, held harmless, and exonerated and to receive advancement of Expenses under this Agreement and the Company shall have the burden of proving Indemnitee is not entitled to be indemnified, held harmless, and exonerated and to receive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Agreement until a final determination is made with respect to Indemnitee’s entitlement to indemnification (as to which all rights of appeal have been exhausted or lapsed).</w:t>
      </w:r>
    </w:p>
    <w:p>
      <w:pPr>
        <w:spacing w:after="0" w:line="177" w:lineRule="exact"/>
        <w:rPr>
          <w:rFonts w:ascii="Arial" w:cs="Arial" w:eastAsia="Arial" w:hAnsi="Arial"/>
          <w:sz w:val="17"/>
          <w:szCs w:val="17"/>
          <w:color w:val="auto"/>
        </w:rPr>
      </w:pPr>
    </w:p>
    <w:p>
      <w:pPr>
        <w:jc w:val="both"/>
        <w:ind w:firstLine="656"/>
        <w:spacing w:after="0" w:line="279" w:lineRule="auto"/>
        <w:tabs>
          <w:tab w:leader="none" w:pos="93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a determination shall have been made pursuant to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2" w:name="page363"/>
    <w:bookmarkEnd w:id="362"/>
    <w:p>
      <w:pPr>
        <w:jc w:val="both"/>
        <w:ind w:firstLine="656"/>
        <w:spacing w:after="0" w:line="263" w:lineRule="auto"/>
        <w:tabs>
          <w:tab w:leader="none" w:pos="90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Company shall be precluded from asserting in any judicial proceeding or arbitration commenced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83" w:lineRule="exact"/>
        <w:rPr>
          <w:rFonts w:ascii="Arial" w:cs="Arial" w:eastAsia="Arial" w:hAnsi="Arial"/>
          <w:sz w:val="18"/>
          <w:szCs w:val="18"/>
          <w:color w:val="auto"/>
        </w:rPr>
      </w:pPr>
    </w:p>
    <w:p>
      <w:pPr>
        <w:jc w:val="both"/>
        <w:ind w:firstLine="656"/>
        <w:spacing w:after="0" w:line="271" w:lineRule="auto"/>
        <w:tabs>
          <w:tab w:leader="none" w:pos="873"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78" w:lineRule="exact"/>
        <w:rPr>
          <w:rFonts w:ascii="Arial" w:cs="Arial" w:eastAsia="Arial" w:hAnsi="Arial"/>
          <w:sz w:val="17"/>
          <w:szCs w:val="17"/>
          <w:color w:val="auto"/>
        </w:rPr>
      </w:pPr>
    </w:p>
    <w:p>
      <w:pPr>
        <w:jc w:val="both"/>
        <w:ind w:firstLine="656"/>
        <w:spacing w:after="0" w:line="259" w:lineRule="auto"/>
        <w:tabs>
          <w:tab w:leader="none" w:pos="90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 made to Indemnitee by the Company.</w:t>
      </w:r>
    </w:p>
    <w:p>
      <w:pPr>
        <w:spacing w:after="0" w:line="183" w:lineRule="exact"/>
        <w:rPr>
          <w:sz w:val="20"/>
          <w:szCs w:val="20"/>
          <w:color w:val="auto"/>
        </w:rPr>
      </w:pPr>
    </w:p>
    <w:p>
      <w:pPr>
        <w:jc w:val="both"/>
        <w:ind w:firstLine="656"/>
        <w:spacing w:after="0" w:line="261" w:lineRule="auto"/>
        <w:tabs>
          <w:tab w:leader="none" w:pos="945"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Notwithstanding anything herein to the contrary, except 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requested by Indemnitee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179" w:lineRule="exact"/>
        <w:rPr>
          <w:rFonts w:ascii="Arial" w:cs="Arial" w:eastAsia="Arial" w:hAnsi="Arial"/>
          <w:sz w:val="18"/>
          <w:szCs w:val="18"/>
          <w:b w:val="1"/>
          <w:bCs w:val="1"/>
          <w:color w:val="auto"/>
        </w:rPr>
      </w:pPr>
    </w:p>
    <w:p>
      <w:pPr>
        <w:ind w:left="920" w:hanging="264"/>
        <w:spacing w:after="0"/>
        <w:tabs>
          <w:tab w:leader="none" w:pos="92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SUBROGATION.</w:t>
      </w:r>
    </w:p>
    <w:p>
      <w:pPr>
        <w:spacing w:after="0" w:line="229" w:lineRule="exact"/>
        <w:rPr>
          <w:sz w:val="20"/>
          <w:szCs w:val="20"/>
          <w:color w:val="auto"/>
        </w:rPr>
      </w:pPr>
    </w:p>
    <w:p>
      <w:pPr>
        <w:jc w:val="both"/>
        <w:ind w:firstLine="656"/>
        <w:spacing w:after="0" w:line="269" w:lineRule="auto"/>
        <w:tabs>
          <w:tab w:leader="none" w:pos="89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Indemnitee’s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3" w:name="page364"/>
    <w:bookmarkEnd w:id="363"/>
    <w:p>
      <w:pPr>
        <w:jc w:val="both"/>
        <w:ind w:firstLine="656"/>
        <w:spacing w:after="0" w:line="290" w:lineRule="auto"/>
        <w:tabs>
          <w:tab w:leader="none" w:pos="903"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6"/>
          <w:szCs w:val="16"/>
          <w:b w:val="1"/>
          <w:bCs w:val="1"/>
          <w:i w:val="1"/>
          <w:iCs w:val="1"/>
          <w:color w:val="auto"/>
        </w:rPr>
        <w:t>Indemnification Arrangements</w:t>
      </w:r>
      <w:r>
        <w:rPr>
          <w:rFonts w:ascii="Arial" w:cs="Arial" w:eastAsia="Arial" w:hAnsi="Arial"/>
          <w:sz w:val="16"/>
          <w:szCs w:val="16"/>
          <w:i w:val="1"/>
          <w:iCs w:val="1"/>
          <w:color w:val="auto"/>
        </w:rPr>
        <w:t>”</w:t>
      </w:r>
      <w:r>
        <w:rPr>
          <w:rFonts w:ascii="Arial" w:cs="Arial" w:eastAsia="Arial" w:hAnsi="Arial"/>
          <w:sz w:val="16"/>
          <w:szCs w:val="16"/>
          <w:color w:val="auto"/>
        </w:rPr>
        <w:t xml:space="preserve"> on behalf of Indemnitee against any liability asserted against Indemnitee or incurred by or on behalf of Indemnitee or in such capacity as a director, officer, employee or agent of the Company, or arising out of Indemnitee’s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65" w:lineRule="exact"/>
        <w:rPr>
          <w:rFonts w:ascii="Arial" w:cs="Arial" w:eastAsia="Arial" w:hAnsi="Arial"/>
          <w:sz w:val="16"/>
          <w:szCs w:val="16"/>
          <w:color w:val="auto"/>
        </w:rPr>
      </w:pPr>
    </w:p>
    <w:p>
      <w:pPr>
        <w:jc w:val="both"/>
        <w:ind w:firstLine="656"/>
        <w:spacing w:after="0" w:line="290" w:lineRule="auto"/>
        <w:tabs>
          <w:tab w:leader="none" w:pos="89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165" w:lineRule="exact"/>
        <w:rPr>
          <w:rFonts w:ascii="Arial" w:cs="Arial" w:eastAsia="Arial" w:hAnsi="Arial"/>
          <w:sz w:val="16"/>
          <w:szCs w:val="16"/>
          <w:color w:val="auto"/>
        </w:rPr>
      </w:pPr>
    </w:p>
    <w:p>
      <w:pPr>
        <w:jc w:val="both"/>
        <w:ind w:right="20" w:firstLine="656"/>
        <w:spacing w:after="0" w:line="263" w:lineRule="auto"/>
        <w:tabs>
          <w:tab w:leader="none" w:pos="90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83" w:lineRule="exact"/>
        <w:rPr>
          <w:rFonts w:ascii="Arial" w:cs="Arial" w:eastAsia="Arial" w:hAnsi="Arial"/>
          <w:sz w:val="18"/>
          <w:szCs w:val="18"/>
          <w:color w:val="auto"/>
        </w:rPr>
      </w:pPr>
    </w:p>
    <w:p>
      <w:pPr>
        <w:jc w:val="both"/>
        <w:ind w:firstLine="656"/>
        <w:spacing w:after="0" w:line="268" w:lineRule="auto"/>
        <w:tabs>
          <w:tab w:leader="none" w:pos="906"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Company acknowledges that to the extent Indemnitee is serving as a director on the Company’s board of directors at the request or direction of a private equity or venture capital fund or other entity and/or certain of its affiliates (collectively, the “</w:t>
      </w:r>
      <w:r>
        <w:rPr>
          <w:rFonts w:ascii="Arial" w:cs="Arial" w:eastAsia="Arial" w:hAnsi="Arial"/>
          <w:sz w:val="17"/>
          <w:szCs w:val="17"/>
          <w:b w:val="1"/>
          <w:bCs w:val="1"/>
          <w:i w:val="1"/>
          <w:iCs w:val="1"/>
          <w:color w:val="auto"/>
        </w:rPr>
        <w:t>Secondary Indemnitors</w:t>
      </w:r>
      <w:r>
        <w:rPr>
          <w:rFonts w:ascii="Arial" w:cs="Arial" w:eastAsia="Arial" w:hAnsi="Arial"/>
          <w:sz w:val="17"/>
          <w:szCs w:val="17"/>
          <w:color w:val="auto"/>
        </w:rPr>
        <w:t xml:space="preserve">”),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w:t>
      </w: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w:t>
      </w:r>
      <w:r>
        <w:rPr>
          <w:rFonts w:ascii="Arial" w:cs="Arial" w:eastAsia="Arial" w:hAnsi="Arial"/>
          <w:sz w:val="17"/>
          <w:szCs w:val="17"/>
          <w:u w:val="single" w:color="auto"/>
          <w:color w:val="auto"/>
        </w:rPr>
        <w:t>Section 9(e)</w:t>
      </w:r>
      <w:r>
        <w:rPr>
          <w:rFonts w:ascii="Arial" w:cs="Arial" w:eastAsia="Arial" w:hAnsi="Arial"/>
          <w:sz w:val="17"/>
          <w:szCs w:val="17"/>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4" w:name="page365"/>
    <w:bookmarkEnd w:id="364"/>
    <w:p>
      <w:pPr>
        <w:jc w:val="both"/>
        <w:ind w:firstLine="656"/>
        <w:spacing w:after="0" w:line="284" w:lineRule="auto"/>
        <w:tabs>
          <w:tab w:leader="none" w:pos="87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w:t>
      </w:r>
      <w:r>
        <w:rPr>
          <w:rFonts w:ascii="Arial" w:cs="Arial" w:eastAsia="Arial" w:hAnsi="Arial"/>
          <w:sz w:val="16"/>
          <w:szCs w:val="16"/>
          <w:u w:val="single" w:color="auto"/>
          <w:color w:val="auto"/>
        </w:rPr>
        <w:t>Section 27</w:t>
      </w:r>
      <w:r>
        <w:rPr>
          <w:rFonts w:ascii="Arial" w:cs="Arial" w:eastAsia="Arial" w:hAnsi="Arial"/>
          <w:sz w:val="16"/>
          <w:szCs w:val="16"/>
          <w:color w:val="auto"/>
        </w:rPr>
        <w:t>,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w:t>
      </w:r>
    </w:p>
    <w:p>
      <w:pPr>
        <w:spacing w:after="0" w:line="4" w:lineRule="exact"/>
        <w:rPr>
          <w:rFonts w:ascii="Arial" w:cs="Arial" w:eastAsia="Arial" w:hAnsi="Arial"/>
          <w:sz w:val="16"/>
          <w:szCs w:val="16"/>
          <w:color w:val="auto"/>
        </w:rPr>
      </w:pPr>
    </w:p>
    <w:p>
      <w:pPr>
        <w:ind w:firstLine="8"/>
        <w:spacing w:after="0" w:line="323" w:lineRule="auto"/>
        <w:tabs>
          <w:tab w:leader="none" w:pos="28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34" w:lineRule="exact"/>
        <w:rPr>
          <w:sz w:val="20"/>
          <w:szCs w:val="20"/>
          <w:color w:val="auto"/>
        </w:rPr>
      </w:pPr>
    </w:p>
    <w:p>
      <w:pPr>
        <w:jc w:val="both"/>
        <w:ind w:firstLine="656"/>
        <w:spacing w:after="0" w:line="255" w:lineRule="auto"/>
        <w:tabs>
          <w:tab w:leader="none" w:pos="958"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 All agreements and obligations of the Company contained herein shall continue during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this Agreement) by reason of Indemnitee’s Corporate Status, whether or not Indemnitee is acting in any such capacity at the time any liability or expense is incurred for which indemnification or advancement can be provided under this Agreement.</w:t>
      </w:r>
    </w:p>
    <w:p>
      <w:pPr>
        <w:spacing w:after="0" w:line="188" w:lineRule="exact"/>
        <w:rPr>
          <w:rFonts w:ascii="Arial" w:cs="Arial" w:eastAsia="Arial" w:hAnsi="Arial"/>
          <w:sz w:val="18"/>
          <w:szCs w:val="18"/>
          <w:b w:val="1"/>
          <w:bCs w:val="1"/>
          <w:color w:val="auto"/>
        </w:rPr>
      </w:pPr>
    </w:p>
    <w:p>
      <w:pPr>
        <w:ind w:left="960" w:hanging="304"/>
        <w:spacing w:after="0"/>
        <w:tabs>
          <w:tab w:leader="none" w:pos="960"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or provisions of this Agreement shall be held to be invalid, illegal or unenforceable for any reason</w:t>
      </w:r>
    </w:p>
    <w:p>
      <w:pPr>
        <w:spacing w:after="0" w:line="38" w:lineRule="exact"/>
        <w:rPr>
          <w:rFonts w:ascii="Arial" w:cs="Arial" w:eastAsia="Arial" w:hAnsi="Arial"/>
          <w:sz w:val="17"/>
          <w:szCs w:val="17"/>
          <w:b w:val="1"/>
          <w:bCs w:val="1"/>
          <w:color w:val="auto"/>
        </w:rPr>
      </w:pPr>
    </w:p>
    <w:p>
      <w:pPr>
        <w:jc w:val="both"/>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Arial" w:cs="Arial" w:eastAsia="Arial" w:hAnsi="Arial"/>
          <w:sz w:val="17"/>
          <w:szCs w:val="17"/>
          <w:b w:val="1"/>
          <w:bCs w:val="1"/>
          <w:color w:val="auto"/>
        </w:rPr>
      </w:pPr>
    </w:p>
    <w:p>
      <w:pPr>
        <w:ind w:left="920" w:hanging="264"/>
        <w:spacing w:after="0"/>
        <w:tabs>
          <w:tab w:leader="none" w:pos="92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 AND BINDING EFFECT.</w:t>
      </w:r>
    </w:p>
    <w:p>
      <w:pPr>
        <w:spacing w:after="0" w:line="229" w:lineRule="exact"/>
        <w:rPr>
          <w:sz w:val="20"/>
          <w:szCs w:val="20"/>
          <w:color w:val="auto"/>
        </w:rPr>
      </w:pPr>
    </w:p>
    <w:p>
      <w:pPr>
        <w:jc w:val="both"/>
        <w:ind w:firstLine="656"/>
        <w:spacing w:after="0" w:line="263" w:lineRule="auto"/>
        <w:tabs>
          <w:tab w:leader="none" w:pos="89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5" w:name="page366"/>
    <w:bookmarkEnd w:id="365"/>
    <w:p>
      <w:pPr>
        <w:jc w:val="both"/>
        <w:ind w:firstLine="656"/>
        <w:spacing w:after="0" w:line="273" w:lineRule="auto"/>
        <w:tabs>
          <w:tab w:leader="none" w:pos="892"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Indemnitee’s spouse, assigns, heirs, devisees, executors and administrators and other legal representatives.</w:t>
      </w:r>
    </w:p>
    <w:p>
      <w:pPr>
        <w:spacing w:after="0" w:line="177" w:lineRule="exact"/>
        <w:rPr>
          <w:rFonts w:ascii="Arial" w:cs="Arial" w:eastAsia="Arial" w:hAnsi="Arial"/>
          <w:sz w:val="17"/>
          <w:szCs w:val="17"/>
          <w:color w:val="auto"/>
        </w:rPr>
      </w:pPr>
    </w:p>
    <w:p>
      <w:pPr>
        <w:jc w:val="both"/>
        <w:ind w:firstLine="656"/>
        <w:spacing w:after="0" w:line="259" w:lineRule="auto"/>
        <w:tabs>
          <w:tab w:leader="none" w:pos="93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656"/>
        <w:spacing w:after="0" w:line="289" w:lineRule="auto"/>
        <w:tabs>
          <w:tab w:leader="none" w:pos="90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The Company hereby waives any such requirement of such a bond or undertaking to the fullest extent permitted by law.</w:t>
      </w:r>
    </w:p>
    <w:p>
      <w:pPr>
        <w:spacing w:after="0" w:line="162" w:lineRule="exact"/>
        <w:rPr>
          <w:sz w:val="20"/>
          <w:szCs w:val="20"/>
          <w:color w:val="auto"/>
        </w:rPr>
      </w:pPr>
    </w:p>
    <w:p>
      <w:pPr>
        <w:jc w:val="both"/>
        <w:ind w:firstLine="656"/>
        <w:spacing w:after="0" w:line="266" w:lineRule="auto"/>
        <w:tabs>
          <w:tab w:leader="none" w:pos="945"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of this Agreement shall be binding unless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the Company and Indemnitee. No waiver of any of the provisions of this Agreement shall be deemed or shall constitute a waiver of any other provisions of this Agreement nor shall any waiver constitute a continuing waiver.</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918" w:val="left"/>
        </w:tabs>
        <w:numPr>
          <w:ilvl w:val="0"/>
          <w:numId w:val="273"/>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on such delivery, or (ii) mailed by certified or registered mail with postage prepaid, on the third (3rd) business day after the date on which it is so mailed:</w:t>
      </w:r>
    </w:p>
    <w:p>
      <w:pPr>
        <w:spacing w:after="0" w:line="162" w:lineRule="exact"/>
        <w:rPr>
          <w:sz w:val="20"/>
          <w:szCs w:val="20"/>
          <w:color w:val="auto"/>
        </w:rPr>
      </w:pPr>
    </w:p>
    <w:p>
      <w:pPr>
        <w:ind w:right="20" w:firstLine="656"/>
        <w:spacing w:after="0" w:line="277" w:lineRule="auto"/>
        <w:tabs>
          <w:tab w:leader="none" w:pos="89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Corvex Management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Eli Casdin and Brian Emes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eli@casdincapital.com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bemes@corvexcap.com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6" w:name="page367"/>
    <w:bookmarkEnd w:id="366"/>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Joel Rubinstein,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(212) 354-8113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1304"/>
        <w:spacing w:after="0" w:line="285" w:lineRule="auto"/>
        <w:tabs>
          <w:tab w:leader="none" w:pos="1579" w:val="left"/>
        </w:tabs>
        <w:numPr>
          <w:ilvl w:val="2"/>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AND CONSENT TO JURISDICTION</w:t>
      </w:r>
      <w:r>
        <w:rPr>
          <w:rFonts w:ascii="Arial" w:cs="Arial" w:eastAsia="Arial" w:hAnsi="Arial"/>
          <w:sz w:val="16"/>
          <w:szCs w:val="16"/>
          <w:color w:val="auto"/>
        </w:rPr>
        <w:t>. This Agreement and the legal relations among the parties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governed by, and construed and enforced in accordance with, the laws of the State of Delaware, without regard to its conflict of laws rules. Except with respect to any arbitration commenced by Indemnitee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25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or in such other manner as may be permitted by law, shall be valid and sufficient service thereof.</w:t>
      </w:r>
    </w:p>
    <w:p>
      <w:pPr>
        <w:spacing w:after="0" w:line="186" w:lineRule="exact"/>
        <w:rPr>
          <w:rFonts w:ascii="Arial" w:cs="Arial" w:eastAsia="Arial" w:hAnsi="Arial"/>
          <w:sz w:val="18"/>
          <w:szCs w:val="18"/>
          <w:color w:val="auto"/>
        </w:rPr>
      </w:pPr>
    </w:p>
    <w:p>
      <w:pPr>
        <w:jc w:val="both"/>
        <w:ind w:firstLine="656"/>
        <w:spacing w:after="0" w:line="266" w:lineRule="auto"/>
        <w:tabs>
          <w:tab w:leader="none" w:pos="931"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945"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Use of the masculine pronoun shall be deemed to include usage of the feminine pronoun where appropriate.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headings of the paragraphs of this Agreement are inserted for convenience only and shall not be deemed to constitute part of this Agreement or to affect the construction thereof.</w:t>
      </w:r>
    </w:p>
    <w:p>
      <w:pPr>
        <w:spacing w:after="0" w:line="175" w:lineRule="exact"/>
        <w:rPr>
          <w:rFonts w:ascii="Arial" w:cs="Arial" w:eastAsia="Arial" w:hAnsi="Arial"/>
          <w:sz w:val="18"/>
          <w:szCs w:val="18"/>
          <w:b w:val="1"/>
          <w:bCs w:val="1"/>
          <w:color w:val="auto"/>
        </w:rPr>
      </w:pPr>
    </w:p>
    <w:p>
      <w:pPr>
        <w:jc w:val="both"/>
        <w:ind w:firstLine="656"/>
        <w:spacing w:after="0" w:line="258" w:lineRule="auto"/>
        <w:tabs>
          <w:tab w:leader="none" w:pos="918"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LIMITATIONS</w:t>
      </w:r>
      <w:r>
        <w:rPr>
          <w:rFonts w:ascii="Arial" w:cs="Arial" w:eastAsia="Arial" w:hAnsi="Arial"/>
          <w:sz w:val="18"/>
          <w:szCs w:val="18"/>
          <w:color w:val="auto"/>
        </w:rPr>
        <w:t>. No legal action shall be brought and no cause of action shall be asserted by or in the right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Arial" w:cs="Arial" w:eastAsia="Arial" w:hAnsi="Arial"/>
          <w:sz w:val="18"/>
          <w:szCs w:val="18"/>
          <w:b w:val="1"/>
          <w:bCs w:val="1"/>
          <w:color w:val="auto"/>
        </w:rPr>
      </w:pPr>
    </w:p>
    <w:p>
      <w:pPr>
        <w:jc w:val="both"/>
        <w:ind w:firstLine="656"/>
        <w:spacing w:after="0" w:line="266" w:lineRule="auto"/>
        <w:tabs>
          <w:tab w:leader="none" w:pos="931"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ACTS</w:t>
      </w:r>
      <w:r>
        <w:rPr>
          <w:rFonts w:ascii="Arial" w:cs="Arial" w:eastAsia="Arial" w:hAnsi="Arial"/>
          <w:sz w:val="18"/>
          <w:szCs w:val="18"/>
          <w:color w:val="auto"/>
        </w:rPr>
        <w:t>. If for the validation of any of the provisions in this Agreement any act, resolution, approval or other procedure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7" w:name="page368"/>
    <w:bookmarkEnd w:id="367"/>
    <w:p>
      <w:pPr>
        <w:jc w:val="both"/>
        <w:ind w:firstLine="656"/>
        <w:spacing w:after="0" w:line="258" w:lineRule="auto"/>
        <w:tabs>
          <w:tab w:leader="none" w:pos="918"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CLAIMS TO TRUST ACCOUNT</w:t>
      </w:r>
      <w:r>
        <w:rPr>
          <w:rFonts w:ascii="Arial" w:cs="Arial" w:eastAsia="Arial" w:hAnsi="Arial"/>
          <w:sz w:val="18"/>
          <w:szCs w:val="18"/>
          <w:color w:val="auto"/>
        </w:rPr>
        <w:t>. Notwithstanding anything contained herein to the contrary, Indemnitee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have any right, title, interest or claim of any kind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monies in the trust account established in connection with the Company’s initial public offering for the benefit of the Company and holders of shares issued in such offering, and hereby waives any Claim it may have in the future as a result of, or arising out of, any services provided to the Company and will not seek recourse against such trust account for any reason whatsoever.</w:t>
      </w:r>
    </w:p>
    <w:p>
      <w:pPr>
        <w:spacing w:after="0" w:line="183" w:lineRule="exact"/>
        <w:rPr>
          <w:rFonts w:ascii="Arial" w:cs="Arial" w:eastAsia="Arial" w:hAnsi="Arial"/>
          <w:sz w:val="18"/>
          <w:szCs w:val="18"/>
          <w:b w:val="1"/>
          <w:bCs w:val="1"/>
          <w:color w:val="auto"/>
        </w:rPr>
      </w:pPr>
    </w:p>
    <w:p>
      <w:pPr>
        <w:jc w:val="both"/>
        <w:ind w:firstLine="656"/>
        <w:spacing w:after="0" w:line="273" w:lineRule="auto"/>
        <w:tabs>
          <w:tab w:leader="none" w:pos="931"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INSURANCE</w:t>
      </w:r>
      <w:r>
        <w:rPr>
          <w:rFonts w:ascii="Arial" w:cs="Arial" w:eastAsia="Arial" w:hAnsi="Arial"/>
          <w:sz w:val="17"/>
          <w:szCs w:val="17"/>
          <w:color w:val="auto"/>
        </w:rPr>
        <w:t>. The Company shall use commercially reasonable efforts to obtain and maintain in effect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color w:val="auto"/>
        </w:rPr>
        <w:t>IN WITNESS WHEREOF, the parties hereto have caused this Indemnity Agreement to be signed as of the day and year first above written.</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CM LIFE SCIENCES, INC.</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INDEMNITEE: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40"/>
          </w:cols>
          <w:pgMar w:left="980" w:top="908" w:right="879" w:bottom="1440" w:gutter="0" w:footer="0" w:header="0"/>
        </w:sectPr>
      </w:pPr>
    </w:p>
    <w:bookmarkStart w:id="369" w:name="page370"/>
    <w:bookmarkEnd w:id="369"/>
    <w:p>
      <w:pPr>
        <w:ind w:left="10320"/>
        <w:spacing w:after="0"/>
        <w:rPr>
          <w:sz w:val="20"/>
          <w:szCs w:val="20"/>
          <w:color w:val="auto"/>
        </w:rPr>
      </w:pPr>
      <w:r>
        <w:rPr>
          <w:rFonts w:ascii="Arial" w:cs="Arial" w:eastAsia="Arial" w:hAnsi="Arial"/>
          <w:sz w:val="16"/>
          <w:szCs w:val="16"/>
          <w:b w:val="1"/>
          <w:bCs w:val="1"/>
          <w:color w:val="auto"/>
        </w:rPr>
        <w:t>Exhibit 10.6</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Principal Amount: $300,000</w:t>
      </w:r>
      <w:r>
        <w:rPr>
          <w:sz w:val="20"/>
          <w:szCs w:val="20"/>
          <w:color w:val="auto"/>
        </w:rPr>
        <w:tab/>
      </w:r>
      <w:r>
        <w:rPr>
          <w:rFonts w:ascii="Arial" w:cs="Arial" w:eastAsia="Arial" w:hAnsi="Arial"/>
          <w:sz w:val="16"/>
          <w:szCs w:val="16"/>
          <w:color w:val="auto"/>
        </w:rPr>
        <w:t>Dated as of July 16, 2020</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CM Life Sciences,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CMLS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Three Hundred Thousand Dollars ($300,000) or such lesser amount as shall have been advanced to Payee to Maker and shall remain unpaid under this Note on the Maturity Date (as defined below)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7" w:lineRule="exact"/>
        <w:rPr>
          <w:sz w:val="20"/>
          <w:szCs w:val="20"/>
          <w:color w:val="auto"/>
        </w:rPr>
      </w:pPr>
    </w:p>
    <w:p>
      <w:pPr>
        <w:jc w:val="both"/>
        <w:ind w:firstLine="332"/>
        <w:spacing w:after="0" w:line="261" w:lineRule="auto"/>
        <w:tabs>
          <w:tab w:leader="none" w:pos="50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entire unpaid principal balance of this Note shall be payable on the earlier of: (i) December 31, 2020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(such earlier date, the “</w:t>
      </w:r>
      <w:r>
        <w:rPr>
          <w:rFonts w:ascii="Arial" w:cs="Arial" w:eastAsia="Arial" w:hAnsi="Arial"/>
          <w:sz w:val="18"/>
          <w:szCs w:val="18"/>
          <w:b w:val="1"/>
          <w:bCs w:val="1"/>
          <w:color w:val="auto"/>
        </w:rPr>
        <w:t>Maturity Date</w:t>
      </w:r>
      <w:r>
        <w:rPr>
          <w:rFonts w:ascii="Arial" w:cs="Arial" w:eastAsia="Arial" w:hAnsi="Arial"/>
          <w:sz w:val="18"/>
          <w:szCs w:val="18"/>
          <w:color w:val="auto"/>
        </w:rPr>
        <w:t>”). The principal balance may be prepaid at any time. Under no circumstances shall any individual, including but not limited to any officer, director, employee or stockholder of the Maker, be obligated personally for any obligations or liabilities of the Maker hereunder.</w:t>
      </w:r>
    </w:p>
    <w:p>
      <w:pPr>
        <w:spacing w:after="0" w:line="179" w:lineRule="exact"/>
        <w:rPr>
          <w:rFonts w:ascii="Arial" w:cs="Arial" w:eastAsia="Arial" w:hAnsi="Arial"/>
          <w:sz w:val="18"/>
          <w:szCs w:val="18"/>
          <w:color w:val="auto"/>
        </w:rPr>
      </w:pPr>
    </w:p>
    <w:p>
      <w:pPr>
        <w:jc w:val="both"/>
        <w:ind w:firstLine="332"/>
        <w:spacing w:after="0" w:line="273" w:lineRule="auto"/>
        <w:tabs>
          <w:tab w:leader="none" w:pos="517" w:val="left"/>
        </w:tabs>
        <w:numPr>
          <w:ilvl w:val="0"/>
          <w:numId w:val="278"/>
        </w:numPr>
        <w:rPr>
          <w:rFonts w:ascii="Arial" w:cs="Arial" w:eastAsia="Arial" w:hAnsi="Arial"/>
          <w:sz w:val="17"/>
          <w:szCs w:val="17"/>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from time to time, up to Three Hundred Thousand Dollars ($300,000) in</w:t>
      </w:r>
      <w:r>
        <w:rPr>
          <w:rFonts w:ascii="Arial" w:cs="Arial" w:eastAsia="Arial" w:hAnsi="Arial"/>
          <w:sz w:val="17"/>
          <w:szCs w:val="17"/>
          <w:b w:val="1"/>
          <w:bCs w:val="1"/>
          <w:color w:val="auto"/>
        </w:rPr>
        <w:t xml:space="preserve"> </w:t>
      </w:r>
      <w:r>
        <w:rPr>
          <w:rFonts w:ascii="Arial" w:cs="Arial" w:eastAsia="Arial" w:hAnsi="Arial"/>
          <w:sz w:val="17"/>
          <w:szCs w:val="17"/>
          <w:color w:val="auto"/>
        </w:rPr>
        <w:t>drawdowns under this Note to be used for costs and expenses related to Maker’s formation and the proposed initial public offering of its securities (the “</w:t>
      </w:r>
      <w:r>
        <w:rPr>
          <w:rFonts w:ascii="Arial" w:cs="Arial" w:eastAsia="Arial" w:hAnsi="Arial"/>
          <w:sz w:val="17"/>
          <w:szCs w:val="17"/>
          <w:b w:val="1"/>
          <w:bCs w:val="1"/>
          <w:color w:val="auto"/>
        </w:rPr>
        <w:t>IPO</w:t>
      </w:r>
      <w:r>
        <w:rPr>
          <w:rFonts w:ascii="Arial" w:cs="Arial" w:eastAsia="Arial" w:hAnsi="Arial"/>
          <w:sz w:val="17"/>
          <w:szCs w:val="17"/>
          <w:color w:val="auto"/>
        </w:rPr>
        <w:t>”). Principal of this Note may be drawn down from time to time prior to the Maturity Date upon written request from Maker to Payee (each, a “</w:t>
      </w:r>
      <w:r>
        <w:rPr>
          <w:rFonts w:ascii="Arial" w:cs="Arial" w:eastAsia="Arial" w:hAnsi="Arial"/>
          <w:sz w:val="17"/>
          <w:szCs w:val="17"/>
          <w:b w:val="1"/>
          <w:bCs w:val="1"/>
          <w:color w:val="auto"/>
        </w:rPr>
        <w:t>Drawdown Request</w:t>
      </w:r>
      <w:r>
        <w:rPr>
          <w:rFonts w:ascii="Arial" w:cs="Arial" w:eastAsia="Arial" w:hAnsi="Arial"/>
          <w:sz w:val="17"/>
          <w:szCs w:val="17"/>
          <w:color w:val="auto"/>
        </w:rPr>
        <w:t>”). Each Drawdown Request must state the amount to be drawn down, and must not be an amount less than Ten Thousand Dollars ($10,000). Payee shall fund each Drawdown Request no later than three (3) business days after receipt of a Drawdown Request; provided, however, that the maximum amount of drawdowns outstanding under this Note at any time may not exceed Three Hundred Thousand Dollars ($300,000). No fees, payments or other amounts shall be due to Payee in connection with, or as a result of, any Drawdown Request by Maker.</w:t>
      </w:r>
    </w:p>
    <w:p>
      <w:pPr>
        <w:spacing w:after="0" w:line="171" w:lineRule="exact"/>
        <w:rPr>
          <w:rFonts w:ascii="Arial" w:cs="Arial" w:eastAsia="Arial" w:hAnsi="Arial"/>
          <w:sz w:val="17"/>
          <w:szCs w:val="17"/>
          <w:color w:val="auto"/>
        </w:rPr>
      </w:pPr>
    </w:p>
    <w:p>
      <w:pPr>
        <w:ind w:left="520" w:hanging="188"/>
        <w:spacing w:after="0"/>
        <w:tabs>
          <w:tab w:leader="none" w:pos="52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0" w:name="page371"/>
    <w:bookmarkEnd w:id="370"/>
    <w:p>
      <w:pPr>
        <w:jc w:val="both"/>
        <w:ind w:firstLine="332"/>
        <w:spacing w:after="0" w:line="266" w:lineRule="auto"/>
        <w:tabs>
          <w:tab w:leader="none" w:pos="504"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520" w:hanging="188"/>
        <w:spacing w:after="0"/>
        <w:tabs>
          <w:tab w:leader="none" w:pos="52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656"/>
        <w:spacing w:after="0" w:line="277" w:lineRule="auto"/>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1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jc w:val="both"/>
        <w:ind w:firstLine="656"/>
        <w:spacing w:after="0" w:line="259" w:lineRule="auto"/>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520" w:hanging="188"/>
        <w:spacing w:after="0"/>
        <w:tabs>
          <w:tab w:leader="none" w:pos="52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auto"/>
        </w:rPr>
      </w:pPr>
    </w:p>
    <w:p>
      <w:pPr>
        <w:jc w:val="both"/>
        <w:ind w:firstLine="656"/>
        <w:spacing w:after="0" w:line="259" w:lineRule="auto"/>
        <w:tabs>
          <w:tab w:leader="none" w:pos="89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656"/>
        <w:spacing w:after="0" w:line="342" w:lineRule="auto"/>
        <w:tabs>
          <w:tab w:leader="none" w:pos="916" w:val="left"/>
        </w:tabs>
        <w:numPr>
          <w:ilvl w:val="1"/>
          <w:numId w:val="279"/>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or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jc w:val="both"/>
        <w:ind w:firstLine="332"/>
        <w:spacing w:after="0" w:line="294" w:lineRule="auto"/>
        <w:tabs>
          <w:tab w:leader="none" w:pos="504" w:val="left"/>
        </w:tabs>
        <w:numPr>
          <w:ilvl w:val="0"/>
          <w:numId w:val="279"/>
        </w:numPr>
        <w:rPr>
          <w:rFonts w:ascii="Arial" w:cs="Arial" w:eastAsia="Arial" w:hAnsi="Arial"/>
          <w:sz w:val="16"/>
          <w:szCs w:val="16"/>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w:t>
      </w:r>
      <w:r>
        <w:rPr>
          <w:rFonts w:ascii="Arial" w:cs="Arial" w:eastAsia="Arial" w:hAnsi="Arial"/>
          <w:sz w:val="16"/>
          <w:szCs w:val="16"/>
          <w:b w:val="1"/>
          <w:bCs w:val="1"/>
          <w:color w:val="auto"/>
        </w:rPr>
        <w:t xml:space="preserve"> </w:t>
      </w:r>
      <w:r>
        <w:rPr>
          <w:rFonts w:ascii="Arial" w:cs="Arial" w:eastAsia="Arial" w:hAnsi="Arial"/>
          <w:sz w:val="16"/>
          <w:szCs w:val="16"/>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1" w:name="page372"/>
    <w:bookmarkEnd w:id="371"/>
    <w:p>
      <w:pPr>
        <w:jc w:val="both"/>
        <w:ind w:firstLine="332"/>
        <w:spacing w:after="0" w:line="298" w:lineRule="auto"/>
        <w:tabs>
          <w:tab w:leader="none" w:pos="504"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color w:val="auto"/>
        </w:rPr>
      </w:pPr>
    </w:p>
    <w:p>
      <w:pPr>
        <w:jc w:val="both"/>
        <w:ind w:firstLine="332"/>
        <w:spacing w:after="0" w:line="273" w:lineRule="auto"/>
        <w:tabs>
          <w:tab w:leader="none" w:pos="504"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(i) in writing and delivered personally</w:t>
      </w:r>
      <w:r>
        <w:rPr>
          <w:rFonts w:ascii="Arial" w:cs="Arial" w:eastAsia="Arial" w:hAnsi="Arial"/>
          <w:sz w:val="17"/>
          <w:szCs w:val="17"/>
          <w:b w:val="1"/>
          <w:bCs w:val="1"/>
          <w:color w:val="auto"/>
        </w:rPr>
        <w:t xml:space="preserve"> </w:t>
      </w:r>
      <w:r>
        <w:rPr>
          <w:rFonts w:ascii="Arial" w:cs="Arial" w:eastAsia="Arial" w:hAnsi="Arial"/>
          <w:sz w:val="17"/>
          <w:szCs w:val="17"/>
          <w:color w:val="auto"/>
        </w:rPr>
        <w:t>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WITHOUT REGARD TO CONFLICT OF LAW PROVISIONS THEREOF.</w:t>
      </w:r>
    </w:p>
    <w:p>
      <w:pPr>
        <w:spacing w:after="0" w:line="206" w:lineRule="exact"/>
        <w:rPr>
          <w:rFonts w:ascii="Arial" w:cs="Arial" w:eastAsia="Arial" w:hAnsi="Arial"/>
          <w:sz w:val="18"/>
          <w:szCs w:val="18"/>
          <w:color w:val="auto"/>
        </w:rPr>
      </w:pPr>
    </w:p>
    <w:p>
      <w:pPr>
        <w:jc w:val="both"/>
        <w:ind w:firstLine="332"/>
        <w:spacing w:after="0" w:line="266" w:lineRule="auto"/>
        <w:tabs>
          <w:tab w:leader="none" w:pos="61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Arial" w:cs="Arial" w:eastAsia="Arial" w:hAnsi="Arial"/>
          <w:sz w:val="18"/>
          <w:szCs w:val="18"/>
          <w:color w:val="auto"/>
        </w:rPr>
      </w:pPr>
    </w:p>
    <w:p>
      <w:pPr>
        <w:jc w:val="both"/>
        <w:ind w:firstLine="332"/>
        <w:spacing w:after="0" w:line="256" w:lineRule="auto"/>
        <w:tabs>
          <w:tab w:leader="none" w:pos="607"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Trust Waiver. </w:t>
      </w:r>
      <w:r>
        <w:rPr>
          <w:rFonts w:ascii="Arial" w:cs="Arial" w:eastAsia="Arial" w:hAnsi="Arial"/>
          <w:sz w:val="18"/>
          <w:szCs w:val="18"/>
          <w:color w:val="auto"/>
        </w:rPr>
        <w:t>Notwithstanding anything herein to the contrary, the Payee hereby waives any and all right, title, interest or claim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IPO conducted by the Maker (including the deferred underwriters discounts and commissions) and the proceeds of the sale of the warrants issued in a private placement to occur prior to the consummation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rFonts w:ascii="Arial" w:cs="Arial" w:eastAsia="Arial" w:hAnsi="Arial"/>
          <w:sz w:val="18"/>
          <w:szCs w:val="18"/>
          <w:color w:val="auto"/>
        </w:rPr>
      </w:pPr>
    </w:p>
    <w:p>
      <w:pPr>
        <w:ind w:firstLine="332"/>
        <w:spacing w:after="0" w:line="282" w:lineRule="auto"/>
        <w:tabs>
          <w:tab w:leader="none" w:pos="607"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161" w:lineRule="exact"/>
        <w:rPr>
          <w:rFonts w:ascii="Arial" w:cs="Arial" w:eastAsia="Arial" w:hAnsi="Arial"/>
          <w:sz w:val="18"/>
          <w:szCs w:val="18"/>
          <w:color w:val="auto"/>
        </w:rPr>
      </w:pPr>
    </w:p>
    <w:p>
      <w:pPr>
        <w:ind w:firstLine="332"/>
        <w:spacing w:after="0" w:line="312" w:lineRule="auto"/>
        <w:tabs>
          <w:tab w:leader="none" w:pos="594"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 xml:space="preserve">Assignment. </w:t>
      </w:r>
      <w:r>
        <w:rPr>
          <w:rFonts w:ascii="Arial" w:cs="Arial" w:eastAsia="Arial" w:hAnsi="Arial"/>
          <w:sz w:val="17"/>
          <w:szCs w:val="17"/>
          <w:color w:val="auto"/>
        </w:rPr>
        <w:t>No assignment or transfer of this Note or any rights or obligations hereunder may be made by any party hereto (by operation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without the prior written consent of the other party hereto and any attempted assignment without the required consent shall be void.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2" w:name="page373"/>
    <w:bookmarkEnd w:id="37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3" w:name="page374"/>
    <w:bookmarkEnd w:id="373"/>
    <w:p>
      <w:pPr>
        <w:ind w:left="10320"/>
        <w:spacing w:after="0"/>
        <w:rPr>
          <w:sz w:val="20"/>
          <w:szCs w:val="20"/>
          <w:color w:val="auto"/>
        </w:rPr>
      </w:pPr>
      <w:r>
        <w:rPr>
          <w:rFonts w:ascii="Arial" w:cs="Arial" w:eastAsia="Arial" w:hAnsi="Arial"/>
          <w:sz w:val="16"/>
          <w:szCs w:val="16"/>
          <w:b w:val="1"/>
          <w:bCs w:val="1"/>
          <w:color w:val="auto"/>
        </w:rPr>
        <w:t>Exhibit 10.7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CMLS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Securities Subscription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CM Life 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is pleased to accept the offer made by CMLS Holdings LLC, a Delaware limited liability company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to purchase 10,062,500 shares (the “</w:t>
      </w:r>
      <w:r>
        <w:rPr>
          <w:rFonts w:ascii="Arial" w:cs="Arial" w:eastAsia="Arial" w:hAnsi="Arial"/>
          <w:sz w:val="18"/>
          <w:szCs w:val="18"/>
          <w:b w:val="1"/>
          <w:bCs w:val="1"/>
          <w:color w:val="auto"/>
        </w:rPr>
        <w:t>Shares</w:t>
      </w:r>
      <w:r>
        <w:rPr>
          <w:rFonts w:ascii="Arial" w:cs="Arial" w:eastAsia="Arial" w:hAnsi="Arial"/>
          <w:sz w:val="18"/>
          <w:szCs w:val="18"/>
          <w:color w:val="auto"/>
        </w:rPr>
        <w:t>”) of Class B common stock of the Company,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up to 1,312,500 of which are subject to forfeiture by you to the extent that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Company’s units, each comprised of one share of Common Stock and one, or a portion of one, warrant to purchase one share of Common Stock (“</w:t>
      </w:r>
      <w:r>
        <w:rPr>
          <w:rFonts w:ascii="Arial" w:cs="Arial" w:eastAsia="Arial" w:hAnsi="Arial"/>
          <w:sz w:val="18"/>
          <w:szCs w:val="18"/>
          <w:b w:val="1"/>
          <w:bCs w:val="1"/>
          <w:color w:val="auto"/>
        </w:rPr>
        <w:t>Units</w:t>
      </w:r>
      <w:r>
        <w:rPr>
          <w:rFonts w:ascii="Arial" w:cs="Arial" w:eastAsia="Arial" w:hAnsi="Arial"/>
          <w:sz w:val="18"/>
          <w:szCs w:val="18"/>
          <w:color w:val="auto"/>
        </w:rPr>
        <w:t>”), do not fully exercise their option to purchase additional Units to cover over-allotments, if any (the “</w:t>
      </w:r>
      <w:r>
        <w:rPr>
          <w:rFonts w:ascii="Arial" w:cs="Arial" w:eastAsia="Arial" w:hAnsi="Arial"/>
          <w:sz w:val="18"/>
          <w:szCs w:val="18"/>
          <w:b w:val="1"/>
          <w:bCs w:val="1"/>
          <w:color w:val="auto"/>
        </w:rPr>
        <w:t>Over-allotment</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r>
        <w:rPr>
          <w:rFonts w:ascii="Arial" w:cs="Arial" w:eastAsia="Arial" w:hAnsi="Arial"/>
          <w:sz w:val="18"/>
          <w:szCs w:val="18"/>
          <w:color w:val="auto"/>
        </w:rPr>
        <w:t>”). The terms of the sale by the Company of the Shares to Subscriber, and the Company and Subscriber’s agreements regarding the Shares, are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p>
      <w:pPr>
        <w:ind w:left="180" w:hanging="172"/>
        <w:spacing w:after="0"/>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Purchase of Shares</w:t>
      </w:r>
      <w:r>
        <w:rPr>
          <w:rFonts w:ascii="Arial" w:cs="Arial" w:eastAsia="Arial" w:hAnsi="Arial"/>
          <w:sz w:val="17"/>
          <w:szCs w:val="17"/>
          <w:color w:val="auto"/>
        </w:rPr>
        <w:t>. For the sum of $25,000 (the “</w:t>
      </w:r>
      <w:r>
        <w:rPr>
          <w:rFonts w:ascii="Arial" w:cs="Arial" w:eastAsia="Arial" w:hAnsi="Arial"/>
          <w:sz w:val="17"/>
          <w:szCs w:val="17"/>
          <w:b w:val="1"/>
          <w:bCs w:val="1"/>
          <w:color w:val="auto"/>
        </w:rPr>
        <w:t>Purchase Price</w:t>
      </w:r>
      <w:r>
        <w:rPr>
          <w:rFonts w:ascii="Arial" w:cs="Arial" w:eastAsia="Arial" w:hAnsi="Arial"/>
          <w:sz w:val="17"/>
          <w:szCs w:val="17"/>
          <w:color w:val="auto"/>
        </w:rPr>
        <w:t>”), which the Company acknowledges the Subscriber paid on behalf of the Company to cover certain offering costs, the Company hereby issues the Shares to Subscriber, and Subscriber hereby purchases the Shares from the Company, on the terms and subject to the conditions, including regarding forfeiture, set forth in this letter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Concurrently with Subscriber’s execution of this Agreement, the Company shall, at its option, deliver to Subscriber a certificate registered in Subscriber’s name representing the shares (the “</w:t>
      </w:r>
      <w:r>
        <w:rPr>
          <w:rFonts w:ascii="Arial" w:cs="Arial" w:eastAsia="Arial" w:hAnsi="Arial"/>
          <w:sz w:val="17"/>
          <w:szCs w:val="17"/>
          <w:b w:val="1"/>
          <w:bCs w:val="1"/>
          <w:color w:val="auto"/>
        </w:rPr>
        <w:t>Original Certificate</w:t>
      </w:r>
      <w:r>
        <w:rPr>
          <w:rFonts w:ascii="Arial" w:cs="Arial" w:eastAsia="Arial" w:hAnsi="Arial"/>
          <w:sz w:val="17"/>
          <w:szCs w:val="17"/>
          <w:color w:val="auto"/>
        </w:rPr>
        <w:t>”) or effect such delivery in book-entry form.</w:t>
      </w:r>
    </w:p>
    <w:p>
      <w:pPr>
        <w:spacing w:after="0" w:line="172" w:lineRule="exact"/>
        <w:rPr>
          <w:sz w:val="20"/>
          <w:szCs w:val="20"/>
          <w:color w:val="auto"/>
        </w:rPr>
      </w:pPr>
    </w:p>
    <w:p>
      <w:pPr>
        <w:ind w:left="180" w:hanging="172"/>
        <w:spacing w:after="0"/>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Subscriber, Subscriber hereby represents and warrants to the Company and agrees with the Company as follows: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Subscriber is a limited liability company, duly organized, validly existing and in good standing under the laws of State of Delaware, and possesses all requisite power and authority necessary to carry out the transactions contemplated by this Agreement.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4" w:name="page375"/>
    <w:bookmarkEnd w:id="374"/>
    <w:p>
      <w:pPr>
        <w:jc w:val="both"/>
        <w:ind w:firstLine="1296"/>
        <w:spacing w:after="0" w:line="311"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consummation by Subscriber of the transactions contemplated hereby do not violate, conflict with or constitute a default under (i) the formation and governing documents of Subscriber, (ii) any agreement, indenture or instrument to which Subscriber is a party or (iii) any law, statute, rule, regulation, order, judgment or decree to which Subscriber is subject.</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Experience, Financial Capability and Suitability</w:t>
      </w:r>
      <w:r>
        <w:rPr>
          <w:rFonts w:ascii="Arial" w:cs="Arial" w:eastAsia="Arial" w:hAnsi="Arial"/>
          <w:sz w:val="16"/>
          <w:szCs w:val="16"/>
          <w:color w:val="auto"/>
        </w:rPr>
        <w:t>. Subscriber is sophisticated in financial matters and is able to evaluate the risks and benefits of the investment in the Shares. Subscriber acknowledges that the Shares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therefore cannot be sold unless subsequently registered under the Securities Act or an exemption from such registration is available. Subscriber understands that it must bear the economic risk of this investment until the Shares are sold pursuant to: (i) an effective registration statement under the Securities Act or (ii) an exemption from registration available with respect to such sale. Subscriber is able to bear the economic risk of an investment in the Shares for an indefinite period of time and to afford a complete loss of Subscriber’s investment in the Shares.</w:t>
      </w:r>
    </w:p>
    <w:p>
      <w:pPr>
        <w:spacing w:after="0" w:line="16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Subscriber understands that no federal or state agency has passed upon or made any recommendation or endorsement of the offering of the Shares.</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Access to Information; Independent Investigation</w:t>
      </w:r>
      <w:r>
        <w:rPr>
          <w:rFonts w:ascii="Arial" w:cs="Arial" w:eastAsia="Arial" w:hAnsi="Arial"/>
          <w:sz w:val="17"/>
          <w:szCs w:val="17"/>
          <w:color w:val="auto"/>
        </w:rPr>
        <w:t>. Prior to the execution of this Agreement, Subscriber has had the opportunity to ask questions of and receive answers from representatives of the Company concerning an investment in the Company, as well as the financial condition,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Subscriber understands that no person has been authorized to make any representations other than as set forth in this Agreement and Subscriber has not relied on any other written or oral representations relating to the financial condition, business and prospects of the Company in making its investment decision.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5" w:name="page376"/>
    <w:bookmarkEnd w:id="375"/>
    <w:p>
      <w:pPr>
        <w:jc w:val="both"/>
        <w:ind w:firstLine="1296"/>
        <w:spacing w:after="0" w:line="255"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Subscriber represents that it is an “accredited investor” as such term is defined in Rule 501(a) of Regulation D under the Securities Act and acknowledges the sale contemplated hereby is being made in reliance on the private placement exemption in Section 4(a)(2) of the Securities Act and/or said Regulation D and similar exemptions under state law. Subscriber is purchasing the Shares solely for investment purposes, for Subscriber’s own account and not for the account or benefit of any other person, and not with a view towards the distribution or dissemination thereof. Subscriber did not decide to enter into this Agreement as a result of any general solicitation or general advertising within the meaning of Rule 502 under the Securities Act.</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or book-entries representing the Shares will contain a legend or notation in respect of such restrictions. If, in the future, Subscriber decides to offer, resell, pledge or otherwise transfer the Shares, such Shares may be offered, resold, pledged or otherwise transferred only pursuant to: (i) an effective registration statement under the Securities Act or (ii) an exemption from registration available with respect to such sale. Subscriber agrees that if any transfer of its Shares or any interest therein is proposed to be made, as a condition precedent to any such transfer, Subscriber may be required to deliver to the Company an opinion of counsel satisfactory to the Company. Absent registration or available exemption, Subscriber agrees not to resell the Shares. Subscriber further acknowledges that because the Company is a shell company, Rule 144 may not be available to Subscriber for the resale of the Shares until one year following consummation of the initial business combination of the Company, despite the release or waiver of any contractual transfer restrictions.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Subscriber to purchase the Shares, the Company hereby represents and warrants to Subscriber and agrees with Subscriber as follows: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Organization and Authority</w:t>
      </w:r>
      <w:r>
        <w:rPr>
          <w:rFonts w:ascii="Arial" w:cs="Arial" w:eastAsia="Arial" w:hAnsi="Arial"/>
          <w:sz w:val="17"/>
          <w:szCs w:val="17"/>
          <w:color w:val="auto"/>
        </w:rPr>
        <w:t>. The Company is a corporation, duly organized, validly existing and in good standing under the laws of the State of Delaware, and possesses all requisite power and authority necessary to carry out the transactions contemplated by this Agreement. This Agreement is a legal, valid and binding agreement of the Company, enforceable against the Company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formation and governing documents of the Company, (ii) any agreement, indenture or instrument to which the Company is a party or (iii) any law, statute, rule, regulation, order, judgment or decree to which the Company is subject.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6" w:name="page377"/>
    <w:bookmarkEnd w:id="376"/>
    <w:p>
      <w:pPr>
        <w:jc w:val="both"/>
        <w:ind w:firstLine="1296"/>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the Company in connection with the transactions contemplated by this Agreement.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Title to Securities</w:t>
      </w:r>
      <w:r>
        <w:rPr>
          <w:rFonts w:ascii="Arial" w:cs="Arial" w:eastAsia="Arial" w:hAnsi="Arial"/>
          <w:sz w:val="18"/>
          <w:szCs w:val="18"/>
          <w:color w:val="auto"/>
        </w:rPr>
        <w:t>. Upon issuance in accordance with, and payment pursuant to, the terms hereof, the Shares will be duly and validly issued, fully paid and nonassessable. Upon issuance in accordance with, and payment pursuant to, the terms hereof, Subscriber will have or receive good title to the Shares, free and clear of all liens, claims and encumbrances of any kind, other than (a) transfer restrictions hereunder and other agreements to which the Shares may become subject, (b) transfer restrictions under federal and state securities laws, and (c) liens, claims or encumbrances imposed due to the actions of Subscriber.</w:t>
      </w:r>
    </w:p>
    <w:p>
      <w:pPr>
        <w:spacing w:after="0" w:line="188" w:lineRule="exact"/>
        <w:rPr>
          <w:sz w:val="20"/>
          <w:szCs w:val="20"/>
          <w:color w:val="auto"/>
        </w:rPr>
      </w:pPr>
    </w:p>
    <w:p>
      <w:pPr>
        <w:ind w:left="180" w:hanging="172"/>
        <w:spacing w:after="0"/>
        <w:tabs>
          <w:tab w:leader="none" w:pos="18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In the event the Over-allotment Option is not exercised in full, Subscriber acknowledges and agrees that it (or, if applicable, it and/or any transferees of Shares) shall forfeit any and all rights to such number of Shares (up to an aggregate of 1,312,500 Shares (as such amount may be adjusted for share splits, share dividends, reorganizations, recapitalizations and the like) and pro rata based upon the percentage of the Over-allotment Option exercised) such that immediately following such forfeiture, Subscriber (and all other initial stockholders of the Company prior to the IPO, if any) will own an aggregate number of Shares equal to 20% of the issued and outstanding Shares immediately following the IPO.</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If any of the Shares are forfeited in accordance with this Section 3, then after such time Subscriber (or its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Share Certificates</w:t>
      </w:r>
      <w:r>
        <w:rPr>
          <w:rFonts w:ascii="Arial" w:cs="Arial" w:eastAsia="Arial" w:hAnsi="Arial"/>
          <w:sz w:val="18"/>
          <w:szCs w:val="18"/>
          <w:color w:val="auto"/>
        </w:rPr>
        <w:t>. In the event an adjustment to the Original Certificates, if any, is required pursuant to this Section 3, then Subscriber shall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8"/>
          <w:szCs w:val="18"/>
          <w:b w:val="1"/>
          <w:bCs w:val="1"/>
          <w:color w:val="auto"/>
        </w:rPr>
        <w:t>New Certificate</w:t>
      </w:r>
      <w:r>
        <w:rPr>
          <w:rFonts w:ascii="Arial" w:cs="Arial" w:eastAsia="Arial" w:hAnsi="Arial"/>
          <w:sz w:val="18"/>
          <w:szCs w:val="18"/>
          <w:color w:val="auto"/>
        </w:rPr>
        <w:t>”), if any, shall be issued in such amount representing the adjusted number of Shares held by Subscriber. The New Certificate, if any, shall be returned to Subscriber as soon as practicable. Any such adjustment for any uncertificated securities held by Subscriber shall be made in book-entry form.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7" w:name="page378"/>
    <w:bookmarkEnd w:id="377"/>
    <w:p>
      <w:pPr>
        <w:jc w:val="both"/>
        <w:ind w:firstLine="8"/>
        <w:spacing w:after="0" w:line="291" w:lineRule="auto"/>
        <w:tabs>
          <w:tab w:leader="none" w:pos="18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Waiver of Redemption Rights</w:t>
      </w:r>
      <w:r>
        <w:rPr>
          <w:rFonts w:ascii="Arial" w:cs="Arial" w:eastAsia="Arial" w:hAnsi="Arial"/>
          <w:sz w:val="16"/>
          <w:szCs w:val="16"/>
          <w:color w:val="auto"/>
        </w:rPr>
        <w:t>. Subscriber hereby waives any and all rights to redeem the Shares for a portion of the amounts held in the trust account into which substantially all of the proceeds of the IPO will be deposited (the “</w:t>
      </w:r>
      <w:r>
        <w:rPr>
          <w:rFonts w:ascii="Arial" w:cs="Arial" w:eastAsia="Arial" w:hAnsi="Arial"/>
          <w:sz w:val="16"/>
          <w:szCs w:val="16"/>
          <w:b w:val="1"/>
          <w:bCs w:val="1"/>
          <w:color w:val="auto"/>
        </w:rPr>
        <w:t>Trust Account</w:t>
      </w:r>
      <w:r>
        <w:rPr>
          <w:rFonts w:ascii="Arial" w:cs="Arial" w:eastAsia="Arial" w:hAnsi="Arial"/>
          <w:sz w:val="16"/>
          <w:szCs w:val="16"/>
          <w:color w:val="auto"/>
        </w:rPr>
        <w:t>”) in the event of the Company’s failure to timely complete an initial business combination, an extension of the time period to complete an initial business combination or upon the consummation of an initial business combination. For purposes of clarity, in the event Subscriber purchases shares of Common Stock included in the Units issued in the IPO (“</w:t>
      </w:r>
      <w:r>
        <w:rPr>
          <w:rFonts w:ascii="Arial" w:cs="Arial" w:eastAsia="Arial" w:hAnsi="Arial"/>
          <w:sz w:val="16"/>
          <w:szCs w:val="16"/>
          <w:b w:val="1"/>
          <w:bCs w:val="1"/>
          <w:color w:val="auto"/>
        </w:rPr>
        <w:t>Public Shares</w:t>
      </w:r>
      <w:r>
        <w:rPr>
          <w:rFonts w:ascii="Arial" w:cs="Arial" w:eastAsia="Arial" w:hAnsi="Arial"/>
          <w:sz w:val="16"/>
          <w:szCs w:val="16"/>
          <w:color w:val="auto"/>
        </w:rPr>
        <w:t>”), either in the IPO or in the aftermarket, any Public Shares so purchased shall be eligible to be redeemed for a portion of the amounts held in the Trust Account in the event of the Company’s failure to timely complete an initial business combination (but, for the avoidance of doubt, not in connection with an extension of the time period to complete an initial business combination or upon the consummation of an initial business combination).</w:t>
      </w:r>
    </w:p>
    <w:p>
      <w:pPr>
        <w:spacing w:after="0" w:line="166" w:lineRule="exact"/>
        <w:rPr>
          <w:rFonts w:ascii="Arial" w:cs="Arial" w:eastAsia="Arial" w:hAnsi="Arial"/>
          <w:sz w:val="16"/>
          <w:szCs w:val="16"/>
          <w:color w:val="auto"/>
        </w:rPr>
      </w:pPr>
    </w:p>
    <w:p>
      <w:pPr>
        <w:ind w:left="180" w:hanging="172"/>
        <w:spacing w:after="0"/>
        <w:tabs>
          <w:tab w:leader="none" w:pos="1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(which will also contain other agreements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Subscriber agrees not to sell, transfer, pledge, hypothecate 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registration is not required because such transaction is exempt from registration under the Securities Act and the rules promulgated by the Securities and Exchange Commission thereunder and all applicable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opinion shall be required for any sale, transfer, pledge, hypothecation or other disposition made pursuant to Rule 144(b)(1) of the Securities Act. Subscriber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Any certificates representing the Shares shall have endorsed thereon legends substantially as follows (and any book-entries representing the Shares shall have similar notations):</w:t>
      </w:r>
    </w:p>
    <w:p>
      <w:pPr>
        <w:spacing w:after="0" w:line="170" w:lineRule="exact"/>
        <w:rPr>
          <w:sz w:val="20"/>
          <w:szCs w:val="20"/>
          <w:color w:val="auto"/>
        </w:rPr>
      </w:pPr>
    </w:p>
    <w:p>
      <w:pPr>
        <w:jc w:val="both"/>
        <w:ind w:left="660" w:right="640"/>
        <w:spacing w:after="0" w:line="275"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OR ANY STATE SECURITIES LAWS AND NEITHER THE SECURITIES NOR ANY INTEREST THEREIN MAY BE OFFERED, SOLD, TRANSFERRED, PLEDGED, HYPOTHECATED OR OTHERWISE DISPOSED OF EXCEPT PURSUANT TO AN EFFECTIVE REGISTRATION STATEMENT UNDER SUCH ACT OR SUCH LAWS OR AN EXEMPTION FROM REGISTRATION UNDER SUCH ACT AND SUCH LAWS WHICH, IN THE OPINION OF COUNSEL, IS AVAILABLE.”</w:t>
      </w:r>
    </w:p>
    <w:p>
      <w:pPr>
        <w:spacing w:after="0" w:line="176"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“THE SECURITIES REPRESENTED BY THIS CERTIFICATE ARE SUBJECT TO ADDITIONAL RESTRICTIONS ON TRANSFER SET FORTH IN A LETTER AGREEMENT WITH THE COMPANY (A COPY OF WHICH MAY BE OBTAINED FROM THE COMPANY AT THE COMPANY’S PRINCIPAL PLACE OF BUSINESS WITHOUT CHARGE) AND MAY NOT BE OFFERED, SOLD, TRANSFERRED, PLEDGED, HYPOTHECATED OR OTHERWISE DISPOSED OF IN VIOLATION OF SUCH RESTRICTIONS.”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8" w:name="page379"/>
    <w:bookmarkEnd w:id="378"/>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hereof.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ind w:left="180" w:hanging="172"/>
        <w:spacing w:after="0"/>
        <w:tabs>
          <w:tab w:leader="none" w:pos="18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statements or other documents which are required or contemplated by this Agreement shall be in writing and delivered (i) personally or by certified mail (return receipt requested) or overnight courier service or (ii) by electronic mail, if to the Company, at the address of its principal offices and any electronic mail address as may be designated in writing by the Company and, if to Subscriber, at its address in the books and records of the Company and any electronic mail address as may be designated in writing by Subscriber, or to such other addresses as may be designated in writing by the Company or Subscriber. All such notices, statements or other documents shall be deemed received on the date of receipt by the recipient thereof if received prior to 8:00 p.m. on a business day in the place of receipt. Otherwise, any such notices, statements or other documents shall be deemed to have been received on the next succeeding business day in the place of receipt.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Insider Letter and the registration rights agreement to be entered into with respect to the Shares, each substantially in the form to be filed as an exhibit to the Registration Statement on Form S-1 associated with the Company’s IPO, embodies the entire agreement and understanding between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9" w:name="page380"/>
    <w:bookmarkEnd w:id="379"/>
    <w:p>
      <w:pPr>
        <w:jc w:val="both"/>
        <w:ind w:firstLine="648"/>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the State of Delaware applicable to contracts wholly performed within the borders of such state, without giving effect to the conflict of law principles thereof.</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0" w:name="page381"/>
    <w:bookmarkEnd w:id="380"/>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in pdf format via electronic mail,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1" w:name="page382"/>
    <w:bookmarkEnd w:id="381"/>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HOLDINGS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Keith Meister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382" w:name="page383"/>
    <w:bookmarkEnd w:id="382"/>
    <w:p>
      <w:pPr>
        <w:ind w:left="10120"/>
        <w:spacing w:after="0"/>
        <w:rPr>
          <w:sz w:val="20"/>
          <w:szCs w:val="20"/>
          <w:color w:val="auto"/>
        </w:rPr>
      </w:pPr>
      <w:r>
        <w:rPr>
          <w:rFonts w:ascii="Arial" w:cs="Arial" w:eastAsia="Arial" w:hAnsi="Arial"/>
          <w:sz w:val="19"/>
          <w:szCs w:val="19"/>
          <w:b w:val="1"/>
          <w:bCs w:val="1"/>
          <w:color w:val="auto"/>
        </w:rPr>
        <w:t>Exhibit 10.8</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Forward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 ● ], 2020, by and between CM Life Sciences,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 a [●], acting solely in its capacity as investment advisor (in such capacity, the “</w:t>
      </w:r>
      <w:r>
        <w:rPr>
          <w:rFonts w:ascii="Arial" w:cs="Arial" w:eastAsia="Arial" w:hAnsi="Arial"/>
          <w:sz w:val="18"/>
          <w:szCs w:val="18"/>
          <w:u w:val="single" w:color="auto"/>
          <w:color w:val="auto"/>
        </w:rPr>
        <w:t>Advisor</w:t>
      </w:r>
      <w:r>
        <w:rPr>
          <w:rFonts w:ascii="Arial" w:cs="Arial" w:eastAsia="Arial" w:hAnsi="Arial"/>
          <w:sz w:val="18"/>
          <w:szCs w:val="18"/>
          <w:color w:val="auto"/>
        </w:rPr>
        <w:t>”) to one or more investment funds, clients or accounts (collectively, “</w:t>
      </w:r>
      <w:r>
        <w:rPr>
          <w:rFonts w:ascii="Arial" w:cs="Arial" w:eastAsia="Arial" w:hAnsi="Arial"/>
          <w:sz w:val="18"/>
          <w:szCs w:val="18"/>
          <w:u w:val="single" w:color="auto"/>
          <w:color w:val="auto"/>
        </w:rPr>
        <w:t>Clients</w:t>
      </w:r>
      <w:r>
        <w:rPr>
          <w:rFonts w:ascii="Arial" w:cs="Arial" w:eastAsia="Arial" w:hAnsi="Arial"/>
          <w:sz w:val="18"/>
          <w:szCs w:val="18"/>
          <w:color w:val="auto"/>
        </w:rPr>
        <w:t>”) managed from time to time by the Advisor.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Company was incorporated for the purpose of effecting a merger, capital stock exchange, asset acquisition, stock purchase, reorganization or similar business combination with one or more businesses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the Company has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its initial public offering (“</w:t>
      </w:r>
      <w:r>
        <w:rPr>
          <w:rFonts w:ascii="Arial" w:cs="Arial" w:eastAsia="Arial" w:hAnsi="Arial"/>
          <w:sz w:val="17"/>
          <w:szCs w:val="17"/>
          <w:u w:val="single" w:color="auto"/>
          <w:color w:val="auto"/>
        </w:rPr>
        <w:t>IPO</w:t>
      </w:r>
      <w:r>
        <w:rPr>
          <w:rFonts w:ascii="Arial" w:cs="Arial" w:eastAsia="Arial" w:hAnsi="Arial"/>
          <w:sz w:val="17"/>
          <w:szCs w:val="17"/>
          <w:color w:val="auto"/>
        </w:rPr>
        <w:t>”) of 35,000,000 units (or 40,250,000 units if the underwriters’ over-allotment option (the “</w:t>
      </w:r>
      <w:r>
        <w:rPr>
          <w:rFonts w:ascii="Arial" w:cs="Arial" w:eastAsia="Arial" w:hAnsi="Arial"/>
          <w:sz w:val="17"/>
          <w:szCs w:val="17"/>
          <w:u w:val="single" w:color="auto"/>
          <w:color w:val="auto"/>
        </w:rPr>
        <w:t>IPO Option</w:t>
      </w:r>
      <w:r>
        <w:rPr>
          <w:rFonts w:ascii="Arial" w:cs="Arial" w:eastAsia="Arial" w:hAnsi="Arial"/>
          <w:sz w:val="17"/>
          <w:szCs w:val="17"/>
          <w:color w:val="auto"/>
        </w:rPr>
        <w:t>”) is exercised in full) (the “</w:t>
      </w:r>
      <w:r>
        <w:rPr>
          <w:rFonts w:ascii="Arial" w:cs="Arial" w:eastAsia="Arial" w:hAnsi="Arial"/>
          <w:sz w:val="17"/>
          <w:szCs w:val="17"/>
          <w:u w:val="single" w:color="auto"/>
          <w:color w:val="auto"/>
        </w:rPr>
        <w:t>Public Units</w:t>
      </w:r>
      <w:r>
        <w:rPr>
          <w:rFonts w:ascii="Arial" w:cs="Arial" w:eastAsia="Arial" w:hAnsi="Arial"/>
          <w:sz w:val="17"/>
          <w:szCs w:val="17"/>
          <w:color w:val="auto"/>
        </w:rPr>
        <w:t>”) at a price of $10.00 per Public Unit, each Public Unit comprised of one share of the Company’s Class A common stock, par value $0.0001 per share (the “</w:t>
      </w:r>
      <w:r>
        <w:rPr>
          <w:rFonts w:ascii="Arial" w:cs="Arial" w:eastAsia="Arial" w:hAnsi="Arial"/>
          <w:sz w:val="17"/>
          <w:szCs w:val="17"/>
          <w:u w:val="single" w:color="auto"/>
          <w:color w:val="auto"/>
        </w:rPr>
        <w:t>Class A Shares</w:t>
      </w:r>
      <w:r>
        <w:rPr>
          <w:rFonts w:ascii="Arial" w:cs="Arial" w:eastAsia="Arial" w:hAnsi="Arial"/>
          <w:sz w:val="17"/>
          <w:szCs w:val="17"/>
          <w:color w:val="auto"/>
        </w:rPr>
        <w:t>,” and the Class A Shares included in the Public Units, the “</w:t>
      </w:r>
      <w:r>
        <w:rPr>
          <w:rFonts w:ascii="Arial" w:cs="Arial" w:eastAsia="Arial" w:hAnsi="Arial"/>
          <w:sz w:val="17"/>
          <w:szCs w:val="17"/>
          <w:u w:val="single" w:color="auto"/>
          <w:color w:val="auto"/>
        </w:rPr>
        <w:t>Public Shares</w:t>
      </w:r>
      <w:r>
        <w:rPr>
          <w:rFonts w:ascii="Arial" w:cs="Arial" w:eastAsia="Arial" w:hAnsi="Arial"/>
          <w:sz w:val="17"/>
          <w:szCs w:val="17"/>
          <w:color w:val="auto"/>
        </w:rPr>
        <w:t>”), and one-third of one redeemable warrant, where each whole redeemable warrant is exercisable to purchase one Class A Share at an exercise price of $11.50 per share (the “</w:t>
      </w:r>
      <w:r>
        <w:rPr>
          <w:rFonts w:ascii="Arial" w:cs="Arial" w:eastAsia="Arial" w:hAnsi="Arial"/>
          <w:sz w:val="17"/>
          <w:szCs w:val="17"/>
          <w:u w:val="single" w:color="auto"/>
          <w:color w:val="auto"/>
        </w:rPr>
        <w:t>Warrants</w:t>
      </w:r>
      <w:r>
        <w:rPr>
          <w:rFonts w:ascii="Arial" w:cs="Arial" w:eastAsia="Arial" w:hAnsi="Arial"/>
          <w:sz w:val="17"/>
          <w:szCs w:val="17"/>
          <w:color w:val="auto"/>
        </w:rPr>
        <w:t>,” and the Warrants included in the Public Units, the “</w:t>
      </w:r>
      <w:r>
        <w:rPr>
          <w:rFonts w:ascii="Arial" w:cs="Arial" w:eastAsia="Arial" w:hAnsi="Arial"/>
          <w:sz w:val="17"/>
          <w:szCs w:val="17"/>
          <w:u w:val="single" w:color="auto"/>
          <w:color w:val="auto"/>
        </w:rPr>
        <w:t>Public Warrants</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sponsor, CMLS Holdings, LLC, and certain of the Company’s independent director nominees have severally agreed to purchase an aggregate of 6,000,000 warrants (or 6,700,000 warrants if the IPO Option is exercised in full) at a price of $1.50 per warrant in a private placement that will close simultaneously with the closing of the IPO (the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following the closing of the IPO (the “</w:t>
      </w:r>
      <w:r>
        <w:rPr>
          <w:rFonts w:ascii="Arial" w:cs="Arial" w:eastAsia="Arial" w:hAnsi="Arial"/>
          <w:sz w:val="16"/>
          <w:szCs w:val="16"/>
          <w:u w:val="single" w:color="auto"/>
          <w:color w:val="auto"/>
        </w:rPr>
        <w:t>IPO Closing</w:t>
      </w:r>
      <w:r>
        <w:rPr>
          <w:rFonts w:ascii="Arial" w:cs="Arial" w:eastAsia="Arial" w:hAnsi="Arial"/>
          <w:sz w:val="16"/>
          <w:szCs w:val="16"/>
          <w:color w:val="auto"/>
        </w:rPr>
        <w:t>”), the Company will seek to identify and consummate a Business Combination;</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parties wish to enter into this Agreement, pursuant to which, concurrently with the closing of the Company’s initial Business Combination (the “</w:t>
      </w:r>
      <w:r>
        <w:rPr>
          <w:rFonts w:ascii="Arial" w:cs="Arial" w:eastAsia="Arial" w:hAnsi="Arial"/>
          <w:sz w:val="18"/>
          <w:szCs w:val="18"/>
          <w:u w:val="single" w:color="auto"/>
          <w:color w:val="auto"/>
        </w:rPr>
        <w:t>Business Combination Closing</w:t>
      </w:r>
      <w:r>
        <w:rPr>
          <w:rFonts w:ascii="Arial" w:cs="Arial" w:eastAsia="Arial" w:hAnsi="Arial"/>
          <w:sz w:val="18"/>
          <w:szCs w:val="18"/>
          <w:color w:val="auto"/>
        </w:rPr>
        <w:t>”), the Company shall issue and sell to each Purchaser (as defined below), and each Purchaser shall purchase from the Company, on a private placement basis, the number of Class A Shares (the “</w:t>
      </w:r>
      <w:r>
        <w:rPr>
          <w:rFonts w:ascii="Arial" w:cs="Arial" w:eastAsia="Arial" w:hAnsi="Arial"/>
          <w:sz w:val="18"/>
          <w:szCs w:val="18"/>
          <w:u w:val="single" w:color="auto"/>
          <w:color w:val="auto"/>
        </w:rPr>
        <w:t>Forward Purchase Shares</w:t>
      </w:r>
      <w:r>
        <w:rPr>
          <w:rFonts w:ascii="Arial" w:cs="Arial" w:eastAsia="Arial" w:hAnsi="Arial"/>
          <w:sz w:val="18"/>
          <w:szCs w:val="18"/>
          <w:color w:val="auto"/>
        </w:rPr>
        <w:t xml:space="preserve">”) determined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hereof, subject to the terms and conditions set forth herein;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concurrently with this Agreement, the Company has entered into an agreement in the form of this Agreement (the “</w:t>
      </w:r>
      <w:r>
        <w:rPr>
          <w:rFonts w:ascii="Arial" w:cs="Arial" w:eastAsia="Arial" w:hAnsi="Arial"/>
          <w:sz w:val="18"/>
          <w:szCs w:val="18"/>
          <w:u w:val="single" w:color="auto"/>
          <w:color w:val="auto"/>
        </w:rPr>
        <w:t>Other Forward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w:t>
      </w:r>
      <w:r>
        <w:rPr>
          <w:rFonts w:ascii="Arial" w:cs="Arial" w:eastAsia="Arial" w:hAnsi="Arial"/>
          <w:sz w:val="18"/>
          <w:szCs w:val="18"/>
          <w:color w:val="auto"/>
        </w:rPr>
        <w:t>”) with [●], acting solely in its capacity as investment advisor to one or more Clients managed from time to time by such advisor pursuant to which such advisor may allocate to one or more of such Clients or assign to one or more third parties the obligation to purchase forward purchase shares (the advisor under the Other Forward Contract together with the Advisor, the “</w:t>
      </w:r>
      <w:r>
        <w:rPr>
          <w:rFonts w:ascii="Arial" w:cs="Arial" w:eastAsia="Arial" w:hAnsi="Arial"/>
          <w:sz w:val="18"/>
          <w:szCs w:val="18"/>
          <w:u w:val="single" w:color="auto"/>
          <w:color w:val="auto"/>
        </w:rPr>
        <w:t>Advisors</w:t>
      </w:r>
      <w:r>
        <w:rPr>
          <w:rFonts w:ascii="Arial" w:cs="Arial" w:eastAsia="Arial" w:hAnsi="Arial"/>
          <w:sz w:val="18"/>
          <w:szCs w:val="18"/>
          <w:color w:val="auto"/>
        </w:rPr>
        <w:t>”) and the purchasers under the Other Forward Contract together with the Purchasers, the “</w:t>
      </w:r>
      <w:r>
        <w:rPr>
          <w:rFonts w:ascii="Arial" w:cs="Arial" w:eastAsia="Arial" w:hAnsi="Arial"/>
          <w:sz w:val="18"/>
          <w:szCs w:val="18"/>
          <w:u w:val="single" w:color="auto"/>
          <w:color w:val="auto"/>
        </w:rPr>
        <w:t>Forward Contract Parties</w:t>
      </w:r>
      <w:r>
        <w:rPr>
          <w:rFonts w:ascii="Arial" w:cs="Arial" w:eastAsia="Arial" w:hAnsi="Arial"/>
          <w:sz w:val="18"/>
          <w:szCs w:val="18"/>
          <w:color w:val="auto"/>
        </w:rPr>
        <w:t>” and each, a “</w:t>
      </w:r>
      <w:r>
        <w:rPr>
          <w:rFonts w:ascii="Arial" w:cs="Arial" w:eastAsia="Arial" w:hAnsi="Arial"/>
          <w:sz w:val="18"/>
          <w:szCs w:val="18"/>
          <w:u w:val="single" w:color="auto"/>
          <w:color w:val="auto"/>
        </w:rPr>
        <w:t>Forward Contract Party</w:t>
      </w:r>
      <w:r>
        <w:rPr>
          <w:rFonts w:ascii="Arial" w:cs="Arial" w:eastAsia="Arial" w:hAnsi="Arial"/>
          <w:sz w:val="18"/>
          <w:szCs w:val="18"/>
          <w:color w:val="auto"/>
        </w:rPr>
        <w:t>”) for the purchase of, together with the Forward Purchase Shares to be purchased hereunder, up to an aggregate of 15,000,000 Class A Shares upon the Business Combination Closing for an aggregate purchase price of $150,000,000;</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proceeds from the IPO and the sale of the Private Placement Warrants in an aggregate amount equal to the gross proceeds from the IPO will be deposited into a trust account for the benefit of the holders of the Public Shares (the “</w:t>
      </w:r>
      <w:r>
        <w:rPr>
          <w:rFonts w:ascii="Arial" w:cs="Arial" w:eastAsia="Arial" w:hAnsi="Arial"/>
          <w:sz w:val="18"/>
          <w:szCs w:val="18"/>
          <w:u w:val="single" w:color="auto"/>
          <w:color w:val="auto"/>
        </w:rPr>
        <w:t>Trust Account</w:t>
      </w:r>
      <w:r>
        <w:rPr>
          <w:rFonts w:ascii="Arial" w:cs="Arial" w:eastAsia="Arial" w:hAnsi="Arial"/>
          <w:sz w:val="18"/>
          <w:szCs w:val="18"/>
          <w:color w:val="auto"/>
        </w:rPr>
        <w:t>”), as described in 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3" w:name="page384"/>
    <w:bookmarkEnd w:id="383"/>
    <w:p>
      <w:pPr>
        <w:jc w:val="both"/>
        <w:ind w:firstLine="648"/>
        <w:spacing w:after="0" w:line="275" w:lineRule="auto"/>
        <w:rPr>
          <w:sz w:val="20"/>
          <w:szCs w:val="20"/>
          <w:color w:val="auto"/>
        </w:rPr>
      </w:pPr>
      <w:r>
        <w:rPr>
          <w:rFonts w:ascii="Arial" w:cs="Arial" w:eastAsia="Arial" w:hAnsi="Arial"/>
          <w:sz w:val="17"/>
          <w:szCs w:val="17"/>
          <w:color w:val="auto"/>
        </w:rPr>
        <w:t>WHEREAS, the amounts available to the Company from the Trust Account (after giving effect to any redemptions of Public Shares) and any other equity or debt financing obtained by the Company in connection with the Business Combination (the “</w:t>
      </w:r>
      <w:r>
        <w:rPr>
          <w:rFonts w:ascii="Arial" w:cs="Arial" w:eastAsia="Arial" w:hAnsi="Arial"/>
          <w:sz w:val="17"/>
          <w:szCs w:val="17"/>
          <w:u w:val="single" w:color="auto"/>
          <w:color w:val="auto"/>
        </w:rPr>
        <w:t>Available Cash</w:t>
      </w:r>
      <w:r>
        <w:rPr>
          <w:rFonts w:ascii="Arial" w:cs="Arial" w:eastAsia="Arial" w:hAnsi="Arial"/>
          <w:sz w:val="17"/>
          <w:szCs w:val="17"/>
          <w:color w:val="auto"/>
        </w:rPr>
        <w:t>”), together with the proceeds from the sale of the Forward Purchase Shares, will be used to satisfy the cash requirements of the Business Combination, including funding the purchase price and paying expenses and retaining amounts specified in the definitive agreement for the Business Combination (the “</w:t>
      </w:r>
      <w:r>
        <w:rPr>
          <w:rFonts w:ascii="Arial" w:cs="Arial" w:eastAsia="Arial" w:hAnsi="Arial"/>
          <w:sz w:val="17"/>
          <w:szCs w:val="17"/>
          <w:u w:val="single" w:color="auto"/>
          <w:color w:val="auto"/>
        </w:rPr>
        <w:t>Definitive Agreement</w:t>
      </w:r>
      <w:r>
        <w:rPr>
          <w:rFonts w:ascii="Arial" w:cs="Arial" w:eastAsia="Arial" w:hAnsi="Arial"/>
          <w:sz w:val="17"/>
          <w:szCs w:val="17"/>
          <w:color w:val="auto"/>
        </w:rPr>
        <w:t>”) to be retained for use by the post-Business Combination company for working capital or other purposes (the “</w:t>
      </w:r>
      <w:r>
        <w:rPr>
          <w:rFonts w:ascii="Arial" w:cs="Arial" w:eastAsia="Arial" w:hAnsi="Arial"/>
          <w:sz w:val="17"/>
          <w:szCs w:val="17"/>
          <w:u w:val="single" w:color="auto"/>
          <w:color w:val="auto"/>
        </w:rPr>
        <w:t>Cash Requirements</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NOW, THEREFORE, in consideration of the premises, representations, warranties and the mutual covenants contained in this Agreement, and for other good and valuable consideration, the receipt, sufficiency and adequacy of which are hereby acknowledged, the parties hereto agree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180" w:hanging="172"/>
        <w:spacing w:after="0"/>
        <w:tabs>
          <w:tab w:leader="none" w:pos="1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229" w:lineRule="exact"/>
        <w:rPr>
          <w:rFonts w:ascii="Arial" w:cs="Arial" w:eastAsia="Arial" w:hAnsi="Arial"/>
          <w:sz w:val="18"/>
          <w:szCs w:val="18"/>
          <w:b w:val="1"/>
          <w:bCs w:val="1"/>
          <w:color w:val="auto"/>
        </w:rPr>
      </w:pPr>
    </w:p>
    <w:p>
      <w:pPr>
        <w:ind w:left="940" w:hanging="284"/>
        <w:spacing w:after="0"/>
        <w:tabs>
          <w:tab w:leader="none" w:pos="94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Forward Purchase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69" w:val="left"/>
        </w:tabs>
        <w:numPr>
          <w:ilvl w:val="2"/>
          <w:numId w:val="28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hereof, the Company shall issue and sell to the Purchaser or Purchasers, determined as set forth in </w:t>
      </w:r>
      <w:r>
        <w:rPr>
          <w:rFonts w:ascii="Arial" w:cs="Arial" w:eastAsia="Arial" w:hAnsi="Arial"/>
          <w:sz w:val="18"/>
          <w:szCs w:val="18"/>
          <w:u w:val="single" w:color="auto"/>
          <w:color w:val="auto"/>
        </w:rPr>
        <w:t>Section 1(a)(ii)(B)</w:t>
      </w:r>
      <w:r>
        <w:rPr>
          <w:rFonts w:ascii="Arial" w:cs="Arial" w:eastAsia="Arial" w:hAnsi="Arial"/>
          <w:sz w:val="18"/>
          <w:szCs w:val="18"/>
          <w:color w:val="auto"/>
        </w:rPr>
        <w:t xml:space="preserve"> hereof, and the Purchaser or Purchasers shall purchase from the Company, up to an aggregate maximum of 7,500,000 Forward Purchase Shares (the “</w:t>
      </w:r>
      <w:r>
        <w:rPr>
          <w:rFonts w:ascii="Arial" w:cs="Arial" w:eastAsia="Arial" w:hAnsi="Arial"/>
          <w:sz w:val="18"/>
          <w:szCs w:val="18"/>
          <w:u w:val="single" w:color="auto"/>
          <w:color w:val="auto"/>
        </w:rPr>
        <w:t>Maximum Shares</w:t>
      </w:r>
      <w:r>
        <w:rPr>
          <w:rFonts w:ascii="Arial" w:cs="Arial" w:eastAsia="Arial" w:hAnsi="Arial"/>
          <w:sz w:val="18"/>
          <w:szCs w:val="18"/>
          <w:color w:val="auto"/>
        </w:rPr>
        <w:t>”), for a purchase price of $10.00 per Forward Purchase Share (the “</w:t>
      </w:r>
      <w:r>
        <w:rPr>
          <w:rFonts w:ascii="Arial" w:cs="Arial" w:eastAsia="Arial" w:hAnsi="Arial"/>
          <w:sz w:val="18"/>
          <w:szCs w:val="18"/>
          <w:u w:val="single" w:color="auto"/>
          <w:color w:val="auto"/>
        </w:rPr>
        <w:t>Forward Purchase Price</w:t>
      </w:r>
      <w:r>
        <w:rPr>
          <w:rFonts w:ascii="Arial" w:cs="Arial" w:eastAsia="Arial" w:hAnsi="Arial"/>
          <w:sz w:val="18"/>
          <w:szCs w:val="18"/>
          <w:color w:val="auto"/>
        </w:rPr>
        <w:t>”), or up to a maximum of $75,000,000 in the aggregate.</w:t>
      </w:r>
    </w:p>
    <w:p>
      <w:pPr>
        <w:spacing w:after="0" w:line="186" w:lineRule="exact"/>
        <w:rPr>
          <w:rFonts w:ascii="Arial" w:cs="Arial" w:eastAsia="Arial" w:hAnsi="Arial"/>
          <w:sz w:val="18"/>
          <w:szCs w:val="18"/>
          <w:color w:val="auto"/>
        </w:rPr>
      </w:pPr>
    </w:p>
    <w:p>
      <w:pPr>
        <w:ind w:firstLine="1304"/>
        <w:spacing w:after="0" w:line="277" w:lineRule="auto"/>
        <w:tabs>
          <w:tab w:leader="none" w:pos="1606"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number of Forward Purchase Shares to be issued and sold by the Company and purchased by each Purchaser hereunder shall be determined as follows:</w:t>
      </w:r>
    </w:p>
    <w:p>
      <w:pPr>
        <w:spacing w:after="0" w:line="170" w:lineRule="exact"/>
        <w:rPr>
          <w:rFonts w:ascii="Arial" w:cs="Arial" w:eastAsia="Arial" w:hAnsi="Arial"/>
          <w:sz w:val="18"/>
          <w:szCs w:val="18"/>
          <w:color w:val="auto"/>
        </w:rPr>
      </w:pPr>
    </w:p>
    <w:p>
      <w:pPr>
        <w:jc w:val="both"/>
        <w:ind w:firstLine="1547"/>
        <w:spacing w:after="0" w:line="272" w:lineRule="auto"/>
        <w:tabs>
          <w:tab w:leader="none" w:pos="1854" w:val="left"/>
        </w:tabs>
        <w:numPr>
          <w:ilvl w:val="3"/>
          <w:numId w:val="286"/>
        </w:numPr>
        <w:rPr>
          <w:rFonts w:ascii="Arial" w:cs="Arial" w:eastAsia="Arial" w:hAnsi="Arial"/>
          <w:sz w:val="17"/>
          <w:szCs w:val="17"/>
          <w:color w:val="auto"/>
        </w:rPr>
      </w:pPr>
      <w:r>
        <w:rPr>
          <w:rFonts w:ascii="Arial" w:cs="Arial" w:eastAsia="Arial" w:hAnsi="Arial"/>
          <w:sz w:val="17"/>
          <w:szCs w:val="17"/>
          <w:color w:val="auto"/>
        </w:rPr>
        <w:t>As soon as reasonably practicable, but in no event less than fifteen (15) Business Days prior to the Company’s entry into the Definitive Agreement, the Company shall provide the Advisor with notice (the “</w:t>
      </w:r>
      <w:r>
        <w:rPr>
          <w:rFonts w:ascii="Arial" w:cs="Arial" w:eastAsia="Arial" w:hAnsi="Arial"/>
          <w:sz w:val="17"/>
          <w:szCs w:val="17"/>
          <w:u w:val="single" w:color="auto"/>
          <w:color w:val="auto"/>
        </w:rPr>
        <w:t>Initial Company Notice</w:t>
      </w:r>
      <w:r>
        <w:rPr>
          <w:rFonts w:ascii="Arial" w:cs="Arial" w:eastAsia="Arial" w:hAnsi="Arial"/>
          <w:sz w:val="17"/>
          <w:szCs w:val="17"/>
          <w:color w:val="auto"/>
        </w:rPr>
        <w:t xml:space="preserve">”) of the number of Forward Purchase Shares desired to be issued and sold by the Company pursuant to this Agreement. Such number of Forward Purchase Shares shall be determined by the Company, in its sole discretion, based on, but not limited to, the Cash Requirements and the Available Cash;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number shall in no event exceed the Maximum Shares. Following delivery of the Initial Company Notice, the Company shall provide the Advisor with such other information as the Advisor (or any applicable Transferee pursuant to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may reasonably request so that the Advisor may appropriately determine the allocation of the Forward Purchase Shares pursuant to </w:t>
      </w:r>
      <w:r>
        <w:rPr>
          <w:rFonts w:ascii="Arial" w:cs="Arial" w:eastAsia="Arial" w:hAnsi="Arial"/>
          <w:sz w:val="17"/>
          <w:szCs w:val="17"/>
          <w:u w:val="single" w:color="auto"/>
          <w:color w:val="auto"/>
        </w:rPr>
        <w:t>Section 1(a)(ii)(C)</w:t>
      </w:r>
      <w:r>
        <w:rPr>
          <w:rFonts w:ascii="Arial" w:cs="Arial" w:eastAsia="Arial" w:hAnsi="Arial"/>
          <w:sz w:val="17"/>
          <w:szCs w:val="17"/>
          <w:color w:val="auto"/>
        </w:rPr>
        <w:t xml:space="preserve"> hereof.</w:t>
      </w:r>
    </w:p>
    <w:p>
      <w:pPr>
        <w:spacing w:after="0" w:line="177" w:lineRule="exact"/>
        <w:rPr>
          <w:rFonts w:ascii="Arial" w:cs="Arial" w:eastAsia="Arial" w:hAnsi="Arial"/>
          <w:sz w:val="17"/>
          <w:szCs w:val="17"/>
          <w:color w:val="auto"/>
        </w:rPr>
      </w:pPr>
    </w:p>
    <w:p>
      <w:pPr>
        <w:ind w:left="1840" w:hanging="293"/>
        <w:spacing w:after="0"/>
        <w:tabs>
          <w:tab w:leader="none" w:pos="1840" w:val="left"/>
        </w:tabs>
        <w:numPr>
          <w:ilvl w:val="3"/>
          <w:numId w:val="286"/>
        </w:numPr>
        <w:rPr>
          <w:rFonts w:ascii="Arial" w:cs="Arial" w:eastAsia="Arial" w:hAnsi="Arial"/>
          <w:sz w:val="16"/>
          <w:szCs w:val="16"/>
          <w:color w:val="auto"/>
        </w:rPr>
      </w:pPr>
      <w:r>
        <w:rPr>
          <w:rFonts w:ascii="Arial" w:cs="Arial" w:eastAsia="Arial" w:hAnsi="Arial"/>
          <w:sz w:val="16"/>
          <w:szCs w:val="16"/>
          <w:color w:val="auto"/>
        </w:rPr>
        <w:t>Subject to Section 1(a)(ii)(C) hereof, within ten (10) Business Days after receipt of the Initial Company Notice, the Advisor shall</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allocate to one or more Clients or, in lieu of allocating to a Client, assign to one or more third parties (together with the Clients, the “</w:t>
      </w:r>
      <w:r>
        <w:rPr>
          <w:rFonts w:ascii="Arial" w:cs="Arial" w:eastAsia="Arial" w:hAnsi="Arial"/>
          <w:sz w:val="18"/>
          <w:szCs w:val="18"/>
          <w:u w:val="single" w:color="auto"/>
          <w:color w:val="auto"/>
        </w:rPr>
        <w:t>Purchasers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Purchaser</w:t>
      </w:r>
      <w:r>
        <w:rPr>
          <w:rFonts w:ascii="Arial" w:cs="Arial" w:eastAsia="Arial" w:hAnsi="Arial"/>
          <w:sz w:val="18"/>
          <w:szCs w:val="18"/>
          <w:color w:val="auto"/>
        </w:rPr>
        <w:t>”), in whole or in part, the obligation to purchase the Forward Purchase Shares set forth in the Initial Company Notice and (ii) provide the Company with notice (the “</w:t>
      </w:r>
      <w:r>
        <w:rPr>
          <w:rFonts w:ascii="Arial" w:cs="Arial" w:eastAsia="Arial" w:hAnsi="Arial"/>
          <w:sz w:val="18"/>
          <w:szCs w:val="18"/>
          <w:u w:val="single" w:color="auto"/>
          <w:color w:val="auto"/>
        </w:rPr>
        <w:t>Initial Purchaser Notice</w:t>
      </w:r>
      <w:r>
        <w:rPr>
          <w:rFonts w:ascii="Arial" w:cs="Arial" w:eastAsia="Arial" w:hAnsi="Arial"/>
          <w:sz w:val="18"/>
          <w:szCs w:val="18"/>
          <w:color w:val="auto"/>
        </w:rPr>
        <w:t>”) of the identity of each Purchaser and the number of Forward Purchase Shares it has allocated or assigned to each Purchaser pursuant to this Agreement, if any, which shall not exceed the Maximum Shares. Upon such allocation or assignment:</w:t>
      </w:r>
    </w:p>
    <w:p>
      <w:pPr>
        <w:spacing w:after="0" w:line="190" w:lineRule="exact"/>
        <w:rPr>
          <w:rFonts w:ascii="Arial" w:cs="Arial" w:eastAsia="Arial" w:hAnsi="Arial"/>
          <w:sz w:val="16"/>
          <w:szCs w:val="16"/>
          <w:color w:val="auto"/>
        </w:rPr>
      </w:pPr>
    </w:p>
    <w:p>
      <w:pPr>
        <w:jc w:val="both"/>
        <w:ind w:firstLine="2276"/>
        <w:spacing w:after="0" w:line="269" w:lineRule="auto"/>
        <w:tabs>
          <w:tab w:leader="none" w:pos="2493" w:val="left"/>
        </w:tabs>
        <w:numPr>
          <w:ilvl w:val="4"/>
          <w:numId w:val="286"/>
        </w:numPr>
        <w:rPr>
          <w:rFonts w:ascii="Arial" w:cs="Arial" w:eastAsia="Arial" w:hAnsi="Arial"/>
          <w:sz w:val="17"/>
          <w:szCs w:val="17"/>
          <w:color w:val="auto"/>
        </w:rPr>
      </w:pPr>
      <w:r>
        <w:rPr>
          <w:rFonts w:ascii="Arial" w:cs="Arial" w:eastAsia="Arial" w:hAnsi="Arial"/>
          <w:sz w:val="17"/>
          <w:szCs w:val="17"/>
          <w:color w:val="auto"/>
        </w:rPr>
        <w:t xml:space="preserve">such Purchaser shall execute a signature page to this Agreement, substantially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Purchaser Joinder</w:t>
      </w:r>
      <w:r>
        <w:rPr>
          <w:rFonts w:ascii="Arial" w:cs="Arial" w:eastAsia="Arial" w:hAnsi="Arial"/>
          <w:sz w:val="17"/>
          <w:szCs w:val="17"/>
          <w:color w:val="auto"/>
        </w:rPr>
        <w:t xml:space="preserve">”), which shall reflect the number of Forward Purchase Shares to be purchased by such Purchaser and shall constitute the binding obligation of such Purchaser to purchase such Forward Purchase Shares, subject to the terms and conditions of this Agreement, and, upon such execution, such Purchaser shall have all the rights and obligations of a Purchaser hereunder with respect to such Forward Purchase Shares and shall make all of the representations, warranties, covenants and agreements of a Purchaser hereunder, and references herein to the “Purchaser” shall be deemed to refer to such Purchaser and to its Forward Purchase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representations, warranties, covenants and agreements of such Purchaser and any other Purchaser shall be several and not joint and shall be made as to such Purchaser or any other Purchaser, as applicable, as to itself only;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anything to the contrary contained herein, to the extent the Company proposes to obtain alternative financing to fund the initial Business Combination in the form of an offering of New Equity Securities (“</w:t>
      </w:r>
      <w:r>
        <w:rPr>
          <w:rFonts w:ascii="Arial" w:cs="Arial" w:eastAsia="Arial" w:hAnsi="Arial"/>
          <w:sz w:val="17"/>
          <w:szCs w:val="17"/>
          <w:u w:val="single" w:color="auto"/>
          <w:color w:val="auto"/>
        </w:rPr>
        <w:t>Alternative Financing</w:t>
      </w:r>
      <w:r>
        <w:rPr>
          <w:rFonts w:ascii="Arial" w:cs="Arial" w:eastAsia="Arial" w:hAnsi="Arial"/>
          <w:sz w:val="17"/>
          <w:szCs w:val="17"/>
          <w:color w:val="auto"/>
        </w:rPr>
        <w:t xml:space="preserve">”) and a Purchaser participates in such Alternative Financing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the aggregate commitment hereunder shall be reduced by the amount of such Purchaser’s participation in such Alternative Financing;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4" w:name="page385"/>
    <w:bookmarkEnd w:id="384"/>
    <w:p>
      <w:pPr>
        <w:jc w:val="both"/>
        <w:ind w:firstLine="2268"/>
        <w:spacing w:after="0" w:line="259" w:lineRule="auto"/>
        <w:rPr>
          <w:sz w:val="20"/>
          <w:szCs w:val="20"/>
          <w:color w:val="auto"/>
        </w:rPr>
      </w:pPr>
      <w:r>
        <w:rPr>
          <w:rFonts w:ascii="Arial" w:cs="Arial" w:eastAsia="Arial" w:hAnsi="Arial"/>
          <w:sz w:val="18"/>
          <w:szCs w:val="18"/>
          <w:color w:val="auto"/>
        </w:rPr>
        <w:t xml:space="preserve">2. upon a Purchaser’s execution and delivery of a Purchaser Joinder, the number of Forward Purchase Shares to be purchased by such Purchaser hereunder shall be reflected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this Agreement. For the avoidance of doubt, this Agreement need not be amended and restated in its entirety, but only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need be completed by each of the Purchaser and the Company upon the occurrence of any such allocation of the Forward Purchase Shares.</w:t>
      </w:r>
    </w:p>
    <w:p>
      <w:pPr>
        <w:spacing w:after="0" w:line="186" w:lineRule="exact"/>
        <w:rPr>
          <w:sz w:val="20"/>
          <w:szCs w:val="20"/>
          <w:color w:val="auto"/>
        </w:rPr>
      </w:pPr>
    </w:p>
    <w:p>
      <w:pPr>
        <w:jc w:val="both"/>
        <w:ind w:firstLine="1547"/>
        <w:spacing w:after="0" w:line="269" w:lineRule="auto"/>
        <w:tabs>
          <w:tab w:leader="none" w:pos="185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Notwithstanding the foregoing, the Advisor shall only be obligated to allocate the purchase of some or all of the number of Forward Purchase Shares set forth in the Initial Company Notice to any Client if and only if: (i) the initial Business Combination is proposed to be consummated with a company engaged in a business that is within the investment objectives, guidelines and restrictions of such Client and not in violation of any conflicts of interest provisions applicable to such Client; and (ii) the initial Business Combination, including the target assets or business, and the terms of the Business Combination, are reasonably acceptable to such Client, as determined by the Advisor in its sole discretion (it being understood that the Advisor may consider many of the same criteria as the Company will consider, but will also consider whether the investment is an appropriate investment for such Client), and if not all of the Forward Purchase Shares set forth in the Initial Company Notice are allocated to Clients, the Advisor may, but shall not be obligated to, assign the obligation to purchase such Forward Purchase Shares to one or more third parties. The Company acknowledges that this Agreement is neither a commitment nor an obligation of any Client to purchase any Forward Purchase Shares, unless otherwise expressly agreed in writing by such Client by execution and delivery of a Purchaser Joinder.</w:t>
      </w:r>
    </w:p>
    <w:p>
      <w:pPr>
        <w:spacing w:after="0" w:line="185" w:lineRule="exact"/>
        <w:rPr>
          <w:rFonts w:ascii="Arial" w:cs="Arial" w:eastAsia="Arial" w:hAnsi="Arial"/>
          <w:sz w:val="17"/>
          <w:szCs w:val="17"/>
          <w:color w:val="auto"/>
        </w:rPr>
      </w:pPr>
    </w:p>
    <w:p>
      <w:pPr>
        <w:ind w:right="20" w:firstLine="1304"/>
        <w:spacing w:after="0" w:line="277" w:lineRule="auto"/>
        <w:tabs>
          <w:tab w:leader="none" w:pos="171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At least two (2) Business Days before the Business Combination Closing, the Company shall provide each Purchaser with an updated notice (the “</w:t>
      </w:r>
      <w:r>
        <w:rPr>
          <w:rFonts w:ascii="Arial" w:cs="Arial" w:eastAsia="Arial" w:hAnsi="Arial"/>
          <w:sz w:val="18"/>
          <w:szCs w:val="18"/>
          <w:u w:val="single" w:color="auto"/>
          <w:color w:val="auto"/>
        </w:rPr>
        <w:t>Final Company Notice</w:t>
      </w:r>
      <w:r>
        <w:rPr>
          <w:rFonts w:ascii="Arial" w:cs="Arial" w:eastAsia="Arial" w:hAnsi="Arial"/>
          <w:sz w:val="18"/>
          <w:szCs w:val="18"/>
          <w:color w:val="auto"/>
        </w:rPr>
        <w:t>”) including:</w:t>
      </w:r>
    </w:p>
    <w:p>
      <w:pPr>
        <w:spacing w:after="0" w:line="170" w:lineRule="exact"/>
        <w:rPr>
          <w:rFonts w:ascii="Arial" w:cs="Arial" w:eastAsia="Arial" w:hAnsi="Arial"/>
          <w:sz w:val="18"/>
          <w:szCs w:val="18"/>
          <w:color w:val="auto"/>
        </w:rPr>
      </w:pPr>
    </w:p>
    <w:p>
      <w:pPr>
        <w:ind w:left="2300" w:hanging="309"/>
        <w:spacing w:after="0"/>
        <w:tabs>
          <w:tab w:leader="none" w:pos="2300" w:val="left"/>
        </w:tabs>
        <w:numPr>
          <w:ilvl w:val="2"/>
          <w:numId w:val="288"/>
        </w:numPr>
        <w:rPr>
          <w:rFonts w:ascii="Arial" w:cs="Arial" w:eastAsia="Arial" w:hAnsi="Arial"/>
          <w:sz w:val="16"/>
          <w:szCs w:val="16"/>
          <w:color w:val="auto"/>
        </w:rPr>
      </w:pPr>
      <w:r>
        <w:rPr>
          <w:rFonts w:ascii="Arial" w:cs="Arial" w:eastAsia="Arial" w:hAnsi="Arial"/>
          <w:sz w:val="16"/>
          <w:szCs w:val="16"/>
          <w:color w:val="auto"/>
        </w:rPr>
        <w:t>its determination of the number of Forward Purchase Shares that it desires each Purchaser to purchase pursuant to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2280" w:hanging="289"/>
        <w:spacing w:after="0"/>
        <w:tabs>
          <w:tab w:leader="none" w:pos="2280"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anticipated date of the Business Combination Closing; and</w:t>
      </w:r>
    </w:p>
    <w:p>
      <w:pPr>
        <w:spacing w:after="0" w:line="225" w:lineRule="exact"/>
        <w:rPr>
          <w:rFonts w:ascii="Arial" w:cs="Arial" w:eastAsia="Arial" w:hAnsi="Arial"/>
          <w:sz w:val="18"/>
          <w:szCs w:val="18"/>
          <w:color w:val="auto"/>
        </w:rPr>
      </w:pPr>
    </w:p>
    <w:p>
      <w:pPr>
        <w:ind w:left="2280" w:hanging="289"/>
        <w:spacing w:after="0"/>
        <w:tabs>
          <w:tab w:leader="none" w:pos="2280" w:val="left"/>
        </w:tabs>
        <w:numPr>
          <w:ilvl w:val="2"/>
          <w:numId w:val="288"/>
        </w:numPr>
        <w:rPr>
          <w:rFonts w:ascii="Arial" w:cs="Arial" w:eastAsia="Arial" w:hAnsi="Arial"/>
          <w:sz w:val="18"/>
          <w:szCs w:val="18"/>
          <w:color w:val="auto"/>
        </w:rPr>
      </w:pPr>
      <w:r>
        <w:rPr>
          <w:rFonts w:ascii="Arial" w:cs="Arial" w:eastAsia="Arial" w:hAnsi="Arial"/>
          <w:sz w:val="18"/>
          <w:szCs w:val="18"/>
          <w:color w:val="auto"/>
        </w:rPr>
        <w:t>instructions for wiring the Forward Purchase Price.</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1646"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At least one (1) Business Day before the Business Combination Closing, each Purchaser shall provide the Company with an updated notice (the “</w:t>
      </w:r>
      <w:r>
        <w:rPr>
          <w:rFonts w:ascii="Arial" w:cs="Arial" w:eastAsia="Arial" w:hAnsi="Arial"/>
          <w:sz w:val="17"/>
          <w:szCs w:val="17"/>
          <w:u w:val="single" w:color="auto"/>
          <w:color w:val="auto"/>
        </w:rPr>
        <w:t>Final Purchaser Notice</w:t>
      </w:r>
      <w:r>
        <w:rPr>
          <w:rFonts w:ascii="Arial" w:cs="Arial" w:eastAsia="Arial" w:hAnsi="Arial"/>
          <w:sz w:val="17"/>
          <w:szCs w:val="17"/>
          <w:color w:val="auto"/>
        </w:rPr>
        <w:t>”) of the number of Forward Purchase Shares it will be obligated to purchase pursuant to this Agreement, with no further notification or confirmation necessary from the Company, which number shall not be less than the lesser of (A) the number of Forward Purchase Shares that such Purchaser was obligated to purchase pursuant to such Purchaser’s Purchaser Joinder and (B) the number of Forward Purchase Shares that the Company desires the Purchaser to purchase as specified in the Final Company Notice.</w:t>
      </w:r>
    </w:p>
    <w:p>
      <w:pPr>
        <w:spacing w:after="0" w:line="176" w:lineRule="exact"/>
        <w:rPr>
          <w:rFonts w:ascii="Arial" w:cs="Arial" w:eastAsia="Arial" w:hAnsi="Arial"/>
          <w:sz w:val="17"/>
          <w:szCs w:val="17"/>
          <w:color w:val="auto"/>
        </w:rPr>
      </w:pPr>
    </w:p>
    <w:p>
      <w:pPr>
        <w:jc w:val="both"/>
        <w:ind w:firstLine="1304"/>
        <w:spacing w:after="0" w:line="287" w:lineRule="auto"/>
        <w:tabs>
          <w:tab w:leader="none" w:pos="159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closing of the sale of Forward Purchase Shares (the “</w:t>
      </w:r>
      <w:r>
        <w:rPr>
          <w:rFonts w:ascii="Arial" w:cs="Arial" w:eastAsia="Arial" w:hAnsi="Arial"/>
          <w:sz w:val="16"/>
          <w:szCs w:val="16"/>
          <w:u w:val="single" w:color="auto"/>
          <w:color w:val="auto"/>
        </w:rPr>
        <w:t>Forward Closing</w:t>
      </w:r>
      <w:r>
        <w:rPr>
          <w:rFonts w:ascii="Arial" w:cs="Arial" w:eastAsia="Arial" w:hAnsi="Arial"/>
          <w:sz w:val="16"/>
          <w:szCs w:val="16"/>
          <w:color w:val="auto"/>
        </w:rPr>
        <w:t>”) shall be held on the same date and concurrently with the Business Combination Closing (such date being referred to as the “</w:t>
      </w:r>
      <w:r>
        <w:rPr>
          <w:rFonts w:ascii="Arial" w:cs="Arial" w:eastAsia="Arial" w:hAnsi="Arial"/>
          <w:sz w:val="16"/>
          <w:szCs w:val="16"/>
          <w:u w:val="single" w:color="auto"/>
          <w:color w:val="auto"/>
        </w:rPr>
        <w:t>Forward Closing Date</w:t>
      </w:r>
      <w:r>
        <w:rPr>
          <w:rFonts w:ascii="Arial" w:cs="Arial" w:eastAsia="Arial" w:hAnsi="Arial"/>
          <w:sz w:val="16"/>
          <w:szCs w:val="16"/>
          <w:color w:val="auto"/>
        </w:rPr>
        <w:t>”). At least one (1) Business Day prior to the Forward Closing Date, the Purchaser shall deliver to the Company the Forward Purchase Price for the Forward Purchase Shares by wire transfer of U.S. dollars in immediately available funds to the account specified by the Company in such notice to be held in escrow until the Forward Closing. Immediately prior to the Forward Closing on the Forward Closing Date, (i) the Forward Purchase Price shall be released from escrow automatically and without further action by the Company or the Purchaser, and (ii) upon such release, the Company shall issue the Forward Purchase Shares to the Purchaser in book-entry form, free and clear of any liens or other restrictions whatsoever (other than those arising under state or federal securities laws), registered in the name of the Purchaser (or its nominee in accordance with its delivery instructions), or to a custodian designated by the Purchaser, as applicable. In the event the Business Combination Closing does not occur within five (5) Business Days of the date scheduled for closing, the Forward Closing shall not occur and the Company shall promptly (but not later than one (1) Business Day thereafter) return the Forward Purchase Price to the Purchaser. For purposes of this Agreement, “Business Day” means any day, other than a Saturday or a Sunday, that is neither a legal holiday nor a day on which banking institutions are generally authorized or required by law or regulation to close in the City of New York, New York.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5" w:name="page386"/>
    <w:bookmarkEnd w:id="385"/>
    <w:p>
      <w:pPr>
        <w:ind w:firstLine="656"/>
        <w:spacing w:after="0" w:line="277" w:lineRule="auto"/>
        <w:tabs>
          <w:tab w:leader="none" w:pos="96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Each register and book entry for the Forward Purchase Shares shall contain a notation, and each certificate (if any) evidencing the Forward Purchase Shares shall be stamped or otherwise imprinted with a legend, in substantially the following form:</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THE SECURITIES LAWS OF ANY STATE OR OTHER JURISDICTION, AND MAY NOT BE TRANSFERRED IN VIOLATION OF SUCH ACT AND LAWS. THE SALE, PLEDGE, HYPOTHECATION, OR TRANSFER OF THE SECURITIES REPRESENTED HEREBY ARE SUBJECT TO THE TERMS AND CONDITIONS OF A CERTAIN FORWARD PURCHASE AGREEMENT BY AND BETWEEN THE HOLDER AND THE COMPANY. COPIES OF SUCH AGREEMENT MAY BE OBTAINED UPON WRITTEN REQUEST TO THE SECRETARY OF THE COMPANY.”</w:t>
      </w:r>
    </w:p>
    <w:p>
      <w:pPr>
        <w:spacing w:after="0" w:line="188" w:lineRule="exact"/>
        <w:rPr>
          <w:sz w:val="20"/>
          <w:szCs w:val="20"/>
          <w:color w:val="auto"/>
        </w:rPr>
      </w:pPr>
    </w:p>
    <w:p>
      <w:pPr>
        <w:ind w:left="180" w:hanging="172"/>
        <w:spacing w:after="0"/>
        <w:tabs>
          <w:tab w:leader="none" w:pos="18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of the Advisor. </w:t>
      </w:r>
      <w:r>
        <w:rPr>
          <w:rFonts w:ascii="Arial" w:cs="Arial" w:eastAsia="Arial" w:hAnsi="Arial"/>
          <w:sz w:val="18"/>
          <w:szCs w:val="18"/>
          <w:color w:val="auto"/>
        </w:rPr>
        <w:t>The Advisor represents and warrants to the Company as follows, as of the date hereof:</w:t>
      </w:r>
    </w:p>
    <w:p>
      <w:pPr>
        <w:spacing w:after="0" w:line="229" w:lineRule="exact"/>
        <w:rPr>
          <w:rFonts w:ascii="Arial" w:cs="Arial" w:eastAsia="Arial" w:hAnsi="Arial"/>
          <w:sz w:val="18"/>
          <w:szCs w:val="18"/>
          <w:b w:val="1"/>
          <w:bCs w:val="1"/>
          <w:color w:val="auto"/>
        </w:rPr>
      </w:pPr>
    </w:p>
    <w:p>
      <w:pPr>
        <w:ind w:right="20" w:firstLine="656"/>
        <w:spacing w:after="0" w:line="277" w:lineRule="auto"/>
        <w:tabs>
          <w:tab w:leader="none" w:pos="991"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Organization and Power</w:t>
      </w:r>
      <w:r>
        <w:rPr>
          <w:rFonts w:ascii="Arial" w:cs="Arial" w:eastAsia="Arial" w:hAnsi="Arial"/>
          <w:sz w:val="18"/>
          <w:szCs w:val="18"/>
          <w:color w:val="auto"/>
        </w:rPr>
        <w:t>. The Advisor is duly organized, validly existing, and in good standing under the laws of the jurisdiction of its formation and has all requisite power and authority to carry on its business as presently conducted and as proposed to be conducted.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The Advisor has full power and authority to enter into this Agreement.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91"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Compliance with Other Instruments</w:t>
      </w:r>
      <w:r>
        <w:rPr>
          <w:rFonts w:ascii="Arial" w:cs="Arial" w:eastAsia="Arial" w:hAnsi="Arial"/>
          <w:sz w:val="18"/>
          <w:szCs w:val="18"/>
          <w:color w:val="auto"/>
        </w:rPr>
        <w:t>. The execution, delivery and performance by the Advisor of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federal or state statute, rule or regulation applicable to the Advisor, in each case (other than clause (i)), which would have a material adverse effect on the Advisor.</w:t>
      </w:r>
    </w:p>
    <w:p>
      <w:pPr>
        <w:spacing w:after="0" w:line="183" w:lineRule="exact"/>
        <w:rPr>
          <w:rFonts w:ascii="Arial" w:cs="Arial" w:eastAsia="Arial" w:hAnsi="Arial"/>
          <w:sz w:val="18"/>
          <w:szCs w:val="18"/>
          <w:color w:val="auto"/>
        </w:rPr>
      </w:pPr>
    </w:p>
    <w:p>
      <w:pPr>
        <w:ind w:firstLine="8"/>
        <w:spacing w:after="0" w:line="282" w:lineRule="auto"/>
        <w:tabs>
          <w:tab w:leader="none" w:pos="193"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of the Purchaser. </w:t>
      </w:r>
      <w:r>
        <w:rPr>
          <w:rFonts w:ascii="Arial" w:cs="Arial" w:eastAsia="Arial" w:hAnsi="Arial"/>
          <w:sz w:val="18"/>
          <w:szCs w:val="18"/>
          <w:color w:val="auto"/>
        </w:rPr>
        <w:t>Each Purchaser that executes and delivers a Purchaser Joinder represents and warrants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of the date of the Purchaser Joinder, as follows:</w:t>
      </w:r>
    </w:p>
    <w:p>
      <w:pPr>
        <w:spacing w:after="0" w:line="165" w:lineRule="exact"/>
        <w:rPr>
          <w:rFonts w:ascii="Arial" w:cs="Arial" w:eastAsia="Arial" w:hAnsi="Arial"/>
          <w:sz w:val="18"/>
          <w:szCs w:val="18"/>
          <w:b w:val="1"/>
          <w:bCs w:val="1"/>
          <w:color w:val="auto"/>
        </w:rPr>
      </w:pPr>
    </w:p>
    <w:p>
      <w:pPr>
        <w:ind w:firstLine="656"/>
        <w:spacing w:after="0" w:line="308" w:lineRule="auto"/>
        <w:tabs>
          <w:tab w:leader="none" w:pos="978"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Organization and Power</w:t>
      </w:r>
      <w:r>
        <w:rPr>
          <w:rFonts w:ascii="Arial" w:cs="Arial" w:eastAsia="Arial" w:hAnsi="Arial"/>
          <w:sz w:val="17"/>
          <w:szCs w:val="17"/>
          <w:color w:val="auto"/>
        </w:rPr>
        <w:t>. The Purchaser is duly organized, validly existing, and in good standing under the laws of the jurisdiction of its formation and has all requisite power and authority to carry on its business as presently conducted and as proposed to be conducted.</w:t>
      </w:r>
    </w:p>
    <w:p>
      <w:pPr>
        <w:spacing w:after="0" w:line="146" w:lineRule="exact"/>
        <w:rPr>
          <w:rFonts w:ascii="Arial" w:cs="Arial" w:eastAsia="Arial" w:hAnsi="Arial"/>
          <w:sz w:val="17"/>
          <w:szCs w:val="17"/>
          <w:color w:val="auto"/>
        </w:rPr>
      </w:pPr>
    </w:p>
    <w:p>
      <w:pPr>
        <w:jc w:val="both"/>
        <w:ind w:firstLine="656"/>
        <w:spacing w:after="0" w:line="291" w:lineRule="auto"/>
        <w:tabs>
          <w:tab w:leader="none" w:pos="948"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The Purchaser has full power and authority to enter into this Agreement. This Agreement, when executed and delivered by the Purchaser, will constitute the valid and legally binding obligation of the Purchaser, enforceable against the Purchaser in accordance with its terms, except</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as limited by applicable bankruptcy, insolvency, reorganization, moratorium, fraudulent conveyance and any other laws of general application affecting enforcement of creditors’ rights generally, (ii) as limited by laws relating to the availability of specific performance, injunctive relief or other equitable remedies, or (iii) to the extent the indemnification provisions contained in the Registration Rights (as defined below) may be limited by applicable federal or state securities laws.</w:t>
      </w:r>
    </w:p>
    <w:p>
      <w:pPr>
        <w:spacing w:after="0" w:line="192" w:lineRule="exact"/>
        <w:rPr>
          <w:rFonts w:ascii="Arial" w:cs="Arial" w:eastAsia="Arial" w:hAnsi="Arial"/>
          <w:sz w:val="16"/>
          <w:szCs w:val="16"/>
          <w:color w:val="auto"/>
        </w:rPr>
      </w:pPr>
    </w:p>
    <w:p>
      <w:pPr>
        <w:jc w:val="both"/>
        <w:ind w:firstLine="656"/>
        <w:spacing w:after="0" w:line="263" w:lineRule="auto"/>
        <w:tabs>
          <w:tab w:leader="none" w:pos="951"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Governmental Consents and Filings</w:t>
      </w:r>
      <w:r>
        <w:rPr>
          <w:rFonts w:ascii="Arial" w:cs="Arial" w:eastAsia="Arial" w:hAnsi="Arial"/>
          <w:sz w:val="18"/>
          <w:szCs w:val="18"/>
          <w:color w:val="auto"/>
        </w:rPr>
        <w:t>. No consent, approval, order or authorization of, or registration, qualification, designation, declaration or filing with, any federal, state or local governmental authority is required on the part of the Purchaser in connection with the consummation of the transactions contemplated by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6" w:name="page387"/>
    <w:bookmarkEnd w:id="386"/>
    <w:p>
      <w:pPr>
        <w:jc w:val="both"/>
        <w:ind w:firstLine="656"/>
        <w:spacing w:after="0" w:line="286" w:lineRule="auto"/>
        <w:tabs>
          <w:tab w:leader="none" w:pos="961"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execution, delivery and performance by the Purchaser of this Agreement and the consummation by the Purchaser of the transactions contemplated by this Agreement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w:t>
      </w:r>
    </w:p>
    <w:p>
      <w:pPr>
        <w:spacing w:after="0" w:line="1" w:lineRule="exact"/>
        <w:rPr>
          <w:rFonts w:ascii="Arial" w:cs="Arial" w:eastAsia="Arial" w:hAnsi="Arial"/>
          <w:sz w:val="16"/>
          <w:szCs w:val="16"/>
          <w:color w:val="auto"/>
        </w:rPr>
      </w:pPr>
    </w:p>
    <w:p>
      <w:pPr>
        <w:ind w:firstLine="8"/>
        <w:spacing w:after="0" w:line="260" w:lineRule="auto"/>
        <w:tabs>
          <w:tab w:leader="none" w:pos="27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of any provision of federal or state statute, rule or regulation applicable to the Purchaser, in each case (other than clause (i)), which would have a material adverse effect on the Purchaser or its ability to consummate the transactions contemplated by this Agreement.</w:t>
      </w:r>
    </w:p>
    <w:p>
      <w:pPr>
        <w:spacing w:after="0" w:line="185" w:lineRule="exact"/>
        <w:rPr>
          <w:rFonts w:ascii="Arial" w:cs="Arial" w:eastAsia="Arial" w:hAnsi="Arial"/>
          <w:sz w:val="18"/>
          <w:szCs w:val="18"/>
          <w:color w:val="auto"/>
        </w:rPr>
      </w:pPr>
    </w:p>
    <w:p>
      <w:pPr>
        <w:jc w:val="both"/>
        <w:ind w:firstLine="656"/>
        <w:spacing w:after="0" w:line="290" w:lineRule="auto"/>
        <w:tabs>
          <w:tab w:leader="none" w:pos="991"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This Agreement is made with the Purchaser in reliance upon the Purchaser’s representation to the Company, which by the Purchaser’s execution of this Agreement, the Purchaser hereby confirms, that the Forward Purchase Shares to be acquired by the Purchaser will be acquired for investment for the Purchaser’s own account, not as a nominee or agent, and not with a view to the resale or distribution of any part thereof in violation of any state or federal securities laws, and that the Purchaser has no present intention of selling, granting any participation in, or otherwise distributing the same in violation of law. By executing this Agreement, the Purchaser further represents that the Purchaser does not presently have any contract, undertaking, agreement or arrangement with any Person to sell, transfer or grant participations to such Person or to any third Person, with respect to any of the Forward Purchase Shares. For purposes of this Agreement, “</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or any government or any department or agency thereof.</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45"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Purchaser has had an opportunity to discuss the Company’s business, management, financial affairs and the terms and conditions of the offering of the Forward Purchase Shares, as well as the terms of the Company’s proposed IPO, with the Company’s management.</w:t>
      </w:r>
    </w:p>
    <w:p>
      <w:pPr>
        <w:spacing w:after="0" w:line="183" w:lineRule="exact"/>
        <w:rPr>
          <w:rFonts w:ascii="Arial" w:cs="Arial" w:eastAsia="Arial" w:hAnsi="Arial"/>
          <w:sz w:val="18"/>
          <w:szCs w:val="18"/>
          <w:color w:val="auto"/>
        </w:rPr>
      </w:pPr>
    </w:p>
    <w:p>
      <w:pPr>
        <w:jc w:val="both"/>
        <w:ind w:firstLine="656"/>
        <w:spacing w:after="0" w:line="286" w:lineRule="auto"/>
        <w:tabs>
          <w:tab w:leader="none" w:pos="948"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Restricted Securities</w:t>
      </w:r>
      <w:r>
        <w:rPr>
          <w:rFonts w:ascii="Arial" w:cs="Arial" w:eastAsia="Arial" w:hAnsi="Arial"/>
          <w:sz w:val="16"/>
          <w:szCs w:val="16"/>
          <w:color w:val="auto"/>
        </w:rPr>
        <w:t>. The Purchaser understands that the offer and sale of the Forward Purchase Shares to the Purchaser has not been, and will not be,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Forward Purchase Shares are “restricted securities” under applicable U.S. federal and state securities laws and that, pursuant to these laws, the Purchaser must hold the Forward Purchase Shares indefinitely unless they are registered with the SEC and qualified by state authorities, or an exemption from such registration and qualification requirements is available. The Purchaser acknowledges that the Company has no obligation to register or qualify the Forward Purchase Shares, or any Class A Shares into which the Forward Purchase Shares may be converted or exercised, for resale, except for the Registration Rights. The Purchaser further acknowledges that if an exemption from registration or qualification is available, it may be conditioned on various requirements including, but not limited to, the time and manner of sale, the holding period for the Forward Purchase Shares, and on requirements relating to the Company which are outside of the Purchaser’s control, and which the Company is under no obligation and may not be able to satisfy. The Purchaser acknowledges that the Company filed the Registration Statement for its proposed IPO. The Purchaser understands that the offering of the Forward Purchase Shares is not, and is not intended to be, part of the IPO, and that the Purchaser will not be able to rely on the protection of Section 11 of the Securities Act with respect to the Forward Purchase Shares.</w:t>
      </w:r>
    </w:p>
    <w:p>
      <w:pPr>
        <w:spacing w:after="0" w:line="173" w:lineRule="exact"/>
        <w:rPr>
          <w:rFonts w:ascii="Arial" w:cs="Arial" w:eastAsia="Arial" w:hAnsi="Arial"/>
          <w:sz w:val="16"/>
          <w:szCs w:val="16"/>
          <w:color w:val="auto"/>
        </w:rPr>
      </w:pPr>
    </w:p>
    <w:p>
      <w:pPr>
        <w:ind w:firstLine="656"/>
        <w:spacing w:after="0" w:line="277" w:lineRule="auto"/>
        <w:tabs>
          <w:tab w:leader="none" w:pos="96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No Public Market</w:t>
      </w:r>
      <w:r>
        <w:rPr>
          <w:rFonts w:ascii="Arial" w:cs="Arial" w:eastAsia="Arial" w:hAnsi="Arial"/>
          <w:sz w:val="18"/>
          <w:szCs w:val="18"/>
          <w:color w:val="auto"/>
        </w:rPr>
        <w:t>. The Purchaser understands that no public market now exists for the Forward Purchase Shares, and that the Company has made no assurances that a public market will ever exist for the Forward Purchase Shares.</w:t>
      </w:r>
    </w:p>
    <w:p>
      <w:pPr>
        <w:spacing w:after="0" w:line="170" w:lineRule="exact"/>
        <w:rPr>
          <w:rFonts w:ascii="Arial" w:cs="Arial" w:eastAsia="Arial" w:hAnsi="Arial"/>
          <w:sz w:val="18"/>
          <w:szCs w:val="18"/>
          <w:color w:val="auto"/>
        </w:rPr>
      </w:pPr>
    </w:p>
    <w:p>
      <w:pPr>
        <w:ind w:firstLine="656"/>
        <w:spacing w:after="0" w:line="277" w:lineRule="auto"/>
        <w:tabs>
          <w:tab w:leader="none" w:pos="92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High Degree of Risk</w:t>
      </w:r>
      <w:r>
        <w:rPr>
          <w:rFonts w:ascii="Arial" w:cs="Arial" w:eastAsia="Arial" w:hAnsi="Arial"/>
          <w:sz w:val="18"/>
          <w:szCs w:val="18"/>
          <w:color w:val="auto"/>
        </w:rPr>
        <w:t>. The Purchaser understands that its agreement to purchase the Forward Purchase Shares involves a high degree of risk which could cause the Purchaser to lose all or part of its investment.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Purchaser is an accredited investor as defined in Rule 501(a) of Regulation D promulgated under the Securities Act.</w:t>
      </w:r>
    </w:p>
    <w:p>
      <w:pPr>
        <w:spacing w:after="0" w:line="248" w:lineRule="exact"/>
        <w:rPr>
          <w:rFonts w:ascii="Arial" w:cs="Arial" w:eastAsia="Arial" w:hAnsi="Arial"/>
          <w:sz w:val="16"/>
          <w:szCs w:val="16"/>
          <w:color w:val="auto"/>
        </w:rPr>
      </w:pPr>
    </w:p>
    <w:p>
      <w:pPr>
        <w:jc w:val="both"/>
        <w:ind w:firstLine="656"/>
        <w:spacing w:after="0" w:line="263" w:lineRule="auto"/>
        <w:tabs>
          <w:tab w:leader="none" w:pos="948"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Purchaser, nor any of its officers, directors, employees, agents, stockholders or partners has either directly or indirectly, including, through a broker or finder (i) engaged in any general solicitation, or (ii) published any advertisement in connection with the offer and sale of the Forward Purchase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7" w:name="page388"/>
    <w:bookmarkEnd w:id="387"/>
    <w:p>
      <w:pPr>
        <w:ind w:left="920" w:hanging="264"/>
        <w:spacing w:after="0"/>
        <w:tabs>
          <w:tab w:leader="none" w:pos="920" w:val="left"/>
        </w:tabs>
        <w:numPr>
          <w:ilvl w:val="1"/>
          <w:numId w:val="293"/>
        </w:numPr>
        <w:rPr>
          <w:rFonts w:ascii="Arial" w:cs="Arial" w:eastAsia="Arial" w:hAnsi="Arial"/>
          <w:sz w:val="16"/>
          <w:szCs w:val="16"/>
          <w:color w:val="auto"/>
        </w:rPr>
      </w:pPr>
      <w:r>
        <w:rPr>
          <w:rFonts w:ascii="Arial" w:cs="Arial" w:eastAsia="Arial" w:hAnsi="Arial"/>
          <w:sz w:val="16"/>
          <w:szCs w:val="16"/>
          <w:u w:val="single" w:color="auto"/>
          <w:color w:val="auto"/>
        </w:rPr>
        <w:t>Residence</w:t>
      </w:r>
      <w:r>
        <w:rPr>
          <w:rFonts w:ascii="Arial" w:cs="Arial" w:eastAsia="Arial" w:hAnsi="Arial"/>
          <w:sz w:val="16"/>
          <w:szCs w:val="16"/>
          <w:color w:val="auto"/>
        </w:rPr>
        <w:t>. The Purchaser’s principal place of business is the office or offices located at the address of the Purchaser set forth on the signature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page hereof.</w:t>
      </w:r>
    </w:p>
    <w:p>
      <w:pPr>
        <w:spacing w:after="0" w:line="210" w:lineRule="exact"/>
        <w:rPr>
          <w:rFonts w:ascii="Arial" w:cs="Arial" w:eastAsia="Arial" w:hAnsi="Arial"/>
          <w:sz w:val="16"/>
          <w:szCs w:val="16"/>
          <w:color w:val="auto"/>
        </w:rPr>
      </w:pPr>
    </w:p>
    <w:p>
      <w:pPr>
        <w:ind w:firstLine="656"/>
        <w:spacing w:after="0" w:line="277" w:lineRule="auto"/>
        <w:tabs>
          <w:tab w:leader="none" w:pos="1011"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Non-Public Information</w:t>
      </w:r>
      <w:r>
        <w:rPr>
          <w:rFonts w:ascii="Arial" w:cs="Arial" w:eastAsia="Arial" w:hAnsi="Arial"/>
          <w:sz w:val="18"/>
          <w:szCs w:val="18"/>
          <w:color w:val="auto"/>
        </w:rPr>
        <w:t>. The Purchaser acknowledges its obligations under applicable securities laws with respect to the treatment of non-public information relating to the Company.</w:t>
      </w:r>
    </w:p>
    <w:p>
      <w:pPr>
        <w:spacing w:after="0" w:line="170" w:lineRule="exact"/>
        <w:rPr>
          <w:rFonts w:ascii="Arial" w:cs="Arial" w:eastAsia="Arial" w:hAnsi="Arial"/>
          <w:sz w:val="18"/>
          <w:szCs w:val="18"/>
          <w:color w:val="auto"/>
        </w:rPr>
      </w:pPr>
    </w:p>
    <w:p>
      <w:pPr>
        <w:ind w:right="20" w:firstLine="656"/>
        <w:spacing w:after="0" w:line="277" w:lineRule="auto"/>
        <w:tabs>
          <w:tab w:leader="none" w:pos="961"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Adequacy of Financing</w:t>
      </w:r>
      <w:r>
        <w:rPr>
          <w:rFonts w:ascii="Arial" w:cs="Arial" w:eastAsia="Arial" w:hAnsi="Arial"/>
          <w:sz w:val="18"/>
          <w:szCs w:val="18"/>
          <w:color w:val="auto"/>
        </w:rPr>
        <w:t>. At the time of the Forward Closing, the Purchaser will have available to it sufficient funds to satisfy its obligations under this Agreement.</w:t>
      </w:r>
    </w:p>
    <w:p>
      <w:pPr>
        <w:spacing w:after="0" w:line="170" w:lineRule="exact"/>
        <w:rPr>
          <w:rFonts w:ascii="Arial" w:cs="Arial" w:eastAsia="Arial" w:hAnsi="Arial"/>
          <w:sz w:val="18"/>
          <w:szCs w:val="18"/>
          <w:color w:val="auto"/>
        </w:rPr>
      </w:pPr>
    </w:p>
    <w:p>
      <w:pPr>
        <w:jc w:val="both"/>
        <w:ind w:firstLine="656"/>
        <w:spacing w:after="0" w:line="272" w:lineRule="auto"/>
        <w:tabs>
          <w:tab w:leader="none" w:pos="975" w:val="left"/>
        </w:tabs>
        <w:numPr>
          <w:ilvl w:val="1"/>
          <w:numId w:val="293"/>
        </w:numPr>
        <w:rPr>
          <w:rFonts w:ascii="Arial" w:cs="Arial" w:eastAsia="Arial" w:hAnsi="Arial"/>
          <w:sz w:val="17"/>
          <w:szCs w:val="17"/>
          <w:color w:val="auto"/>
        </w:rPr>
      </w:pPr>
      <w:r>
        <w:rPr>
          <w:rFonts w:ascii="Arial" w:cs="Arial" w:eastAsia="Arial" w:hAnsi="Arial"/>
          <w:sz w:val="17"/>
          <w:szCs w:val="17"/>
          <w:u w:val="single" w:color="auto"/>
          <w:color w:val="auto"/>
        </w:rPr>
        <w:t>No Other Representations and Warranties; Non-Reliance</w:t>
      </w:r>
      <w:r>
        <w:rPr>
          <w:rFonts w:ascii="Arial" w:cs="Arial" w:eastAsia="Arial" w:hAnsi="Arial"/>
          <w:sz w:val="17"/>
          <w:szCs w:val="17"/>
          <w:color w:val="auto"/>
        </w:rPr>
        <w:t xml:space="preserve">. Except for the specific representations and warranties contained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in any certificate or agreement delivered pursuant hereto, none of the Purchaser nor any person acting on behalf of the Purchaser nor any of the Purchaser’s affiliates (the “</w:t>
      </w:r>
      <w:r>
        <w:rPr>
          <w:rFonts w:ascii="Arial" w:cs="Arial" w:eastAsia="Arial" w:hAnsi="Arial"/>
          <w:sz w:val="17"/>
          <w:szCs w:val="17"/>
          <w:u w:val="single" w:color="auto"/>
          <w:color w:val="auto"/>
        </w:rPr>
        <w:t>Purchaser Parties</w:t>
      </w:r>
      <w:r>
        <w:rPr>
          <w:rFonts w:ascii="Arial" w:cs="Arial" w:eastAsia="Arial" w:hAnsi="Arial"/>
          <w:sz w:val="17"/>
          <w:szCs w:val="17"/>
          <w:color w:val="auto"/>
        </w:rPr>
        <w:t xml:space="preserve">”) has made, makes or shall be deemed to make any other express or implied representation or warranty with respect to the Purchaser and this offering, and the Purchaser Parties disclaim any such representation or warranty. Except for the specific representations and warranties expressly made by the Company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Agreement and in any certificate or agreement delivered pursuant hereto, the Purchaser Parties specifically disclaim that they are relying upon any other representations or warranties that may have been made by the Company, any person on behalf of the Company or any of the Company’s affiliates (collectively, the “</w:t>
      </w:r>
      <w:r>
        <w:rPr>
          <w:rFonts w:ascii="Arial" w:cs="Arial" w:eastAsia="Arial" w:hAnsi="Arial"/>
          <w:sz w:val="17"/>
          <w:szCs w:val="17"/>
          <w:u w:val="single" w:color="auto"/>
          <w:color w:val="auto"/>
        </w:rPr>
        <w:t>Company Parties</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80" w:hanging="172"/>
        <w:spacing w:after="0"/>
        <w:tabs>
          <w:tab w:leader="none" w:pos="18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of the Company. </w:t>
      </w:r>
      <w:r>
        <w:rPr>
          <w:rFonts w:ascii="Arial" w:cs="Arial" w:eastAsia="Arial" w:hAnsi="Arial"/>
          <w:sz w:val="18"/>
          <w:szCs w:val="18"/>
          <w:color w:val="auto"/>
        </w:rPr>
        <w:t>The Company represents and warrants to the Advisor and the Purchaser as follows: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005"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Incorporation and Corporate Power</w:t>
      </w:r>
      <w:r>
        <w:rPr>
          <w:rFonts w:ascii="Arial" w:cs="Arial" w:eastAsia="Arial" w:hAnsi="Arial"/>
          <w:sz w:val="18"/>
          <w:szCs w:val="18"/>
          <w:color w:val="auto"/>
        </w:rPr>
        <w:t>. The Company is a corporation duly incorporated and validly existing and in good standing as a corporation under the laws of the State of Delaware and has all requisite corporate power and authority to carry on its business as presently conducted and as proposed to be conducted. The Company has no subsidiaries.</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On the date hereof, the authorized share capital of the Company consists of:</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380,000,000 Class A Shares, none of which are issued and outstanding.</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633" w:val="left"/>
        </w:tabs>
        <w:numPr>
          <w:ilvl w:val="2"/>
          <w:numId w:val="294"/>
        </w:numPr>
        <w:rPr>
          <w:rFonts w:ascii="Arial" w:cs="Arial" w:eastAsia="Arial" w:hAnsi="Arial"/>
          <w:sz w:val="18"/>
          <w:szCs w:val="18"/>
          <w:color w:val="auto"/>
        </w:rPr>
      </w:pPr>
      <w:r>
        <w:rPr>
          <w:rFonts w:ascii="Arial" w:cs="Arial" w:eastAsia="Arial" w:hAnsi="Arial"/>
          <w:sz w:val="18"/>
          <w:szCs w:val="18"/>
          <w:color w:val="auto"/>
        </w:rPr>
        <w:t>20,000,000 shares of the Company’s Class B common stock, par value $0.0001 per shares (the “</w:t>
      </w:r>
      <w:r>
        <w:rPr>
          <w:rFonts w:ascii="Arial" w:cs="Arial" w:eastAsia="Arial" w:hAnsi="Arial"/>
          <w:sz w:val="18"/>
          <w:szCs w:val="18"/>
          <w:u w:val="single" w:color="auto"/>
          <w:color w:val="auto"/>
        </w:rPr>
        <w:t>Class B Shares</w:t>
      </w:r>
      <w:r>
        <w:rPr>
          <w:rFonts w:ascii="Arial" w:cs="Arial" w:eastAsia="Arial" w:hAnsi="Arial"/>
          <w:sz w:val="18"/>
          <w:szCs w:val="18"/>
          <w:color w:val="auto"/>
        </w:rPr>
        <w:t>”), 10,062,500 of which are issued and outstanding. All of the outstanding Class B Shares have been duly authorized, are fully paid and nonassessable and were issued in compliance with all applicable federal and state securities laws.</w:t>
      </w:r>
    </w:p>
    <w:p>
      <w:pPr>
        <w:spacing w:after="0" w:line="183" w:lineRule="exact"/>
        <w:rPr>
          <w:rFonts w:ascii="Arial" w:cs="Arial" w:eastAsia="Arial" w:hAnsi="Arial"/>
          <w:sz w:val="18"/>
          <w:szCs w:val="18"/>
          <w:color w:val="auto"/>
        </w:rPr>
      </w:pPr>
    </w:p>
    <w:p>
      <w:pPr>
        <w:ind w:left="1660" w:hanging="356"/>
        <w:spacing w:after="0"/>
        <w:tabs>
          <w:tab w:leader="none" w:pos="166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1,000,000 preferred shares, none of which are issued and outstanding.</w:t>
      </w:r>
    </w:p>
    <w:p>
      <w:pPr>
        <w:spacing w:after="0" w:line="225" w:lineRule="exact"/>
        <w:rPr>
          <w:rFonts w:ascii="Arial" w:cs="Arial" w:eastAsia="Arial" w:hAnsi="Arial"/>
          <w:sz w:val="18"/>
          <w:szCs w:val="18"/>
          <w:color w:val="auto"/>
        </w:rPr>
      </w:pPr>
    </w:p>
    <w:p>
      <w:pPr>
        <w:jc w:val="both"/>
        <w:ind w:firstLine="656"/>
        <w:spacing w:after="0" w:line="284" w:lineRule="auto"/>
        <w:tabs>
          <w:tab w:leader="none" w:pos="978" w:val="left"/>
        </w:tabs>
        <w:numPr>
          <w:ilvl w:val="1"/>
          <w:numId w:val="294"/>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action required to be taken by the Company’s Board of Directors and stockholders in order to authorize the Company to enter into this Agreement, and to issue the Forward Purchase Shares at the Forward Closing, has been taken or will be taken prior to the Forward Closing. All action on the part of the stockholders, directors and officers of the Company necessary for the execution and delivery of this Agreement, the performance of all obligations of the Company under this Agreement to be performed as of the Forward Closing, and the issuance and delivery of the Forward Purchase Shares has been taken or will be taken prior to the Forward Closing. This Agreement, when executed and delivered by the Company, shall constitute the valid and legally binding obligation of the Company, enforceable against the Company in accordance with its terms except</w:t>
      </w:r>
    </w:p>
    <w:p>
      <w:pPr>
        <w:spacing w:after="0" w:line="4"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may be limited by applicable federal or state securities 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8" w:name="page389"/>
    <w:bookmarkEnd w:id="388"/>
    <w:p>
      <w:pPr>
        <w:jc w:val="both"/>
        <w:ind w:firstLine="656"/>
        <w:spacing w:after="0" w:line="255" w:lineRule="auto"/>
        <w:tabs>
          <w:tab w:leader="none" w:pos="1029"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Valid Issuance of Shares</w:t>
      </w:r>
      <w:r>
        <w:rPr>
          <w:rFonts w:ascii="Arial" w:cs="Arial" w:eastAsia="Arial" w:hAnsi="Arial"/>
          <w:sz w:val="18"/>
          <w:szCs w:val="18"/>
          <w:color w:val="auto"/>
        </w:rPr>
        <w:t xml:space="preserve">. The Forward Purchase Shares, when issued, sold and delivered in accordance with the terms and for the consideration set forth in this Agreement, will be validly issued, fully paid and nonassessable, and free of all preemptive or similar rights, taxes, liens, encumbrances and charges with respect to the issue thereof and restrictions on transfer other than restrictions on transfer specified under this Agreement, applicable state and federal securities laws and liens or encumbrances created by or imposed by the Purchaser. Assuming the accuracy of the representations of the Purchaser in this Agreement and subject to the filings described in </w:t>
      </w:r>
      <w:r>
        <w:rPr>
          <w:rFonts w:ascii="Arial" w:cs="Arial" w:eastAsia="Arial" w:hAnsi="Arial"/>
          <w:sz w:val="18"/>
          <w:szCs w:val="18"/>
          <w:u w:val="single" w:color="auto"/>
          <w:color w:val="auto"/>
        </w:rPr>
        <w:t>Section 4(e)</w:t>
      </w:r>
      <w:r>
        <w:rPr>
          <w:rFonts w:ascii="Arial" w:cs="Arial" w:eastAsia="Arial" w:hAnsi="Arial"/>
          <w:sz w:val="18"/>
          <w:szCs w:val="18"/>
          <w:color w:val="auto"/>
        </w:rPr>
        <w:t xml:space="preserve"> below, the Forward Purchase Shares will be issued in compliance with all applicable federal and state securities laws.</w:t>
      </w:r>
    </w:p>
    <w:p>
      <w:pPr>
        <w:spacing w:after="0" w:line="192" w:lineRule="exact"/>
        <w:rPr>
          <w:rFonts w:ascii="Arial" w:cs="Arial" w:eastAsia="Arial" w:hAnsi="Arial"/>
          <w:sz w:val="18"/>
          <w:szCs w:val="18"/>
          <w:color w:val="auto"/>
        </w:rPr>
      </w:pPr>
    </w:p>
    <w:p>
      <w:pPr>
        <w:jc w:val="both"/>
        <w:ind w:firstLine="656"/>
        <w:spacing w:after="0" w:line="301" w:lineRule="auto"/>
        <w:tabs>
          <w:tab w:leader="none" w:pos="951"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Governmental Consents and Filings</w:t>
      </w:r>
      <w:r>
        <w:rPr>
          <w:rFonts w:ascii="Arial" w:cs="Arial" w:eastAsia="Arial" w:hAnsi="Arial"/>
          <w:sz w:val="16"/>
          <w:szCs w:val="16"/>
          <w:color w:val="auto"/>
        </w:rPr>
        <w:t>. Assuming the accuracy of the representations and warranties made by the Purchaser in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filings pursuant to Regulation D of the Securities Act, and applicable state securities laws, if any, and pursuant to the Registration Rights.</w:t>
      </w:r>
    </w:p>
    <w:p>
      <w:pPr>
        <w:spacing w:after="0" w:line="157" w:lineRule="exact"/>
        <w:rPr>
          <w:rFonts w:ascii="Arial" w:cs="Arial" w:eastAsia="Arial" w:hAnsi="Arial"/>
          <w:sz w:val="16"/>
          <w:szCs w:val="16"/>
          <w:color w:val="auto"/>
        </w:rPr>
      </w:pPr>
    </w:p>
    <w:p>
      <w:pPr>
        <w:jc w:val="both"/>
        <w:ind w:firstLine="656"/>
        <w:spacing w:after="0" w:line="285" w:lineRule="auto"/>
        <w:tabs>
          <w:tab w:leader="none" w:pos="945" w:val="left"/>
        </w:tabs>
        <w:numPr>
          <w:ilvl w:val="1"/>
          <w:numId w:val="295"/>
        </w:numPr>
        <w:rPr>
          <w:rFonts w:ascii="Arial" w:cs="Arial" w:eastAsia="Arial" w:hAnsi="Arial"/>
          <w:sz w:val="16"/>
          <w:szCs w:val="16"/>
          <w:color w:val="auto"/>
        </w:rPr>
      </w:pP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execution, delivery and performance of this Agreement and the consummation of the transactions contemplated by this Agreement will not result in any violation or default (i) of any provisions of the Company’s amended and restated certificate of incorporation, as it may be amended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bylaws or other governing documents of the Company, (ii) of any instrument, judgment, order, writ or decree to which the Company is a party or by which it is bound, (iii) under any note, indenture or mortgage to which the Company is a party or by which it is bound, (iv) under any lease, agreement, contract or purchase order to which the Company is a party or by which it is bound or</w:t>
      </w:r>
    </w:p>
    <w:p>
      <w:pPr>
        <w:spacing w:after="0" w:line="1" w:lineRule="exact"/>
        <w:rPr>
          <w:rFonts w:ascii="Arial" w:cs="Arial" w:eastAsia="Arial" w:hAnsi="Arial"/>
          <w:sz w:val="16"/>
          <w:szCs w:val="16"/>
          <w:color w:val="auto"/>
        </w:rPr>
      </w:pPr>
    </w:p>
    <w:p>
      <w:pPr>
        <w:ind w:firstLine="8"/>
        <w:spacing w:after="0" w:line="260" w:lineRule="auto"/>
        <w:tabs>
          <w:tab w:leader="none" w:pos="27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of any provision of federal or state statute, rule or regulation applicable to the Company, in each case (other than clause (i)) which would have a material adverse effect on the Company or its ability to consummate the transactions contemplated by this Agreement.</w:t>
      </w:r>
    </w:p>
    <w:p>
      <w:pPr>
        <w:spacing w:after="0" w:line="185" w:lineRule="exact"/>
        <w:rPr>
          <w:rFonts w:ascii="Arial" w:cs="Arial" w:eastAsia="Arial" w:hAnsi="Arial"/>
          <w:sz w:val="18"/>
          <w:szCs w:val="18"/>
          <w:color w:val="auto"/>
        </w:rPr>
      </w:pPr>
    </w:p>
    <w:p>
      <w:pPr>
        <w:ind w:firstLine="656"/>
        <w:spacing w:after="0" w:line="277" w:lineRule="auto"/>
        <w:tabs>
          <w:tab w:leader="none" w:pos="1002"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As of the date hereof, the Company has not conducted, and prior to the IPO Closing the Company will not conduct, any operations other than organizational activities and activities in connection with offerings of its securities.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88"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officers, directors, employees, agents or stockholders has either directly or indirectly, including, through a broker or finder (i) engaged in any general solicitation, or (ii) published any advertisement in connection with the offer and sale of the Forward Purchase Shares.</w:t>
      </w:r>
    </w:p>
    <w:p>
      <w:pPr>
        <w:spacing w:after="0" w:line="183" w:lineRule="exact"/>
        <w:rPr>
          <w:rFonts w:ascii="Arial" w:cs="Arial" w:eastAsia="Arial" w:hAnsi="Arial"/>
          <w:sz w:val="18"/>
          <w:szCs w:val="18"/>
          <w:color w:val="auto"/>
        </w:rPr>
      </w:pPr>
    </w:p>
    <w:p>
      <w:pPr>
        <w:jc w:val="both"/>
        <w:ind w:firstLine="656"/>
        <w:spacing w:after="0" w:line="293" w:lineRule="auto"/>
        <w:tabs>
          <w:tab w:leader="none" w:pos="908"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No Other Representations and Warranties; Non-Reliance</w:t>
      </w:r>
      <w:r>
        <w:rPr>
          <w:rFonts w:ascii="Arial" w:cs="Arial" w:eastAsia="Arial" w:hAnsi="Arial"/>
          <w:sz w:val="16"/>
          <w:szCs w:val="16"/>
          <w:color w:val="auto"/>
        </w:rPr>
        <w:t xml:space="preserve">. Except for the specific representations and warranties contained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in any certificate or agreement delivered pursuant hereto, none of the Company Parties has made, makes or shall be deemed to make any other express or implied representation or warranty with respect to the Company, this offering, the proposed IPO or a potential Business Combination, and the Company Parties disclaim any such representation or warranty. Except for the specific representations and warranties expressly made by the Advisor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the Agreement and by the Purchaser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Agreement and in any certificate or agreement delivered pursuant hereto, the Company Parties specifically disclaim that they are relying upon any other representations or warranties that may have been made by the Purchaser Parties.</w:t>
      </w:r>
    </w:p>
    <w:p>
      <w:pPr>
        <w:spacing w:after="0" w:line="160" w:lineRule="exact"/>
        <w:rPr>
          <w:sz w:val="20"/>
          <w:szCs w:val="20"/>
          <w:color w:val="auto"/>
        </w:rPr>
      </w:pPr>
    </w:p>
    <w:p>
      <w:pPr>
        <w:jc w:val="both"/>
        <w:ind w:firstLine="8"/>
        <w:spacing w:after="0" w:line="277" w:lineRule="auto"/>
        <w:tabs>
          <w:tab w:leader="none" w:pos="252" w:val="left"/>
        </w:tabs>
        <w:numPr>
          <w:ilvl w:val="0"/>
          <w:numId w:val="2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 of First Offer. </w:t>
      </w:r>
      <w:r>
        <w:rPr>
          <w:rFonts w:ascii="Arial" w:cs="Arial" w:eastAsia="Arial" w:hAnsi="Arial"/>
          <w:sz w:val="17"/>
          <w:szCs w:val="17"/>
          <w:color w:val="auto"/>
        </w:rPr>
        <w:t>Subject to the terms and conditions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color w:val="auto"/>
        </w:rPr>
        <w:t>, if, in connection with or prior to the Business Combination Closing,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proposes to issue any equity securities, or securities convertible into, exchangeable or exercisable for equity securities, other than the Public Units (and their component Public Shares and Public Warrants) and the Excluded Securities (as defined below) (“</w:t>
      </w:r>
      <w:r>
        <w:rPr>
          <w:rFonts w:ascii="Arial" w:cs="Arial" w:eastAsia="Arial" w:hAnsi="Arial"/>
          <w:sz w:val="17"/>
          <w:szCs w:val="17"/>
          <w:u w:val="single" w:color="auto"/>
          <w:color w:val="auto"/>
        </w:rPr>
        <w:t>New Equity Securities</w:t>
      </w:r>
      <w:r>
        <w:rPr>
          <w:rFonts w:ascii="Arial" w:cs="Arial" w:eastAsia="Arial" w:hAnsi="Arial"/>
          <w:sz w:val="17"/>
          <w:szCs w:val="17"/>
          <w:color w:val="auto"/>
        </w:rPr>
        <w:t xml:space="preserve">”), or offer or seek commitments for any New Equity Securities to backstop any such capital raise, the Company shall first make an offer of the New Equity Securities to the Advisors on behalf of their respective Clients or other Purchasers in accordance with the following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940" w:hanging="284"/>
        <w:spacing w:after="0"/>
        <w:tabs>
          <w:tab w:leader="none" w:pos="94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5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Company shall give written notice (the “</w:t>
      </w:r>
      <w:r>
        <w:rPr>
          <w:rFonts w:ascii="Arial" w:cs="Arial" w:eastAsia="Arial" w:hAnsi="Arial"/>
          <w:sz w:val="18"/>
          <w:szCs w:val="18"/>
          <w:u w:val="single" w:color="auto"/>
          <w:color w:val="auto"/>
        </w:rPr>
        <w:t>Offering Notice</w:t>
      </w:r>
      <w:r>
        <w:rPr>
          <w:rFonts w:ascii="Arial" w:cs="Arial" w:eastAsia="Arial" w:hAnsi="Arial"/>
          <w:sz w:val="18"/>
          <w:szCs w:val="18"/>
          <w:color w:val="auto"/>
        </w:rPr>
        <w:t xml:space="preserve">”) to the Advisors stating its bona fide intention to offer the New Equity Securities and specifying the number of New Equity Securities and the material terms and conditions, including the price, pursuant to which the Company proposes to offer the New Equity Securities and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such New Equity Securities offered to each of the Advisors pursuant to such Offering Notice, which shall be 50% of such New Equity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9" w:name="page390"/>
    <w:bookmarkEnd w:id="389"/>
    <w:p>
      <w:pPr>
        <w:ind w:firstLine="1304"/>
        <w:spacing w:after="0" w:line="277" w:lineRule="auto"/>
        <w:tabs>
          <w:tab w:leader="none" w:pos="1633"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Offering Notice shall constitute the Company’s offer to sell the New Equity Securities to Clients managed by the Advisors or other Purchasers, which offer shall be irrevocable for a period of ten (10) Business Days (the “</w:t>
      </w:r>
      <w:r>
        <w:rPr>
          <w:rFonts w:ascii="Arial" w:cs="Arial" w:eastAsia="Arial" w:hAnsi="Arial"/>
          <w:sz w:val="18"/>
          <w:szCs w:val="18"/>
          <w:u w:val="single" w:color="auto"/>
          <w:color w:val="auto"/>
        </w:rPr>
        <w:t>ROFO Notice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1556" w:val="left"/>
        </w:tabs>
        <w:numPr>
          <w:ilvl w:val="1"/>
          <w:numId w:val="299"/>
        </w:numPr>
        <w:rPr>
          <w:rFonts w:ascii="Arial" w:cs="Arial" w:eastAsia="Arial" w:hAnsi="Arial"/>
          <w:sz w:val="17"/>
          <w:szCs w:val="17"/>
          <w:color w:val="auto"/>
        </w:rPr>
      </w:pPr>
      <w:r>
        <w:rPr>
          <w:rFonts w:ascii="Arial" w:cs="Arial" w:eastAsia="Arial" w:hAnsi="Arial"/>
          <w:sz w:val="17"/>
          <w:szCs w:val="17"/>
          <w:color w:val="auto"/>
        </w:rPr>
        <w:t xml:space="preserve">Upon receipt of the Offering Notice, the Advisors shall have until the end of the ROFO Notice Period to accept the Company’s offer to purchase, in whole or in part,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New Equity Securities by delivering a written notice (a “</w:t>
      </w:r>
      <w:r>
        <w:rPr>
          <w:rFonts w:ascii="Arial" w:cs="Arial" w:eastAsia="Arial" w:hAnsi="Arial"/>
          <w:sz w:val="17"/>
          <w:szCs w:val="17"/>
          <w:u w:val="single" w:color="auto"/>
          <w:color w:val="auto"/>
        </w:rPr>
        <w:t>ROFO Notice</w:t>
      </w:r>
      <w:r>
        <w:rPr>
          <w:rFonts w:ascii="Arial" w:cs="Arial" w:eastAsia="Arial" w:hAnsi="Arial"/>
          <w:sz w:val="17"/>
          <w:szCs w:val="17"/>
          <w:color w:val="auto"/>
        </w:rPr>
        <w:t>”) to the Company stating that it accepts, on behalf of one or more specified Clients or other Purchasers, the Company’s offer to purchase such New Equity Securities on the terms specified in the Offering Notice and in the amounts specified in the ROFO Notice. Any ROFO Notice signed by the Clients or other Purchasers named therein and so delivered shall be binding upon delivery and irrevocable by such Clients or other Purchasers.</w:t>
      </w:r>
    </w:p>
    <w:p>
      <w:pPr>
        <w:spacing w:after="0" w:line="176" w:lineRule="exact"/>
        <w:rPr>
          <w:sz w:val="20"/>
          <w:szCs w:val="20"/>
          <w:color w:val="auto"/>
        </w:rPr>
      </w:pPr>
    </w:p>
    <w:p>
      <w:pPr>
        <w:jc w:val="both"/>
        <w:ind w:firstLine="1304"/>
        <w:spacing w:after="0" w:line="253" w:lineRule="auto"/>
        <w:tabs>
          <w:tab w:leader="none" w:pos="161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If one of the Advisors does not deliver a ROFO Notice during the ROFO Notice Period accepting all of the New Equity Securities offered to it, it shall be deemed to have waived on behalf of its Clients or other Purchasers all rights to purchase the New Equity Securities offered pursuant to the Offering Notice under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that were not included in the ROFO Notice (the “</w:t>
      </w:r>
      <w:r>
        <w:rPr>
          <w:rFonts w:ascii="Arial" w:cs="Arial" w:eastAsia="Arial" w:hAnsi="Arial"/>
          <w:sz w:val="18"/>
          <w:szCs w:val="18"/>
          <w:u w:val="single" w:color="auto"/>
          <w:color w:val="auto"/>
        </w:rPr>
        <w:t>Waived New Equity Securities</w:t>
      </w:r>
      <w:r>
        <w:rPr>
          <w:rFonts w:ascii="Arial" w:cs="Arial" w:eastAsia="Arial" w:hAnsi="Arial"/>
          <w:sz w:val="18"/>
          <w:szCs w:val="18"/>
          <w:color w:val="auto"/>
        </w:rPr>
        <w:t>”). Thereafter, to the extent the other Advisor has delivered a ROFO Notice to the Company during the ROFO Notice Period accepting the Company’s initial offer to purchase all of the New Equity Securities offered to it, the Company shall, within five (5) Business Days after the expiration of the ROFO Notice Period, give an Offering Notice to such Advisor, informing it that it has the right to increase the number of New Equity Securities that it accepted pursuant to the initial ROFO Notice by up to the number of Waived New Equity Securities. Such Advisor shall then have two (2) Business Days (the “</w:t>
      </w:r>
      <w:r>
        <w:rPr>
          <w:rFonts w:ascii="Arial" w:cs="Arial" w:eastAsia="Arial" w:hAnsi="Arial"/>
          <w:sz w:val="18"/>
          <w:szCs w:val="18"/>
          <w:u w:val="single" w:color="auto"/>
          <w:color w:val="auto"/>
        </w:rPr>
        <w:t>Subsequent Offering Period</w:t>
      </w:r>
      <w:r>
        <w:rPr>
          <w:rFonts w:ascii="Arial" w:cs="Arial" w:eastAsia="Arial" w:hAnsi="Arial"/>
          <w:sz w:val="18"/>
          <w:szCs w:val="18"/>
          <w:color w:val="auto"/>
        </w:rPr>
        <w:t>”) in which to accept such second offer, by giving notice of acceptance (the “</w:t>
      </w:r>
      <w:r>
        <w:rPr>
          <w:rFonts w:ascii="Arial" w:cs="Arial" w:eastAsia="Arial" w:hAnsi="Arial"/>
          <w:sz w:val="18"/>
          <w:szCs w:val="18"/>
          <w:u w:val="single" w:color="auto"/>
          <w:color w:val="auto"/>
        </w:rPr>
        <w:t>Subsequent ROFO Notice</w:t>
      </w:r>
      <w:r>
        <w:rPr>
          <w:rFonts w:ascii="Arial" w:cs="Arial" w:eastAsia="Arial" w:hAnsi="Arial"/>
          <w:sz w:val="18"/>
          <w:szCs w:val="18"/>
          <w:color w:val="auto"/>
        </w:rPr>
        <w:t>”) to the Company prior to the expiration of the Subsequent Offering Period, as to portion of the Waived New Equity Securities it accepts for purchase on behalf of one or more specified Clients or other Purchasers.</w:t>
      </w:r>
    </w:p>
    <w:p>
      <w:pPr>
        <w:spacing w:after="0" w:line="194" w:lineRule="exact"/>
        <w:rPr>
          <w:rFonts w:ascii="Arial" w:cs="Arial" w:eastAsia="Arial" w:hAnsi="Arial"/>
          <w:sz w:val="18"/>
          <w:szCs w:val="18"/>
          <w:color w:val="auto"/>
        </w:rPr>
      </w:pPr>
    </w:p>
    <w:p>
      <w:pPr>
        <w:jc w:val="both"/>
        <w:ind w:firstLine="1304"/>
        <w:spacing w:after="0" w:line="253" w:lineRule="auto"/>
        <w:tabs>
          <w:tab w:leader="none" w:pos="166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If the Subsequent Offer Notice is not delivered to the Company prior to the expiration of the Subsequent Offering Period accepting for purchase all of the Waived New Equity Securities, the applicable Advisor shall be deemed to have waived on behalf of its Clients and other Purchasers all rights to purchase such Waived New Equity Securities in such second offer by the Company that it did not accept for purchase. The Company shall thereafter be free to sell or enter into an agreement to sell the unaccepted portion of such Waived New Equity Securities to any third party without any further obligation to the Advisors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within the ninety (90) day period thereafter (and with respect to an agreement to sell, consummate such sale at any time thereafter) on terms and conditions not more favorable to the third party than those set forth in any Offering Notice. If the Company does not sell or enter into an agreement to sell the unaccepted portion of the New Equity Securities within such period, the rights provided hereunder shall be deemed to be revived and the New Equity Securities shall not be offered to any third party unless first re-offered to the Advisors in accordance with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firstLine="656"/>
        <w:spacing w:after="0" w:line="290" w:lineRule="auto"/>
        <w:tabs>
          <w:tab w:leader="none" w:pos="951"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Excluded Securities</w:t>
      </w:r>
      <w:r>
        <w:rPr>
          <w:rFonts w:ascii="Arial" w:cs="Arial" w:eastAsia="Arial" w:hAnsi="Arial"/>
          <w:sz w:val="16"/>
          <w:szCs w:val="16"/>
          <w:color w:val="auto"/>
        </w:rPr>
        <w:t>. For purposes hereof, the term “</w:t>
      </w:r>
      <w:r>
        <w:rPr>
          <w:rFonts w:ascii="Arial" w:cs="Arial" w:eastAsia="Arial" w:hAnsi="Arial"/>
          <w:sz w:val="16"/>
          <w:szCs w:val="16"/>
          <w:u w:val="single" w:color="auto"/>
          <w:color w:val="auto"/>
        </w:rPr>
        <w:t>Excluded Securities</w:t>
      </w:r>
      <w:r>
        <w:rPr>
          <w:rFonts w:ascii="Arial" w:cs="Arial" w:eastAsia="Arial" w:hAnsi="Arial"/>
          <w:sz w:val="16"/>
          <w:szCs w:val="16"/>
          <w:color w:val="auto"/>
        </w:rPr>
        <w:t>” means Class B Shares (and Class A Shares for which such Class B Shares are convertible) issued to the Sponsor prior to the IPO, private placement warrants issued by the Company in connection with the IPO for $1.50 per warrant for an aggregate of $9,000,000 (or $10,050,000 if the underwriters’ over-allotment option is exercised in full) and which have the same exercise price as the Warrants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issued pursuant to a private placement agreement by and among the Company and the parties thereto (the “</w:t>
      </w:r>
      <w:r>
        <w:rPr>
          <w:rFonts w:ascii="Arial" w:cs="Arial" w:eastAsia="Arial" w:hAnsi="Arial"/>
          <w:sz w:val="16"/>
          <w:szCs w:val="16"/>
          <w:u w:val="single" w:color="auto"/>
          <w:color w:val="auto"/>
        </w:rPr>
        <w:t>Private Placement Warrant Agreement</w:t>
      </w:r>
      <w:r>
        <w:rPr>
          <w:rFonts w:ascii="Arial" w:cs="Arial" w:eastAsia="Arial" w:hAnsi="Arial"/>
          <w:sz w:val="16"/>
          <w:szCs w:val="16"/>
          <w:color w:val="auto"/>
        </w:rPr>
        <w:t>”), working capital loans to the Company to finance transaction costs in connection with an intended initial Business Combination to the extent they may be convertible at the option of the lender into warrants of the post-Business Combination entity (“</w:t>
      </w:r>
      <w:r>
        <w:rPr>
          <w:rFonts w:ascii="Arial" w:cs="Arial" w:eastAsia="Arial" w:hAnsi="Arial"/>
          <w:sz w:val="16"/>
          <w:szCs w:val="16"/>
          <w:u w:val="single" w:color="auto"/>
          <w:color w:val="auto"/>
        </w:rPr>
        <w:t>Working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 Loans</w:t>
      </w:r>
      <w:r>
        <w:rPr>
          <w:rFonts w:ascii="Arial" w:cs="Arial" w:eastAsia="Arial" w:hAnsi="Arial"/>
          <w:sz w:val="16"/>
          <w:szCs w:val="16"/>
          <w:color w:val="auto"/>
        </w:rPr>
        <w:t>”)), warrants issued upon the conversion of Working Capital Loans, any securities issued by the Company as consideration to any seller in the Business Combination and any Class A Shares issued pursuant to this Agreement or the Other Forward Contract.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0" w:name="page391"/>
    <w:bookmarkEnd w:id="390"/>
    <w:p>
      <w:pPr>
        <w:jc w:val="both"/>
        <w:ind w:firstLine="656"/>
        <w:spacing w:after="0" w:line="263" w:lineRule="auto"/>
        <w:tabs>
          <w:tab w:leader="none" w:pos="975"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Additional Private Placements</w:t>
      </w:r>
      <w:r>
        <w:rPr>
          <w:rFonts w:ascii="Arial" w:cs="Arial" w:eastAsia="Arial" w:hAnsi="Arial"/>
          <w:sz w:val="18"/>
          <w:szCs w:val="18"/>
          <w:color w:val="auto"/>
        </w:rPr>
        <w:t>. Notwithstanding anything to the contrary contained herein, prior to the IPO, the Company will not issue or agree to issue any securities (other than Forward Purchase Shares contemplated by this Agreement, the Other Forward Contract, the Private Placement Warrants and the Public Units) without the Advisors’ prior written consent.</w:t>
      </w:r>
    </w:p>
    <w:p>
      <w:pPr>
        <w:spacing w:after="0" w:line="179" w:lineRule="exact"/>
        <w:rPr>
          <w:rFonts w:ascii="Arial" w:cs="Arial" w:eastAsia="Arial" w:hAnsi="Arial"/>
          <w:sz w:val="18"/>
          <w:szCs w:val="18"/>
          <w:color w:val="auto"/>
        </w:rPr>
      </w:pPr>
    </w:p>
    <w:p>
      <w:pPr>
        <w:ind w:left="180" w:hanging="172"/>
        <w:spacing w:after="0"/>
        <w:tabs>
          <w:tab w:leader="none" w:pos="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Rights; Transfer</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937"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Each Purchaser shall be granted registration rights by the Company with respect to the Forward Purchase Shares pursuant to the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to be entered into by the Company in connection with its IPO, a form of which has been filed with the registration statement relating to the Company’s IPO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Upon a Purchaser’s entry into a Purchaser Joinder, such Purchaser shall execute a joinder to the Registration Rights Agreement.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75"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Agreement and all of the Purchaser’s rights and obligations hereunder (including the Purchaser’s obligation to purchase the Forward Purchase Shares) may be transferred or assigned, at any time and from time to time, in whole or in part, to a Forward Contract Party or one or more third parties (each such transferee, a “</w:t>
      </w:r>
      <w:r>
        <w:rPr>
          <w:rFonts w:ascii="Arial" w:cs="Arial" w:eastAsia="Arial" w:hAnsi="Arial"/>
          <w:sz w:val="18"/>
          <w:szCs w:val="18"/>
          <w:u w:val="single" w:color="auto"/>
          <w:color w:val="auto"/>
        </w:rPr>
        <w:t>Transferee</w:t>
      </w:r>
      <w:r>
        <w:rPr>
          <w:rFonts w:ascii="Arial" w:cs="Arial" w:eastAsia="Arial" w:hAnsi="Arial"/>
          <w:sz w:val="18"/>
          <w:szCs w:val="18"/>
          <w:color w:val="auto"/>
        </w:rPr>
        <w:t>”). Upon any such assignment:</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56" w:val="left"/>
        </w:tabs>
        <w:numPr>
          <w:ilvl w:val="2"/>
          <w:numId w:val="303"/>
        </w:numPr>
        <w:rPr>
          <w:rFonts w:ascii="Arial" w:cs="Arial" w:eastAsia="Arial" w:hAnsi="Arial"/>
          <w:sz w:val="16"/>
          <w:szCs w:val="16"/>
          <w:color w:val="auto"/>
        </w:rPr>
      </w:pPr>
      <w:r>
        <w:rPr>
          <w:rFonts w:ascii="Arial" w:cs="Arial" w:eastAsia="Arial" w:hAnsi="Arial"/>
          <w:sz w:val="16"/>
          <w:szCs w:val="16"/>
          <w:color w:val="auto"/>
        </w:rPr>
        <w:t>the applicable Transferee shall execute a signature page to this Agreement, substantially in the form of the Purchaser’s signature page hereto (the “</w:t>
      </w:r>
      <w:r>
        <w:rPr>
          <w:rFonts w:ascii="Arial" w:cs="Arial" w:eastAsia="Arial" w:hAnsi="Arial"/>
          <w:sz w:val="16"/>
          <w:szCs w:val="16"/>
          <w:u w:val="single" w:color="auto"/>
          <w:color w:val="auto"/>
        </w:rPr>
        <w:t>Transferee Joinder Agreement</w:t>
      </w:r>
      <w:r>
        <w:rPr>
          <w:rFonts w:ascii="Arial" w:cs="Arial" w:eastAsia="Arial" w:hAnsi="Arial"/>
          <w:sz w:val="16"/>
          <w:szCs w:val="16"/>
          <w:color w:val="auto"/>
        </w:rPr>
        <w:t>”), which shall reflect the number of Forward Purchase Shares to be purchased by such Transferee (the “</w:t>
      </w:r>
      <w:r>
        <w:rPr>
          <w:rFonts w:ascii="Arial" w:cs="Arial" w:eastAsia="Arial" w:hAnsi="Arial"/>
          <w:sz w:val="16"/>
          <w:szCs w:val="16"/>
          <w:u w:val="single" w:color="auto"/>
          <w:color w:val="auto"/>
        </w:rPr>
        <w:t>Transferee Securities</w:t>
      </w:r>
      <w:r>
        <w:rPr>
          <w:rFonts w:ascii="Arial" w:cs="Arial" w:eastAsia="Arial" w:hAnsi="Arial"/>
          <w:sz w:val="16"/>
          <w:szCs w:val="16"/>
          <w:color w:val="auto"/>
        </w:rPr>
        <w:t>”), and, upon such execution, such Transferee shall have all the same rights and obligations of the Purchaser hereunder with respect to the Transferee Securities, and references herein to the “</w:t>
      </w:r>
      <w:r>
        <w:rPr>
          <w:rFonts w:ascii="Arial" w:cs="Arial" w:eastAsia="Arial" w:hAnsi="Arial"/>
          <w:sz w:val="16"/>
          <w:szCs w:val="16"/>
          <w:u w:val="single" w:color="auto"/>
          <w:color w:val="auto"/>
        </w:rPr>
        <w:t>Purchaser</w:t>
      </w:r>
      <w:r>
        <w:rPr>
          <w:rFonts w:ascii="Arial" w:cs="Arial" w:eastAsia="Arial" w:hAnsi="Arial"/>
          <w:sz w:val="16"/>
          <w:szCs w:val="16"/>
          <w:color w:val="auto"/>
        </w:rPr>
        <w:t xml:space="preserve">” shall be deemed to refer to and include any such Transferee with respect to such Transferee and to its Transferee Securities; </w:t>
      </w:r>
      <w:r>
        <w:rPr>
          <w:rFonts w:ascii="Arial" w:cs="Arial" w:eastAsia="Arial" w:hAnsi="Arial"/>
          <w:sz w:val="16"/>
          <w:szCs w:val="16"/>
          <w:i w:val="1"/>
          <w:iCs w:val="1"/>
          <w:color w:val="auto"/>
        </w:rPr>
        <w:t>provided</w:t>
      </w:r>
      <w:r>
        <w:rPr>
          <w:rFonts w:ascii="Arial" w:cs="Arial" w:eastAsia="Arial" w:hAnsi="Arial"/>
          <w:sz w:val="16"/>
          <w:szCs w:val="16"/>
          <w:color w:val="auto"/>
        </w:rPr>
        <w:t>, that any representations, warranties, covenants and agreements of the Purchaser and any such Transferee shall be several and not joint and shall be made as to the Purchaser or any such Transferee, as applicable, as to itself only; and</w:t>
      </w:r>
    </w:p>
    <w:p>
      <w:pPr>
        <w:spacing w:after="0" w:line="164" w:lineRule="exact"/>
        <w:rPr>
          <w:rFonts w:ascii="Arial" w:cs="Arial" w:eastAsia="Arial" w:hAnsi="Arial"/>
          <w:sz w:val="16"/>
          <w:szCs w:val="16"/>
          <w:color w:val="auto"/>
        </w:rPr>
      </w:pPr>
    </w:p>
    <w:p>
      <w:pPr>
        <w:jc w:val="both"/>
        <w:ind w:firstLine="1304"/>
        <w:spacing w:after="0" w:line="290" w:lineRule="auto"/>
        <w:tabs>
          <w:tab w:leader="none" w:pos="1660" w:val="left"/>
        </w:tabs>
        <w:numPr>
          <w:ilvl w:val="2"/>
          <w:numId w:val="303"/>
        </w:numPr>
        <w:rPr>
          <w:rFonts w:ascii="Arial" w:cs="Arial" w:eastAsia="Arial" w:hAnsi="Arial"/>
          <w:sz w:val="16"/>
          <w:szCs w:val="16"/>
          <w:color w:val="auto"/>
        </w:rPr>
      </w:pPr>
      <w:r>
        <w:rPr>
          <w:rFonts w:ascii="Arial" w:cs="Arial" w:eastAsia="Arial" w:hAnsi="Arial"/>
          <w:sz w:val="16"/>
          <w:szCs w:val="16"/>
          <w:color w:val="auto"/>
        </w:rPr>
        <w:t xml:space="preserve">upon a Transferee’s execution and delivery of a Transferee Joinder Agreement, the number of Forward Purchase Shares to be purchased by the Purchaser hereunder shall be reduced by the total number of Forward Purchase Shares to be purchased by the applicable Transferee pursuant to the applicable Transferee Joinder Agreement, which reduction shall be evidenced by the Purchaser and the Company amending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to this Agreement to reflect each transfer and updating the “Number of Forward Purchase Shares” and “Aggregate Purchase Price for Forward Purchase Shares” on the Purchaser’s signature page hereto to reflect such reduced number of Forward Purchase Shares, and the Purchaser shall be fully and unconditionally released from its obligation to purchase such Transferee Securities hereunder. For the avoidance of doubt, this Agreement need not be amended and restated in its entirety, but only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and the Purchaser’s signature page hereto need be so amended and updated and executed by each of the Purchaser and the Company upon the occurrence of any such transfer of Transferee Securities.</w:t>
      </w:r>
    </w:p>
    <w:p>
      <w:pPr>
        <w:spacing w:after="0" w:line="161" w:lineRule="exact"/>
        <w:rPr>
          <w:rFonts w:ascii="Arial" w:cs="Arial" w:eastAsia="Arial" w:hAnsi="Arial"/>
          <w:sz w:val="16"/>
          <w:szCs w:val="16"/>
          <w:color w:val="auto"/>
        </w:rPr>
      </w:pPr>
    </w:p>
    <w:p>
      <w:pPr>
        <w:ind w:left="180" w:hanging="172"/>
        <w:spacing w:after="0"/>
        <w:tabs>
          <w:tab w:leader="none" w:pos="1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Agreements, Acknowledgements and Waivers of the Purchaser.</w:t>
      </w:r>
    </w:p>
    <w:p>
      <w:pPr>
        <w:spacing w:after="0" w:line="229" w:lineRule="exact"/>
        <w:rPr>
          <w:rFonts w:ascii="Arial" w:cs="Arial" w:eastAsia="Arial" w:hAnsi="Arial"/>
          <w:sz w:val="18"/>
          <w:szCs w:val="18"/>
          <w:b w:val="1"/>
          <w:bCs w:val="1"/>
          <w:color w:val="auto"/>
        </w:rPr>
      </w:pPr>
    </w:p>
    <w:p>
      <w:pPr>
        <w:jc w:val="both"/>
        <w:ind w:firstLine="656"/>
        <w:spacing w:after="0" w:line="284" w:lineRule="auto"/>
        <w:tabs>
          <w:tab w:leader="none" w:pos="937"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Lock-up; Transfer Restrictions</w:t>
      </w:r>
      <w:r>
        <w:rPr>
          <w:rFonts w:ascii="Arial" w:cs="Arial" w:eastAsia="Arial" w:hAnsi="Arial"/>
          <w:sz w:val="16"/>
          <w:szCs w:val="16"/>
          <w:color w:val="auto"/>
        </w:rPr>
        <w:t>. The Purchaser agrees that it shall not Transfer any Forward Purchase Shares until 30 days after the completion of the initial Business Combination. Notwithstanding the foregoing, Transfers of the Forward Purchase Shares are permitted (any such transferees, the “</w:t>
      </w:r>
      <w:r>
        <w:rPr>
          <w:rFonts w:ascii="Arial" w:cs="Arial" w:eastAsia="Arial" w:hAnsi="Arial"/>
          <w:sz w:val="16"/>
          <w:szCs w:val="16"/>
          <w:u w:val="single" w:color="auto"/>
          <w:color w:val="auto"/>
        </w:rPr>
        <w:t>Permitted Transferees</w:t>
      </w:r>
      <w:r>
        <w:rPr>
          <w:rFonts w:ascii="Arial" w:cs="Arial" w:eastAsia="Arial" w:hAnsi="Arial"/>
          <w:sz w:val="16"/>
          <w:szCs w:val="16"/>
          <w:color w:val="auto"/>
        </w:rPr>
        <w:t xml:space="preserve">”): (A) to the Company’s officers or directors, any affiliates or family members of any of the Company’s officers or directors, any members of the Purchaser, or any affiliates of the Purchaser; (B) in the case of an individual, by gift to a member of the individual’s immediate family, to a trust, the beneficiary of which is a member of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the Company’s liquidation prior to the completion of a Business Combination; (G) in the event of the Company’s liquidation, merger, capital stock exchange, reorganization or other similar transaction which results in all of the Company’s stockholders having the right to exchange their Class A Shares for cash, securities or other property subsequent to the completion of a Business Combination; (H) as a distribution to limited partners, members or stockholders of the Purchaser; (I) to the Purchaser’s affiliates, to any investment fund or other entity controlled or managed by the Purchaser or any of its affiliates, or to any investment manager or investment advisor of the Purchaser or an affiliate of any such investment manager or investment advisor; (J) to a nominee or custodian of a person or entity to whom a disposition or transfer would be permissible under clauses (A) through (I) above; (K) to the Purchaser or any Transferee hereunder; (L) by virtue of the laws of the Purchaser’s jurisdiction of formation or its organizational documents upon dissolution of the Purchaser; and (M) pursuant to an order of a court or regulatory agency;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the case of clauses (A) through (E) and (H) through (L), these Permitted Transferees must enter into a written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agreeing to be bound by these transfer restrictions. “</w:t>
      </w:r>
      <w:r>
        <w:rPr>
          <w:rFonts w:ascii="Arial" w:cs="Arial" w:eastAsia="Arial" w:hAnsi="Arial"/>
          <w:sz w:val="16"/>
          <w:szCs w:val="16"/>
          <w:u w:val="single" w:color="auto"/>
          <w:color w:val="auto"/>
        </w:rPr>
        <w:t>Transfer</w:t>
      </w:r>
      <w:r>
        <w:rPr>
          <w:rFonts w:ascii="Arial" w:cs="Arial" w:eastAsia="Arial" w:hAnsi="Arial"/>
          <w:sz w:val="16"/>
          <w:szCs w:val="16"/>
          <w:color w:val="auto"/>
        </w:rPr>
        <w:t>” shall mean the (x)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of the Forward Purchase Shares (excluding any pledges in the ordinary course of business for bona fide financing purposes or as part of prime brokerage arrangements), (y) entry into any swap or other arrangement that transfers to another, in whole or in part, any of the economic consequences of ownership of any of the Forward Purchase Shares, whether any such transaction is to be settled by delivery of such Forward Purchase Shares, in cash or otherwise, or (z) public announcement of any intention to effect any transaction specified in clause (x) or (y).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1" w:name="page392"/>
    <w:bookmarkEnd w:id="391"/>
    <w:p>
      <w:pPr>
        <w:ind w:left="960" w:hanging="304"/>
        <w:spacing w:after="0"/>
        <w:tabs>
          <w:tab w:leader="none" w:pos="960"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83"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Purchaser hereby acknowledges that it is aware that the Company will establish the Trust Account for the benefit of its public stockholders upon the IPO Closing. The Purchaser, for itself and its affiliates, hereby agrees that it has no right, title, interest or claim of any kind in or to any monies held in the Trust Account, or any other asset of the Company as a result of any liquidation of the Company, except for redemption and liquidation rights, if any, the Purchaser may have in respect of any Public Shares held by it.</w:t>
      </w:r>
    </w:p>
    <w:p>
      <w:pPr>
        <w:spacing w:after="0" w:line="186" w:lineRule="exact"/>
        <w:rPr>
          <w:rFonts w:ascii="Arial" w:cs="Arial" w:eastAsia="Arial" w:hAnsi="Arial"/>
          <w:sz w:val="18"/>
          <w:szCs w:val="18"/>
          <w:color w:val="auto"/>
        </w:rPr>
      </w:pPr>
    </w:p>
    <w:p>
      <w:pPr>
        <w:jc w:val="both"/>
        <w:ind w:firstLine="1304"/>
        <w:spacing w:after="0" w:line="255" w:lineRule="auto"/>
        <w:tabs>
          <w:tab w:leader="none" w:pos="1619"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Purchaser hereby agrees that it shall have no right of set-off or any right, title, interest or claim of any kind (“</w:t>
      </w:r>
      <w:r>
        <w:rPr>
          <w:rFonts w:ascii="Arial" w:cs="Arial" w:eastAsia="Arial" w:hAnsi="Arial"/>
          <w:sz w:val="18"/>
          <w:szCs w:val="18"/>
          <w:u w:val="single" w:color="auto"/>
          <w:color w:val="auto"/>
        </w:rPr>
        <w:t>Claim</w:t>
      </w:r>
      <w:r>
        <w:rPr>
          <w:rFonts w:ascii="Arial" w:cs="Arial" w:eastAsia="Arial" w:hAnsi="Arial"/>
          <w:sz w:val="18"/>
          <w:szCs w:val="18"/>
          <w:color w:val="auto"/>
        </w:rPr>
        <w:t>”) to, or to any monies in, the Trust Account, and hereby irrevocably waives any Claim to, or to any monies in, the Trust Account that it may have now or in the future, except for redemption and liquidation rights, if any, the Purchaser may have in respect of any Public Shares held by it. In the event the Purchaser has any Claim against the Company under this Agreement, the Purchaser shall pursue such Claim solely against the Company and its assets outside the Trust Account and not against the property or any monies in the Trust Account, except for redemption and liquidation rights, if any, the Purchaser may have in respect of any Public Shares held by it.</w:t>
      </w:r>
    </w:p>
    <w:p>
      <w:pPr>
        <w:spacing w:after="0" w:line="188" w:lineRule="exact"/>
        <w:rPr>
          <w:rFonts w:ascii="Arial" w:cs="Arial" w:eastAsia="Arial" w:hAnsi="Arial"/>
          <w:sz w:val="18"/>
          <w:szCs w:val="18"/>
          <w:color w:val="auto"/>
        </w:rPr>
      </w:pPr>
    </w:p>
    <w:p>
      <w:pPr>
        <w:ind w:firstLine="8"/>
        <w:spacing w:after="0" w:line="312" w:lineRule="auto"/>
        <w:tabs>
          <w:tab w:leader="none" w:pos="238"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Nasdaq Listing. </w:t>
      </w:r>
      <w:r>
        <w:rPr>
          <w:rFonts w:ascii="Arial" w:cs="Arial" w:eastAsia="Arial" w:hAnsi="Arial"/>
          <w:sz w:val="17"/>
          <w:szCs w:val="17"/>
          <w:color w:val="auto"/>
        </w:rPr>
        <w:t>The Company will use commercially reasonable efforts to effect the listing of the Units, Class A Shares and Public Warrants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(or another national securities exchange) at the time of the Business Combination Closing.</w:t>
      </w:r>
    </w:p>
    <w:p>
      <w:pPr>
        <w:spacing w:after="0" w:line="139" w:lineRule="exact"/>
        <w:rPr>
          <w:rFonts w:ascii="Arial" w:cs="Arial" w:eastAsia="Arial" w:hAnsi="Arial"/>
          <w:sz w:val="17"/>
          <w:szCs w:val="17"/>
          <w:b w:val="1"/>
          <w:bCs w:val="1"/>
          <w:color w:val="auto"/>
        </w:rPr>
      </w:pPr>
    </w:p>
    <w:p>
      <w:pPr>
        <w:ind w:left="180" w:hanging="172"/>
        <w:spacing w:after="0"/>
        <w:tabs>
          <w:tab w:leader="none" w:pos="1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Forward Closing Conditions.</w:t>
      </w:r>
    </w:p>
    <w:p>
      <w:pPr>
        <w:spacing w:after="0" w:line="229" w:lineRule="exact"/>
        <w:rPr>
          <w:rFonts w:ascii="Arial" w:cs="Arial" w:eastAsia="Arial" w:hAnsi="Arial"/>
          <w:sz w:val="18"/>
          <w:szCs w:val="18"/>
          <w:b w:val="1"/>
          <w:bCs w:val="1"/>
          <w:color w:val="auto"/>
        </w:rPr>
      </w:pPr>
    </w:p>
    <w:p>
      <w:pPr>
        <w:jc w:val="both"/>
        <w:ind w:right="20" w:firstLine="656"/>
        <w:spacing w:after="0" w:line="263" w:lineRule="auto"/>
        <w:tabs>
          <w:tab w:leader="none" w:pos="96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Assuming such Purchaser has signed a Purchaser Joinder, the obligation of the Purchaser to purchase the Forward Purchase Shares at the Forward Closing under this Agreement shall be subject to the fulfillment, at or prior to the Forward Closing of each of the following conditions, any of which, to the extent permitted by applicable laws, may be waived by the Purchaser:</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2"/>
          <w:numId w:val="305"/>
        </w:numPr>
        <w:rPr>
          <w:rFonts w:ascii="Arial" w:cs="Arial" w:eastAsia="Arial" w:hAnsi="Arial"/>
          <w:sz w:val="17"/>
          <w:szCs w:val="17"/>
          <w:color w:val="auto"/>
        </w:rPr>
      </w:pPr>
      <w:r>
        <w:rPr>
          <w:rFonts w:ascii="Arial" w:cs="Arial" w:eastAsia="Arial" w:hAnsi="Arial"/>
          <w:sz w:val="17"/>
          <w:szCs w:val="17"/>
          <w:color w:val="auto"/>
        </w:rPr>
        <w:t>The Business Combination shall be consummated substantially concurrently with the purchase of the Forward Purchase Shares;</w:t>
      </w:r>
    </w:p>
    <w:p>
      <w:pPr>
        <w:spacing w:after="0" w:line="236" w:lineRule="exact"/>
        <w:rPr>
          <w:rFonts w:ascii="Arial" w:cs="Arial" w:eastAsia="Arial" w:hAnsi="Arial"/>
          <w:sz w:val="17"/>
          <w:szCs w:val="17"/>
          <w:color w:val="auto"/>
        </w:rPr>
      </w:pPr>
    </w:p>
    <w:p>
      <w:pPr>
        <w:jc w:val="both"/>
        <w:ind w:firstLine="1304"/>
        <w:spacing w:after="0" w:line="259" w:lineRule="auto"/>
        <w:tabs>
          <w:tab w:leader="none" w:pos="1646" w:val="left"/>
        </w:tabs>
        <w:numPr>
          <w:ilvl w:val="2"/>
          <w:numId w:val="305"/>
        </w:numPr>
        <w:rPr>
          <w:rFonts w:ascii="Arial" w:cs="Arial" w:eastAsia="Arial" w:hAnsi="Arial"/>
          <w:sz w:val="18"/>
          <w:szCs w:val="18"/>
          <w:color w:val="auto"/>
        </w:rPr>
      </w:pPr>
      <w:r>
        <w:rPr>
          <w:rFonts w:ascii="Arial" w:cs="Arial" w:eastAsia="Arial" w:hAnsi="Arial"/>
          <w:sz w:val="18"/>
          <w:szCs w:val="18"/>
          <w:color w:val="auto"/>
        </w:rPr>
        <w:t>No amendment or modification of the terms of the Business Combination provided by the Company to the Advisor prior to the execution by the Purchaser of a Purchaser Joinder shall have occurred that would reasonably be expected to materially and adversely affect the economic benefits that the Purchaser would reasonably expect to receive under this Agreement without having received Purchaser's prior written consent (not to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2" w:name="page393"/>
    <w:bookmarkEnd w:id="392"/>
    <w:p>
      <w:pPr>
        <w:ind w:left="1300"/>
        <w:spacing w:after="0"/>
        <w:tabs>
          <w:tab w:leader="none" w:pos="1740" w:val="left"/>
        </w:tabs>
        <w:rPr>
          <w:sz w:val="20"/>
          <w:szCs w:val="20"/>
          <w:color w:val="auto"/>
        </w:rPr>
      </w:pPr>
      <w:r>
        <w:rPr>
          <w:rFonts w:ascii="Arial" w:cs="Arial" w:eastAsia="Arial" w:hAnsi="Arial"/>
          <w:sz w:val="17"/>
          <w:szCs w:val="17"/>
          <w:color w:val="auto"/>
        </w:rPr>
        <w:t>(iii)</w:t>
        <w:tab/>
        <w:t>The Company shall have delivered to the Purchaser a certificate evidencing the Company’s good standing as a Delaware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jc w:val="both"/>
        <w:ind w:firstLine="1304"/>
        <w:spacing w:after="0" w:line="257" w:lineRule="auto"/>
        <w:tabs>
          <w:tab w:leader="none" w:pos="1659" w:val="left"/>
        </w:tabs>
        <w:numPr>
          <w:ilvl w:val="2"/>
          <w:numId w:val="30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Company or its ability to consummate the transactions contemplated by this Agreement;</w:t>
      </w:r>
    </w:p>
    <w:p>
      <w:pPr>
        <w:spacing w:after="0" w:line="187" w:lineRule="exact"/>
        <w:rPr>
          <w:rFonts w:ascii="Arial" w:cs="Arial" w:eastAsia="Arial" w:hAnsi="Arial"/>
          <w:sz w:val="18"/>
          <w:szCs w:val="18"/>
          <w:color w:val="auto"/>
        </w:rPr>
      </w:pPr>
    </w:p>
    <w:p>
      <w:pPr>
        <w:ind w:right="20" w:firstLine="1304"/>
        <w:spacing w:after="0" w:line="277" w:lineRule="auto"/>
        <w:tabs>
          <w:tab w:leader="none" w:pos="1623"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The Company shall have performed, satisfied and complied in all material respects with the covenants, agreements and conditions required by this Agreement to be performed, satisfied or complied with by the Company at or prior to the Forward Closing; and</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713" w:val="left"/>
        </w:tabs>
        <w:numPr>
          <w:ilvl w:val="2"/>
          <w:numId w:val="306"/>
        </w:numPr>
        <w:rPr>
          <w:rFonts w:ascii="Arial" w:cs="Arial" w:eastAsia="Arial" w:hAnsi="Arial"/>
          <w:sz w:val="18"/>
          <w:szCs w:val="18"/>
          <w:color w:val="auto"/>
        </w:rPr>
      </w:pPr>
      <w:r>
        <w:rPr>
          <w:rFonts w:ascii="Arial" w:cs="Arial" w:eastAsia="Arial" w:hAnsi="Arial"/>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8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obligation of the Company to sell the Forward Purchase Shares at the Forward Closing under this Agreement shall be subject to the fulfillment, at or prior to the Forward Closing of each of the following conditions, any of which, to the extent permitted by applicable laws, may be waived by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2"/>
          <w:numId w:val="307"/>
        </w:numPr>
        <w:rPr>
          <w:rFonts w:ascii="Arial" w:cs="Arial" w:eastAsia="Arial" w:hAnsi="Arial"/>
          <w:sz w:val="17"/>
          <w:szCs w:val="17"/>
          <w:color w:val="auto"/>
        </w:rPr>
      </w:pPr>
      <w:r>
        <w:rPr>
          <w:rFonts w:ascii="Arial" w:cs="Arial" w:eastAsia="Arial" w:hAnsi="Arial"/>
          <w:sz w:val="17"/>
          <w:szCs w:val="17"/>
          <w:color w:val="auto"/>
        </w:rPr>
        <w:t>The Business Combination shall be consummated substantially concurrently with the purchase of Forward Purchase Shares;</w:t>
      </w:r>
    </w:p>
    <w:p>
      <w:pPr>
        <w:spacing w:after="0" w:line="236" w:lineRule="exact"/>
        <w:rPr>
          <w:rFonts w:ascii="Arial" w:cs="Arial" w:eastAsia="Arial" w:hAnsi="Arial"/>
          <w:sz w:val="17"/>
          <w:szCs w:val="17"/>
          <w:color w:val="auto"/>
        </w:rPr>
      </w:pPr>
    </w:p>
    <w:p>
      <w:pPr>
        <w:jc w:val="both"/>
        <w:ind w:firstLine="1304"/>
        <w:spacing w:after="0" w:line="257" w:lineRule="auto"/>
        <w:tabs>
          <w:tab w:leader="none" w:pos="1606" w:val="left"/>
        </w:tabs>
        <w:numPr>
          <w:ilvl w:val="2"/>
          <w:numId w:val="30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Purchaser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shall have been true and correct as of the date hereof and shall be true and correct as of the Forward Closing Date, as applicable, with the same effect as though such representations and warranties had been made on and as of such date (other than any such representation or warranty that is made by its terms as of a specified date, which shall be true and correct as of such specified date), except where the failure to be so true and correct would not have a material adverse effect on the Purchaser or its ability to consummate the transactions contemplated by this Agreement;</w:t>
      </w:r>
    </w:p>
    <w:p>
      <w:pPr>
        <w:spacing w:after="0" w:line="187" w:lineRule="exact"/>
        <w:rPr>
          <w:rFonts w:ascii="Arial" w:cs="Arial" w:eastAsia="Arial" w:hAnsi="Arial"/>
          <w:sz w:val="18"/>
          <w:szCs w:val="18"/>
          <w:color w:val="auto"/>
        </w:rPr>
      </w:pPr>
    </w:p>
    <w:p>
      <w:pPr>
        <w:ind w:firstLine="1304"/>
        <w:spacing w:after="0" w:line="308" w:lineRule="auto"/>
        <w:tabs>
          <w:tab w:leader="none" w:pos="1669" w:val="left"/>
        </w:tabs>
        <w:numPr>
          <w:ilvl w:val="2"/>
          <w:numId w:val="307"/>
        </w:numPr>
        <w:rPr>
          <w:rFonts w:ascii="Arial" w:cs="Arial" w:eastAsia="Arial" w:hAnsi="Arial"/>
          <w:sz w:val="17"/>
          <w:szCs w:val="17"/>
          <w:color w:val="auto"/>
        </w:rPr>
      </w:pPr>
      <w:r>
        <w:rPr>
          <w:rFonts w:ascii="Arial" w:cs="Arial" w:eastAsia="Arial" w:hAnsi="Arial"/>
          <w:sz w:val="17"/>
          <w:szCs w:val="17"/>
          <w:color w:val="auto"/>
        </w:rPr>
        <w:t>The Purchaser shall have performed, satisfied and complied in all material respects with the covenants, agreements and conditions required by this Agreement to be performed, satisfied or complied with by the Purchaser at or prior to the Forward Closing; and</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1713" w:val="left"/>
        </w:tabs>
        <w:numPr>
          <w:ilvl w:val="2"/>
          <w:numId w:val="307"/>
        </w:numPr>
        <w:rPr>
          <w:rFonts w:ascii="Arial" w:cs="Arial" w:eastAsia="Arial" w:hAnsi="Arial"/>
          <w:sz w:val="18"/>
          <w:szCs w:val="18"/>
          <w:color w:val="auto"/>
        </w:rPr>
      </w:pPr>
      <w:r>
        <w:rPr>
          <w:rFonts w:ascii="Arial" w:cs="Arial" w:eastAsia="Arial" w:hAnsi="Arial"/>
          <w:sz w:val="18"/>
          <w:szCs w:val="18"/>
          <w:color w:val="auto"/>
        </w:rPr>
        <w:t>No order, writ, judgment, injunction, decree, determination, or award shall have been entered by or with any governmental, regulatory, or administrative authority or any court, tribunal, or judicial, or arbitral body, and no other legal restraint or prohibition shall be in effect, preventing the purchase by the Purchaser of the Forward Purchase Shares.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This Agreement may be terminated at any time prior to the Forward Closing:</w:t>
      </w:r>
    </w:p>
    <w:p>
      <w:pPr>
        <w:spacing w:after="0" w:line="229" w:lineRule="exact"/>
        <w:rPr>
          <w:rFonts w:ascii="Arial" w:cs="Arial" w:eastAsia="Arial" w:hAnsi="Arial"/>
          <w:sz w:val="18"/>
          <w:szCs w:val="18"/>
          <w:b w:val="1"/>
          <w:bCs w:val="1"/>
          <w:color w:val="auto"/>
        </w:rPr>
      </w:pPr>
    </w:p>
    <w:p>
      <w:pPr>
        <w:ind w:left="940" w:hanging="284"/>
        <w:spacing w:after="0"/>
        <w:tabs>
          <w:tab w:leader="none" w:pos="94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by mutual written consent of the Company and the Purchaser;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automatically</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if the IPO is not consummated on or prior to twelve months from the date of this Agreement; or</w:t>
      </w:r>
    </w:p>
    <w:p>
      <w:pPr>
        <w:spacing w:after="0" w:line="225" w:lineRule="exact"/>
        <w:rPr>
          <w:rFonts w:ascii="Arial" w:cs="Arial" w:eastAsia="Arial" w:hAnsi="Arial"/>
          <w:sz w:val="18"/>
          <w:szCs w:val="18"/>
          <w:color w:val="auto"/>
        </w:rPr>
      </w:pPr>
    </w:p>
    <w:p>
      <w:pPr>
        <w:ind w:right="20" w:firstLine="1304"/>
        <w:spacing w:after="0" w:line="277" w:lineRule="auto"/>
        <w:tabs>
          <w:tab w:leader="none" w:pos="166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if the Business Combination is not consummated within 24 months from the closing of the IPO, or such later date as may be approved by the Company’s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3" w:name="page394"/>
    <w:bookmarkEnd w:id="393"/>
    <w:p>
      <w:pPr>
        <w:jc w:val="both"/>
        <w:spacing w:after="0" w:line="255" w:lineRule="auto"/>
        <w:rPr>
          <w:sz w:val="20"/>
          <w:szCs w:val="20"/>
          <w:color w:val="auto"/>
        </w:rPr>
      </w:pPr>
      <w:r>
        <w:rPr>
          <w:rFonts w:ascii="Arial" w:cs="Arial" w:eastAsia="Arial" w:hAnsi="Arial"/>
          <w:sz w:val="18"/>
          <w:szCs w:val="18"/>
          <w:color w:val="auto"/>
        </w:rPr>
        <w:t xml:space="preserve">In the event of any termination of this Agreement pursuant to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 Forward Purchase Price (and interest thereon, if any), if previously paid, and all Purchaser’s funds paid in connection herewith shall be promptly returned to the Purchaser, and thereafter this Agreement shall forthwith become null and void and have no effect, without any liability on the part of the Purchaser or the Company and their respective directors, officers, employees, partners, managers, members, or stockholders and all rights and obligations of each party shall cease;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nothing contained in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relieve either party from liabilities or damages arising out of any fraud or willful breach by such party of any of its representations, warranties, covenants or agreements contained in this Agreement.</w:t>
      </w:r>
    </w:p>
    <w:p>
      <w:pPr>
        <w:spacing w:after="0" w:line="188" w:lineRule="exact"/>
        <w:rPr>
          <w:sz w:val="20"/>
          <w:szCs w:val="20"/>
          <w:color w:val="auto"/>
        </w:rPr>
      </w:pPr>
    </w:p>
    <w:p>
      <w:pPr>
        <w:ind w:left="260" w:hanging="252"/>
        <w:spacing w:after="0"/>
        <w:tabs>
          <w:tab w:leader="none" w:pos="2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9" w:lineRule="exact"/>
        <w:rPr>
          <w:rFonts w:ascii="Arial" w:cs="Arial" w:eastAsia="Arial" w:hAnsi="Arial"/>
          <w:sz w:val="18"/>
          <w:szCs w:val="18"/>
          <w:b w:val="1"/>
          <w:bCs w:val="1"/>
          <w:color w:val="auto"/>
        </w:rPr>
      </w:pPr>
    </w:p>
    <w:p>
      <w:pPr>
        <w:jc w:val="both"/>
        <w:ind w:firstLine="656"/>
        <w:spacing w:after="0" w:line="290" w:lineRule="auto"/>
        <w:tabs>
          <w:tab w:leader="none" w:pos="951"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(if any) during normal business hours of the recipient, and if not sent during normal business hours, then on the recipient’s next Business Day, (iii) five (5) Business Days after having been sent by registered or certified mail, return receipt requested, postage prepaid, or (iv) one (1) Business Day after deposit with a nationally recognized overnight courier, freight prepaid, specifying next Business Day delivery, with written verification of receipt. All communications sent to the Company shall be sent to: CM Life Sciences, Inc., c/o Corvex Capital Management, 667 Madison Avenue, New York, New York 10065, Attn: Brian Emes, Chief Financial Officer, email: bemes@corvexcap.com, with a copy to the Company’s counsel at: White &amp; Case LLP, 1221 Avenue of the Americas, New York, New York 10022, Attn: Joel L. Rubinstein, Esq., email: jrubinstein@winston.com.</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All communications to the Purchaser shall be sent to the Purchaser’s address as set forth on the signature page hereof, or to such e-mail address, facsimile number (if any) or address as subsequently modified by written notice given in accordance with this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93" w:lineRule="auto"/>
        <w:tabs>
          <w:tab w:leader="none" w:pos="97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No Finder’s Fees</w:t>
      </w:r>
      <w:r>
        <w:rPr>
          <w:rFonts w:ascii="Arial" w:cs="Arial" w:eastAsia="Arial" w:hAnsi="Arial"/>
          <w:sz w:val="16"/>
          <w:szCs w:val="16"/>
          <w:color w:val="auto"/>
        </w:rPr>
        <w:t>. Each party represents that it neither is nor will be obligated for any finder’s fee or commission in connection with this transaction. The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the Purchaser or any of its officers, employees or representatives is responsible. The Company agrees to indemnify and hold harmless the Purchaser from any liability for any commission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64" w:lineRule="exact"/>
        <w:rPr>
          <w:rFonts w:ascii="Arial" w:cs="Arial" w:eastAsia="Arial" w:hAnsi="Arial"/>
          <w:sz w:val="16"/>
          <w:szCs w:val="16"/>
          <w:color w:val="auto"/>
        </w:rPr>
      </w:pPr>
    </w:p>
    <w:p>
      <w:pPr>
        <w:ind w:left="940" w:hanging="284"/>
        <w:spacing w:after="0"/>
        <w:tabs>
          <w:tab w:leader="none" w:pos="94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of the representations and warranties contained herein shall survive the Forward Closing.</w:t>
      </w:r>
    </w:p>
    <w:p>
      <w:pPr>
        <w:spacing w:after="0" w:line="248" w:lineRule="exact"/>
        <w:rPr>
          <w:rFonts w:ascii="Arial" w:cs="Arial" w:eastAsia="Arial" w:hAnsi="Arial"/>
          <w:sz w:val="16"/>
          <w:szCs w:val="16"/>
          <w:color w:val="auto"/>
        </w:rPr>
      </w:pPr>
    </w:p>
    <w:p>
      <w:pPr>
        <w:jc w:val="both"/>
        <w:ind w:firstLine="656"/>
        <w:spacing w:after="0" w:line="259" w:lineRule="auto"/>
        <w:tabs>
          <w:tab w:leader="none" w:pos="961"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documents, instruments and writings that are delivered pursuant hereto or referenced herein,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7"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of the terms, agreements, covenants, representations, warranties, and conditions of this Agreement are binding upon, and inure to the benefit of and are enforceable by, the parties hereto and their respective successors.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ind w:firstLine="656"/>
        <w:spacing w:after="0" w:line="277" w:lineRule="auto"/>
        <w:tabs>
          <w:tab w:leader="none" w:pos="918"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Except as otherwise specifically provided herein, no party hereto may assign either this Agreement or any of its rights, interests, or obligations hereunder without the prior written approval of the other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4" w:name="page395"/>
    <w:bookmarkEnd w:id="394"/>
    <w:p>
      <w:pPr>
        <w:ind w:firstLine="656"/>
        <w:spacing w:after="0" w:line="277" w:lineRule="auto"/>
        <w:tabs>
          <w:tab w:leader="none" w:pos="98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will be deemed an original but all of which together will constitute one and the same instrument.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4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will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4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entire relationship of the parties hereto, and any dispute between the parties (whether grounded in contract, tort, statute, law or equity) shall be governed by, construed in accordance with, and interpreted pursuant to the laws of the State of New York, without giving effect to its choice of laws principles.</w:t>
      </w:r>
    </w:p>
    <w:p>
      <w:pPr>
        <w:spacing w:after="0" w:line="183" w:lineRule="exact"/>
        <w:rPr>
          <w:rFonts w:ascii="Arial" w:cs="Arial" w:eastAsia="Arial" w:hAnsi="Arial"/>
          <w:sz w:val="18"/>
          <w:szCs w:val="18"/>
          <w:color w:val="auto"/>
        </w:rPr>
      </w:pPr>
    </w:p>
    <w:p>
      <w:pPr>
        <w:jc w:val="both"/>
        <w:ind w:firstLine="656"/>
        <w:spacing w:after="0" w:line="291" w:lineRule="auto"/>
        <w:tabs>
          <w:tab w:leader="none" w:pos="948"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The parties (i) hereby irrevocably and unconditionally submit to the jurisdiction of the state courts of New York and to the jurisdiction of the United States District Court for the Southern District of New York for the purpose of any suit, action or other proceeding arising out of or based upon this Agreement, (ii) agree not to commence any suit, action or other proceeding arising out of or based upon this Agreement except in state courts of New York or the United States District Court for the Southern District of New York, and (iii)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6" w:lineRule="exact"/>
        <w:rPr>
          <w:rFonts w:ascii="Arial" w:cs="Arial" w:eastAsia="Arial" w:hAnsi="Arial"/>
          <w:sz w:val="16"/>
          <w:szCs w:val="16"/>
          <w:color w:val="auto"/>
        </w:rPr>
      </w:pPr>
    </w:p>
    <w:p>
      <w:pPr>
        <w:ind w:firstLine="656"/>
        <w:spacing w:after="0" w:line="277" w:lineRule="auto"/>
        <w:tabs>
          <w:tab w:leader="none" w:pos="94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hereby waive any right to a jury trial in connection with any litigation pursuant to this Agreement and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modified or waived as to any particular provision except with the prior written consent of the Company and the Purchaser.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3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The provisions of this Agreement will be deemed severable and the invalidity or unenforceability of any provision will not affect the validity or enforceability of the other provisions hereof; </w:t>
      </w:r>
      <w:r>
        <w:rPr>
          <w:rFonts w:ascii="Arial" w:cs="Arial" w:eastAsia="Arial" w:hAnsi="Arial"/>
          <w:sz w:val="18"/>
          <w:szCs w:val="18"/>
          <w:i w:val="1"/>
          <w:iCs w:val="1"/>
          <w:color w:val="auto"/>
        </w:rPr>
        <w:t>provided</w:t>
      </w:r>
      <w:r>
        <w:rPr>
          <w:rFonts w:ascii="Arial" w:cs="Arial" w:eastAsia="Arial" w:hAnsi="Arial"/>
          <w:sz w:val="18"/>
          <w:szCs w:val="18"/>
          <w:color w:val="auto"/>
        </w:rPr>
        <w:t>, that if any provision of this Agreement, as applied to any party hereto or to any circumstance, is adjudged by a governmental authority, arbitrator, or mediator not to be enforceable in accordance with its terms, the parties hereto agree that the governmental authority, arbitrator, or mediator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192" w:lineRule="exact"/>
        <w:rPr>
          <w:rFonts w:ascii="Arial" w:cs="Arial" w:eastAsia="Arial" w:hAnsi="Arial"/>
          <w:sz w:val="18"/>
          <w:szCs w:val="18"/>
          <w:color w:val="auto"/>
        </w:rPr>
      </w:pPr>
    </w:p>
    <w:p>
      <w:pPr>
        <w:jc w:val="both"/>
        <w:ind w:firstLine="656"/>
        <w:spacing w:after="0" w:line="279" w:lineRule="auto"/>
        <w:tabs>
          <w:tab w:leader="none" w:pos="948"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Each of the Company and the Purchaser will bear its own costs and expenses incurred in connection with the preparation, execution and performance of this Agreement and the consummation of the transactions contemplated hereby, including all fees and expenses of agents, representatives, financial advisors, legal counsel and accountants. The Company shall be responsible for the fees of its transfer agent; stamp taxes and all of The Depository Trust Company’s fees associated with the issuance of the Forward Purchase Shares.</w:t>
      </w:r>
    </w:p>
    <w:p>
      <w:pPr>
        <w:spacing w:after="0" w:line="171" w:lineRule="exact"/>
        <w:rPr>
          <w:rFonts w:ascii="Arial" w:cs="Arial" w:eastAsia="Arial" w:hAnsi="Arial"/>
          <w:sz w:val="17"/>
          <w:szCs w:val="17"/>
          <w:color w:val="auto"/>
        </w:rPr>
      </w:pPr>
    </w:p>
    <w:p>
      <w:pPr>
        <w:jc w:val="both"/>
        <w:ind w:firstLine="656"/>
        <w:spacing w:after="0" w:line="287" w:lineRule="auto"/>
        <w:tabs>
          <w:tab w:leader="none" w:pos="975"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be deemed also to refer to law as amended and all rules and regulations promulgated thereunder, unless the context requires otherwise.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5" w:name="page396"/>
    <w:bookmarkEnd w:id="395"/>
    <w:p>
      <w:pPr>
        <w:jc w:val="both"/>
        <w:ind w:firstLine="656"/>
        <w:spacing w:after="0" w:line="263" w:lineRule="auto"/>
        <w:tabs>
          <w:tab w:leader="none" w:pos="948"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by any party hereto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occurrence.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00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Purchaser agrees that irreparable damage may occur in the event any provision of this Agreement was not performed by the Purchaser in accordance with the terms hereof and that the Company shall be entitled to specific performance of the terms hereof, in addition to any other remedy at law or equity.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6" w:name="page397"/>
    <w:bookmarkEnd w:id="39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executed this Agreement to be effective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 LIFE SCIENCES, INC.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6350</wp:posOffset>
            </wp:positionV>
            <wp:extent cx="249428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Forward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97" w:name="page398"/>
    <w:bookmarkEnd w:id="397"/>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4120" w:type="dxa"/>
            <w:vAlign w:val="bottom"/>
          </w:tcPr>
          <w:p>
            <w:pPr>
              <w:spacing w:after="0"/>
              <w:rPr>
                <w:sz w:val="24"/>
                <w:szCs w:val="24"/>
                <w:color w:val="auto"/>
              </w:rPr>
            </w:pPr>
          </w:p>
        </w:tc>
        <w:tc>
          <w:tcPr>
            <w:tcW w:w="71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9"/>
              </w:rPr>
              <w:t>FORM OF PURCHASER JOINDER</w:t>
            </w:r>
          </w:p>
        </w:tc>
      </w:tr>
      <w:tr>
        <w:trPr>
          <w:trHeight w:val="216"/>
        </w:trPr>
        <w:tc>
          <w:tcPr>
            <w:tcW w:w="41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Number of Forward Purchase Shares:</w:t>
            </w:r>
          </w:p>
        </w:tc>
        <w:tc>
          <w:tcPr>
            <w:tcW w:w="6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w w:val="90"/>
              </w:rPr>
              <w:t>Aggregate Purchase Price for Forward Purchase Shares:</w:t>
            </w:r>
          </w:p>
        </w:tc>
        <w:tc>
          <w:tcPr>
            <w:tcW w:w="6240" w:type="dxa"/>
            <w:vAlign w:val="bottom"/>
          </w:tcPr>
          <w:p>
            <w:pPr>
              <w:spacing w:after="0"/>
              <w:rPr>
                <w:sz w:val="20"/>
                <w:szCs w:val="20"/>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TO BE EXECUTED UPON ANY ALLOCATION AND/OR REVISION IN ACCORDANCE WITH THIS AGREEMENT TO “NUMBER OF FORWARD PURCHASE SHARES” AND “AGGREGATE PURCHASE PRICE FOR FORWARD PURCHASE SECURITIES” SET FORTH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w w:val="90"/>
              </w:rPr>
              <w:t>Number of Forward Purchase Shares and Aggregate Purchase Price for Forward Purchase Shares as of</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w w:val="94"/>
              </w:rPr>
              <w:t>, 20[ ], accepted and agreed to as of this  day of ,</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20[ ].</w:t>
            </w:r>
          </w:p>
        </w:tc>
        <w:tc>
          <w:tcPr>
            <w:tcW w:w="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8"/>
        </w:trPr>
        <w:tc>
          <w:tcPr>
            <w:tcW w:w="11240" w:type="dxa"/>
            <w:vAlign w:val="bottom"/>
            <w:gridSpan w:val="4"/>
          </w:tcPr>
          <w:p>
            <w:pPr>
              <w:ind w:left="6760"/>
              <w:spacing w:after="0"/>
              <w:rPr>
                <w:sz w:val="20"/>
                <w:szCs w:val="20"/>
                <w:color w:val="auto"/>
              </w:rPr>
            </w:pPr>
            <w:r>
              <w:rPr>
                <w:rFonts w:ascii="Arial" w:cs="Arial" w:eastAsia="Arial" w:hAnsi="Arial"/>
                <w:sz w:val="18"/>
                <w:szCs w:val="18"/>
                <w:b w:val="1"/>
                <w:bCs w:val="1"/>
                <w:color w:val="auto"/>
              </w:rPr>
              <w:t>PURCHASER:</w:t>
            </w:r>
          </w:p>
        </w:tc>
      </w:tr>
      <w:tr>
        <w:trPr>
          <w:trHeight w:val="190"/>
        </w:trPr>
        <w:tc>
          <w:tcPr>
            <w:tcW w:w="6820" w:type="dxa"/>
            <w:vAlign w:val="bottom"/>
          </w:tcPr>
          <w:p>
            <w:pPr>
              <w:ind w:left="6760"/>
              <w:spacing w:after="0" w:line="190" w:lineRule="exact"/>
              <w:rPr>
                <w:sz w:val="20"/>
                <w:szCs w:val="20"/>
                <w:color w:val="auto"/>
              </w:rPr>
            </w:pPr>
            <w:r>
              <w:rPr>
                <w:rFonts w:ascii="Arial" w:cs="Arial" w:eastAsia="Arial" w:hAnsi="Arial"/>
                <w:sz w:val="18"/>
                <w:szCs w:val="18"/>
                <w:color w:val="auto"/>
                <w:w w:val="78"/>
              </w:rPr>
              <w:t>[</w:t>
            </w:r>
          </w:p>
        </w:tc>
        <w:tc>
          <w:tcPr>
            <w:tcW w:w="7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640" w:type="dxa"/>
            <w:vAlign w:val="bottom"/>
          </w:tcPr>
          <w:p>
            <w:pPr>
              <w:jc w:val="right"/>
              <w:ind w:right="1490"/>
              <w:spacing w:after="0" w:line="190" w:lineRule="exact"/>
              <w:rPr>
                <w:sz w:val="20"/>
                <w:szCs w:val="20"/>
                <w:color w:val="auto"/>
              </w:rPr>
            </w:pPr>
            <w:r>
              <w:rPr>
                <w:rFonts w:ascii="Arial" w:cs="Arial" w:eastAsia="Arial" w:hAnsi="Arial"/>
                <w:sz w:val="18"/>
                <w:szCs w:val="18"/>
                <w:color w:val="auto"/>
                <w:w w:val="78"/>
              </w:rPr>
              <w:t>]</w:t>
            </w:r>
          </w:p>
        </w:tc>
      </w:tr>
    </w:tbl>
    <w:p>
      <w:pPr>
        <w:spacing w:after="0" w:line="2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5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20" w:type="dxa"/>
            <w:vAlign w:val="bottom"/>
          </w:tcPr>
          <w:p>
            <w:pPr>
              <w:jc w:val="center"/>
              <w:ind w:left="3308"/>
              <w:spacing w:after="0"/>
              <w:rPr>
                <w:sz w:val="20"/>
                <w:szCs w:val="20"/>
                <w:color w:val="auto"/>
              </w:rPr>
            </w:pPr>
            <w:r>
              <w:rPr>
                <w:rFonts w:ascii="Arial" w:cs="Arial" w:eastAsia="Arial" w:hAnsi="Arial"/>
                <w:sz w:val="18"/>
                <w:szCs w:val="18"/>
                <w:b w:val="1"/>
                <w:bCs w:val="1"/>
                <w:color w:val="auto"/>
                <w:w w:val="99"/>
              </w:rPr>
              <w:t>SCHEDULE A</w:t>
            </w:r>
          </w:p>
        </w:tc>
        <w:tc>
          <w:tcPr>
            <w:tcW w:w="5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7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ALLOCATION OF FORWARD PURCHASE SHARES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6240" w:type="dxa"/>
            <w:vAlign w:val="bottom"/>
            <w:gridSpan w:val="2"/>
          </w:tcPr>
          <w:p>
            <w:pPr>
              <w:ind w:left="440"/>
              <w:spacing w:after="0"/>
              <w:rPr>
                <w:sz w:val="20"/>
                <w:szCs w:val="20"/>
                <w:color w:val="auto"/>
              </w:rPr>
            </w:pPr>
            <w:r>
              <w:rPr>
                <w:rFonts w:ascii="Arial" w:cs="Arial" w:eastAsia="Arial" w:hAnsi="Arial"/>
                <w:sz w:val="18"/>
                <w:szCs w:val="18"/>
                <w:color w:val="auto"/>
              </w:rPr>
              <w:t>The following allocation of Forward Purchase Shares has been made:</w:t>
            </w:r>
          </w:p>
        </w:tc>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Forward</w:t>
            </w:r>
          </w:p>
        </w:tc>
      </w:tr>
      <w:tr>
        <w:trPr>
          <w:trHeight w:val="216"/>
        </w:trPr>
        <w:tc>
          <w:tcPr>
            <w:tcW w:w="1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w:t>
            </w:r>
          </w:p>
        </w:tc>
      </w:tr>
      <w:tr>
        <w:trPr>
          <w:trHeight w:val="216"/>
        </w:trPr>
        <w:tc>
          <w:tcPr>
            <w:tcW w:w="1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to be</w:t>
            </w:r>
          </w:p>
        </w:tc>
      </w:tr>
      <w:tr>
        <w:trPr>
          <w:trHeight w:val="241"/>
        </w:trPr>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Purchaser(s)</w:t>
            </w:r>
          </w:p>
        </w:tc>
        <w:tc>
          <w:tcPr>
            <w:tcW w:w="4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16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432"/>
        </w:trPr>
        <w:tc>
          <w:tcPr>
            <w:tcW w:w="9600" w:type="dxa"/>
            <w:vAlign w:val="bottom"/>
            <w:gridSpan w:val="4"/>
          </w:tcPr>
          <w:p>
            <w:pPr>
              <w:spacing w:after="0"/>
              <w:rPr>
                <w:sz w:val="20"/>
                <w:szCs w:val="20"/>
                <w:color w:val="auto"/>
              </w:rPr>
            </w:pPr>
            <w:r>
              <w:rPr>
                <w:rFonts w:ascii="Arial" w:cs="Arial" w:eastAsia="Arial" w:hAnsi="Arial"/>
                <w:sz w:val="18"/>
                <w:szCs w:val="18"/>
                <w:b w:val="1"/>
                <w:bCs w:val="1"/>
                <w:color w:val="auto"/>
              </w:rPr>
              <w:t>TO BE EXECUTED UPON ALLOCATION OF FORWARD PURCHASE SECURITIES: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Schedule A as of</w:t>
            </w:r>
          </w:p>
        </w:tc>
        <w:tc>
          <w:tcPr>
            <w:tcW w:w="4620" w:type="dxa"/>
            <w:vAlign w:val="bottom"/>
          </w:tcPr>
          <w:p>
            <w:pPr>
              <w:ind w:left="380"/>
              <w:spacing w:after="0"/>
              <w:rPr>
                <w:sz w:val="20"/>
                <w:szCs w:val="20"/>
                <w:color w:val="auto"/>
              </w:rPr>
            </w:pPr>
            <w:r>
              <w:rPr>
                <w:rFonts w:ascii="Arial" w:cs="Arial" w:eastAsia="Arial" w:hAnsi="Arial"/>
                <w:sz w:val="18"/>
                <w:szCs w:val="18"/>
                <w:color w:val="auto"/>
                <w:w w:val="89"/>
              </w:rPr>
              <w:t>, 20[  ], accepted and agreed to as of thisday of</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 20[  ] by:</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8"/>
        </w:trPr>
        <w:tc>
          <w:tcPr>
            <w:tcW w:w="1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360" w:type="dxa"/>
            <w:vAlign w:val="bottom"/>
            <w:gridSpan w:val="2"/>
          </w:tcPr>
          <w:p>
            <w:pPr>
              <w:ind w:left="520"/>
              <w:spacing w:after="0"/>
              <w:rPr>
                <w:sz w:val="20"/>
                <w:szCs w:val="20"/>
                <w:color w:val="auto"/>
              </w:rPr>
            </w:pPr>
            <w:r>
              <w:rPr>
                <w:rFonts w:ascii="Arial" w:cs="Arial" w:eastAsia="Arial" w:hAnsi="Arial"/>
                <w:sz w:val="18"/>
                <w:szCs w:val="18"/>
                <w:b w:val="1"/>
                <w:bCs w:val="1"/>
                <w:color w:val="auto"/>
              </w:rPr>
              <w:t>PURCHASER:</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0"/>
        </w:trPr>
        <w:tc>
          <w:tcPr>
            <w:tcW w:w="16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580" w:type="dxa"/>
            <w:vAlign w:val="bottom"/>
          </w:tcPr>
          <w:p>
            <w:pPr>
              <w:ind w:left="520"/>
              <w:spacing w:after="0" w:line="190" w:lineRule="exact"/>
              <w:rPr>
                <w:sz w:val="20"/>
                <w:szCs w:val="20"/>
                <w:color w:val="auto"/>
              </w:rPr>
            </w:pPr>
            <w:r>
              <w:rPr>
                <w:rFonts w:ascii="Arial" w:cs="Arial" w:eastAsia="Arial" w:hAnsi="Arial"/>
                <w:sz w:val="18"/>
                <w:szCs w:val="18"/>
                <w:color w:val="auto"/>
                <w:w w:val="78"/>
              </w:rPr>
              <w:t>[</w:t>
            </w:r>
          </w:p>
        </w:tc>
        <w:tc>
          <w:tcPr>
            <w:tcW w:w="2780" w:type="dxa"/>
            <w:vAlign w:val="bottom"/>
            <w:tcBorders>
              <w:bottom w:val="single" w:sz="8" w:color="auto"/>
            </w:tcBorders>
          </w:tcPr>
          <w:p>
            <w:pPr>
              <w:spacing w:after="0"/>
              <w:rPr>
                <w:sz w:val="16"/>
                <w:szCs w:val="16"/>
                <w:color w:val="auto"/>
              </w:rPr>
            </w:pPr>
          </w:p>
        </w:tc>
        <w:tc>
          <w:tcPr>
            <w:tcW w:w="520" w:type="dxa"/>
            <w:vAlign w:val="bottom"/>
          </w:tcPr>
          <w:p>
            <w:pPr>
              <w:jc w:val="right"/>
              <w:ind w:right="370"/>
              <w:spacing w:after="0" w:line="190" w:lineRule="exact"/>
              <w:rPr>
                <w:sz w:val="20"/>
                <w:szCs w:val="20"/>
                <w:color w:val="auto"/>
              </w:rPr>
            </w:pPr>
            <w:r>
              <w:rPr>
                <w:rFonts w:ascii="Arial" w:cs="Arial" w:eastAsia="Arial" w:hAnsi="Arial"/>
                <w:sz w:val="18"/>
                <w:szCs w:val="18"/>
                <w:color w:val="auto"/>
                <w:w w:val="78"/>
              </w:rPr>
              <w:t>]</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26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for Notices: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5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TRANSFEREE JOINDER</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TO BE EXECUTED UPON ANY ASSIGNMENT AND/OR REVISION IN ACCORDANCE WITH THIS AGREEMENT TO “NUMBER OF FORWARD PURCHASE SHARES” AND “AGGREGATE PURCHASE PRICE FOR FORWARD PURCHASE SHARES”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Forward Purchase Shares:</w:t>
            </w:r>
          </w:p>
        </w:tc>
        <w:tc>
          <w:tcPr>
            <w:tcW w:w="2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Aggregate Purchase Price for Forward Purchase Shares:</w:t>
            </w:r>
          </w:p>
        </w:tc>
        <w:tc>
          <w:tcPr>
            <w:tcW w:w="27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418"/>
        </w:trPr>
        <w:tc>
          <w:tcPr>
            <w:tcW w:w="7620" w:type="dxa"/>
            <w:vAlign w:val="bottom"/>
            <w:gridSpan w:val="2"/>
          </w:tcPr>
          <w:p>
            <w:pPr>
              <w:spacing w:after="0"/>
              <w:rPr>
                <w:sz w:val="20"/>
                <w:szCs w:val="20"/>
                <w:color w:val="auto"/>
              </w:rPr>
            </w:pPr>
            <w:r>
              <w:rPr>
                <w:rFonts w:ascii="Arial" w:cs="Arial" w:eastAsia="Arial" w:hAnsi="Arial"/>
                <w:sz w:val="18"/>
                <w:szCs w:val="18"/>
                <w:color w:val="auto"/>
                <w:w w:val="91"/>
              </w:rPr>
              <w:t>Number of Forward Purchase Shares and Aggregate Purchase Price for Forward Purchase Shares as of</w:t>
            </w:r>
          </w:p>
        </w:tc>
        <w:tc>
          <w:tcPr>
            <w:tcW w:w="3620" w:type="dxa"/>
            <w:vAlign w:val="bottom"/>
            <w:gridSpan w:val="3"/>
          </w:tcPr>
          <w:p>
            <w:pPr>
              <w:ind w:left="500"/>
              <w:spacing w:after="0"/>
              <w:rPr>
                <w:sz w:val="20"/>
                <w:szCs w:val="20"/>
                <w:color w:val="auto"/>
              </w:rPr>
            </w:pPr>
            <w:r>
              <w:rPr>
                <w:rFonts w:ascii="Arial" w:cs="Arial" w:eastAsia="Arial" w:hAnsi="Arial"/>
                <w:sz w:val="18"/>
                <w:szCs w:val="18"/>
                <w:color w:val="auto"/>
                <w:w w:val="92"/>
              </w:rPr>
              <w:t>, 202[  ], accepted and agreed to as of this</w:t>
            </w:r>
          </w:p>
        </w:tc>
      </w:tr>
      <w:tr>
        <w:trPr>
          <w:trHeight w:val="230"/>
        </w:trPr>
        <w:tc>
          <w:tcPr>
            <w:tcW w:w="1140" w:type="dxa"/>
            <w:vAlign w:val="bottom"/>
          </w:tcPr>
          <w:p>
            <w:pPr>
              <w:ind w:left="320"/>
              <w:spacing w:after="0"/>
              <w:rPr>
                <w:sz w:val="20"/>
                <w:szCs w:val="20"/>
                <w:color w:val="auto"/>
              </w:rPr>
            </w:pPr>
            <w:r>
              <w:rPr>
                <w:rFonts w:ascii="Arial" w:cs="Arial" w:eastAsia="Arial" w:hAnsi="Arial"/>
                <w:sz w:val="18"/>
                <w:szCs w:val="18"/>
                <w:color w:val="auto"/>
              </w:rPr>
              <w:t>day of</w:t>
            </w:r>
          </w:p>
        </w:tc>
        <w:tc>
          <w:tcPr>
            <w:tcW w:w="6480" w:type="dxa"/>
            <w:vAlign w:val="bottom"/>
          </w:tcPr>
          <w:p>
            <w:pPr>
              <w:jc w:val="right"/>
              <w:ind w:right="5370"/>
              <w:spacing w:after="0"/>
              <w:rPr>
                <w:sz w:val="20"/>
                <w:szCs w:val="20"/>
                <w:color w:val="auto"/>
              </w:rPr>
            </w:pPr>
            <w:r>
              <w:rPr>
                <w:rFonts w:ascii="Arial" w:cs="Arial" w:eastAsia="Arial" w:hAnsi="Arial"/>
                <w:sz w:val="18"/>
                <w:szCs w:val="18"/>
                <w:color w:val="auto"/>
              </w:rPr>
              <w:t>, 202[  ].</w:t>
            </w:r>
          </w:p>
        </w:tc>
        <w:tc>
          <w:tcPr>
            <w:tcW w:w="2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64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2740" w:type="dxa"/>
            <w:vAlign w:val="bottom"/>
          </w:tcPr>
          <w:p>
            <w:pPr>
              <w:jc w:val="right"/>
              <w:ind w:right="24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4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for Notices:</w:t>
      </w:r>
    </w:p>
    <w:p>
      <w:pPr>
        <w:spacing w:after="0" w:line="200" w:lineRule="exact"/>
        <w:rPr>
          <w:sz w:val="20"/>
          <w:szCs w:val="20"/>
          <w:color w:val="auto"/>
        </w:rPr>
      </w:pP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SCHEDULE OF TRANSFERS OF FORWARD PURCHASE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transfers of a portion of the original number of Forward Purchase Shares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3"/>
              </w:rPr>
              <w:t>Number of</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Purchaser Revised</w:t>
            </w:r>
          </w:p>
        </w:tc>
      </w:tr>
      <w:tr>
        <w:trPr>
          <w:trHeight w:val="216"/>
        </w:trPr>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Forward Purchase Shares</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Forward Purchase Shares</w:t>
            </w:r>
          </w:p>
        </w:tc>
      </w:tr>
      <w:tr>
        <w:trPr>
          <w:trHeight w:val="241"/>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Date of Transfer</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2"/>
          </w:tcPr>
          <w:p>
            <w:pPr>
              <w:ind w:left="920"/>
              <w:spacing w:after="0"/>
              <w:rPr>
                <w:sz w:val="20"/>
                <w:szCs w:val="20"/>
                <w:color w:val="auto"/>
              </w:rPr>
            </w:pPr>
            <w:r>
              <w:rPr>
                <w:rFonts w:ascii="Arial" w:cs="Arial" w:eastAsia="Arial" w:hAnsi="Arial"/>
                <w:sz w:val="18"/>
                <w:szCs w:val="18"/>
                <w:b w:val="1"/>
                <w:bCs w:val="1"/>
                <w:color w:val="auto"/>
              </w:rPr>
              <w:t>Transferee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6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1"/>
              </w:rPr>
              <w:t>Transferred</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5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10660" w:type="dxa"/>
            <w:vAlign w:val="bottom"/>
            <w:gridSpan w:val="11"/>
          </w:tcPr>
          <w:p>
            <w:pPr>
              <w:ind w:left="300"/>
              <w:spacing w:after="0"/>
              <w:rPr>
                <w:sz w:val="20"/>
                <w:szCs w:val="20"/>
                <w:color w:val="auto"/>
              </w:rPr>
            </w:pPr>
            <w:r>
              <w:rPr>
                <w:rFonts w:ascii="Arial" w:cs="Arial" w:eastAsia="Arial" w:hAnsi="Arial"/>
                <w:sz w:val="18"/>
                <w:szCs w:val="18"/>
                <w:b w:val="1"/>
                <w:bCs w:val="1"/>
                <w:color w:val="auto"/>
              </w:rPr>
              <w:t>TO BE EXECUTED UPON ANY ASSIGNMENT OR FINAL DETERMINATION OF FORWARD PURCHASE SHARES:</w:t>
            </w:r>
          </w:p>
        </w:tc>
      </w:tr>
      <w:tr>
        <w:trPr>
          <w:trHeight w:val="432"/>
        </w:trPr>
        <w:tc>
          <w:tcPr>
            <w:tcW w:w="1820" w:type="dxa"/>
            <w:vAlign w:val="bottom"/>
            <w:gridSpan w:val="2"/>
          </w:tcPr>
          <w:p>
            <w:pPr>
              <w:spacing w:after="0"/>
              <w:rPr>
                <w:sz w:val="20"/>
                <w:szCs w:val="20"/>
                <w:color w:val="auto"/>
              </w:rPr>
            </w:pPr>
            <w:r>
              <w:rPr>
                <w:rFonts w:ascii="Arial" w:cs="Arial" w:eastAsia="Arial" w:hAnsi="Arial"/>
                <w:sz w:val="18"/>
                <w:szCs w:val="18"/>
                <w:color w:val="auto"/>
              </w:rPr>
              <w:t>Schedule A as of</w:t>
            </w:r>
          </w:p>
        </w:tc>
        <w:tc>
          <w:tcPr>
            <w:tcW w:w="3840" w:type="dxa"/>
            <w:vAlign w:val="bottom"/>
            <w:gridSpan w:val="4"/>
          </w:tcPr>
          <w:p>
            <w:pPr>
              <w:ind w:left="540"/>
              <w:spacing w:after="0"/>
              <w:rPr>
                <w:sz w:val="20"/>
                <w:szCs w:val="20"/>
                <w:color w:val="auto"/>
              </w:rPr>
            </w:pPr>
            <w:r>
              <w:rPr>
                <w:rFonts w:ascii="Arial" w:cs="Arial" w:eastAsia="Arial" w:hAnsi="Arial"/>
                <w:sz w:val="18"/>
                <w:szCs w:val="18"/>
                <w:color w:val="auto"/>
                <w:w w:val="97"/>
              </w:rPr>
              <w:t>, 202[  ], accepted and agreed to as of this</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day of</w:t>
            </w:r>
          </w:p>
        </w:tc>
        <w:tc>
          <w:tcPr>
            <w:tcW w:w="2160" w:type="dxa"/>
            <w:vAlign w:val="bottom"/>
            <w:gridSpan w:val="3"/>
          </w:tcPr>
          <w:p>
            <w:pPr>
              <w:ind w:left="440"/>
              <w:spacing w:after="0"/>
              <w:rPr>
                <w:sz w:val="20"/>
                <w:szCs w:val="20"/>
                <w:color w:val="auto"/>
              </w:rPr>
            </w:pPr>
            <w:r>
              <w:rPr>
                <w:rFonts w:ascii="Arial" w:cs="Arial" w:eastAsia="Arial" w:hAnsi="Arial"/>
                <w:sz w:val="18"/>
                <w:szCs w:val="18"/>
                <w:color w:val="auto"/>
              </w:rPr>
              <w:t>, 202[  ] by:</w:t>
            </w:r>
          </w:p>
        </w:tc>
        <w:tc>
          <w:tcPr>
            <w:tcW w:w="268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40" w:type="dxa"/>
            <w:vAlign w:val="bottom"/>
            <w:gridSpan w:val="4"/>
          </w:tcPr>
          <w:p>
            <w:pPr>
              <w:ind w:left="360"/>
              <w:spacing w:after="0"/>
              <w:rPr>
                <w:sz w:val="20"/>
                <w:szCs w:val="20"/>
                <w:color w:val="auto"/>
              </w:rPr>
            </w:pPr>
            <w:r>
              <w:rPr>
                <w:rFonts w:ascii="Arial" w:cs="Arial" w:eastAsia="Arial" w:hAnsi="Arial"/>
                <w:sz w:val="18"/>
                <w:szCs w:val="18"/>
                <w:b w:val="1"/>
                <w:bCs w:val="1"/>
                <w:color w:val="auto"/>
              </w:rPr>
              <w:t>CM LIFE SCIENCES,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3"/>
          </w:tcPr>
          <w:p>
            <w:pPr>
              <w:ind w:left="360"/>
              <w:spacing w:after="0"/>
              <w:rPr>
                <w:sz w:val="20"/>
                <w:szCs w:val="20"/>
                <w:color w:val="auto"/>
              </w:rPr>
            </w:pPr>
            <w:r>
              <w:rPr>
                <w:rFonts w:ascii="Arial" w:cs="Arial" w:eastAsia="Arial" w:hAnsi="Arial"/>
                <w:sz w:val="18"/>
                <w:szCs w:val="18"/>
                <w:color w:val="auto"/>
              </w:rPr>
              <w:t>By:</w:t>
            </w:r>
          </w:p>
        </w:tc>
        <w:tc>
          <w:tcPr>
            <w:tcW w:w="2680" w:type="dxa"/>
            <w:vAlign w:val="bottom"/>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rPr>
              <w:t>Name:</w:t>
            </w:r>
          </w:p>
        </w:tc>
        <w:tc>
          <w:tcPr>
            <w:tcW w:w="1240" w:type="dxa"/>
            <w:vAlign w:val="bottom"/>
            <w:tcBorders>
              <w:top w:val="single" w:sz="8" w:color="auto"/>
              <w:bottom w:val="single" w:sz="8" w:color="auto"/>
            </w:tcBorders>
            <w:gridSpan w:val="2"/>
          </w:tcPr>
          <w:p>
            <w:pPr>
              <w:spacing w:after="0"/>
              <w:rPr>
                <w:sz w:val="19"/>
                <w:szCs w:val="19"/>
                <w:color w:val="auto"/>
              </w:rPr>
            </w:pPr>
          </w:p>
        </w:tc>
        <w:tc>
          <w:tcPr>
            <w:tcW w:w="2680" w:type="dxa"/>
            <w:vAlign w:val="bottom"/>
            <w:tcBorders>
              <w:top w:val="single" w:sz="8" w:color="auto"/>
              <w:bottom w:val="single" w:sz="8" w:color="auto"/>
            </w:tcBorders>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rPr>
              <w:t>Title:</w:t>
            </w:r>
          </w:p>
        </w:tc>
        <w:tc>
          <w:tcPr>
            <w:tcW w:w="1240" w:type="dxa"/>
            <w:vAlign w:val="bottom"/>
            <w:tcBorders>
              <w:bottom w:val="single" w:sz="8" w:color="auto"/>
            </w:tcBorders>
            <w:gridSpan w:val="2"/>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Effective _____________,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CM Life Sciences, Inc. has adopted this code of ethics (this “</w:t>
      </w:r>
      <w:r>
        <w:rPr>
          <w:rFonts w:ascii="Arial" w:cs="Arial" w:eastAsia="Arial" w:hAnsi="Arial"/>
          <w:sz w:val="18"/>
          <w:szCs w:val="18"/>
          <w:b w:val="1"/>
          <w:bCs w:val="1"/>
          <w:i w:val="1"/>
          <w:iCs w:val="1"/>
          <w:color w:val="auto"/>
        </w:rPr>
        <w:t>Code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as amended from time to time by the Board and which is applicable to all of the Company’s directors, officers and employees (to the extent that employees are hired in the future) (each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as used herein) of the Company (as defined below), to:</w:t>
      </w:r>
    </w:p>
    <w:p>
      <w:pPr>
        <w:spacing w:after="0" w:line="184" w:lineRule="exact"/>
        <w:rPr>
          <w:sz w:val="20"/>
          <w:szCs w:val="20"/>
          <w:color w:val="auto"/>
        </w:rPr>
      </w:pPr>
    </w:p>
    <w:p>
      <w:pPr>
        <w:ind w:left="980" w:right="20" w:hanging="324"/>
        <w:spacing w:after="0" w:line="277" w:lineRule="auto"/>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promote 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promote the full, fair, accurate, timely and understandable disclosure in reports and documents that the Company files with, or submits to,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as well as in other public communications made by or on behalf of the Company;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promote compliance with applicable governmental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deter wrongdoing;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require prompt internal reporting of breaches of, and accountability for adherence to, this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Code may be amended or modified by the Board. In this Code, references 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 CM Life Sciences, Inc. and, in appropriate context, the Company’s subsidiaries,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HONEST, ETHICAL AND FAIR CONDUCT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person owes a duty to the Company to act with integrity. Integrity requires, among other things, being honest, fair and candid. Deceit, dishonesty and subordination of principle are inconsistent with integrity. Service to the Company should never be subordinated to personal gain or advantage.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person must:</w:t>
      </w:r>
    </w:p>
    <w:p>
      <w:pPr>
        <w:spacing w:after="0" w:line="225" w:lineRule="exact"/>
        <w:rPr>
          <w:sz w:val="20"/>
          <w:szCs w:val="20"/>
          <w:color w:val="auto"/>
        </w:rPr>
      </w:pPr>
    </w:p>
    <w:p>
      <w:pPr>
        <w:ind w:left="980" w:hanging="324"/>
        <w:spacing w:after="0" w:line="277" w:lineRule="auto"/>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Act with integrity, including being honest and candid while still maintaining the confidentiality of the Company’s information where required or when in the Company’s interests;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Observe all applicable governmental laws, rules and regulations;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Comply with the requirements of applicable accounting and auditing standards, as well as Company policies, in order to maintain a high standard of accuracy and completeness in the Company’s financial records and other business-related information and data;</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Adhere to a high standard of business ethics and not seek competitive advantage through unlawful or unethical business practices;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Deal fairly with the Company’s customers, suppliers, competitors and employees;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Refrain from taking advantage of anyone through manipulation, concealment, abuse of privileged information, misrepresentation of material facts or any other unfair-dealing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2" w:name="page403"/>
    <w:bookmarkEnd w:id="402"/>
    <w:p>
      <w:pPr>
        <w:ind w:left="980" w:hanging="324"/>
        <w:spacing w:after="0"/>
        <w:tabs>
          <w:tab w:leader="none" w:pos="9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Protect the assets of the Company and ensure their proper use;</w:t>
      </w:r>
    </w:p>
    <w:p>
      <w:pPr>
        <w:spacing w:after="0" w:line="225"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Subject to, and except as permitted by,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not (i) take for themselves corporate or business opportunities that are discovered through the use of corporate property, information or position, (ii) use corporate property, information or position for personal gain and (iii) compete with the Company; and</w:t>
      </w:r>
    </w:p>
    <w:p>
      <w:pPr>
        <w:spacing w:after="0" w:line="148"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Avoid conflicts of interest, wherever possible, except as may be allowed under guidelines or resolutions approved by the Board (or the appropriate committee of the Board), as disclosed in the Company’s public filings with the SEC or as permitted by the charter. Anything that would be a conflict for a person subject to this Code also will be a conflict for a member of his or her immediate family or any other close relative. Examples of conflict of interest situations include, but are not limited to, the following:</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supplier or customer;</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the receipt of any money, non-nominal gifts or excessive entertainment from any entity with which the Company has current or prospective business dealings;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officers or directors are permitted to so purchase or sell;</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other financial transaction, arrangement or relationship (including any indebtedness or guarantee of indebtedness) involving the Company;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other circumstance, event, relationship or situation in which the personal interest of a person subject to this Code interferes — or even appears to interfere — with the interests of the Company as a whole.</w:t>
      </w:r>
    </w:p>
    <w:p>
      <w:pPr>
        <w:spacing w:after="0" w:line="166" w:lineRule="exact"/>
        <w:rPr>
          <w:rFonts w:ascii="Arial" w:cs="Arial" w:eastAsia="Arial" w:hAnsi="Arial"/>
          <w:sz w:val="18"/>
          <w:szCs w:val="18"/>
          <w:color w:val="auto"/>
        </w:rPr>
      </w:pPr>
    </w:p>
    <w:p>
      <w:pPr>
        <w:ind w:left="300" w:hanging="292"/>
        <w:spacing w:after="0"/>
        <w:tabs>
          <w:tab w:leader="none" w:pos="30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strives to ensure that the contents of and the disclosures in the reports and documents that the Company files with the SEC and other public communications shall be full, fair, accurate, timely and understandable in accordance with applicable disclosure standards, including standards of materiality, where appropriate. Each person must:</w:t>
      </w:r>
    </w:p>
    <w:p>
      <w:pPr>
        <w:spacing w:after="0" w:line="184" w:lineRule="exact"/>
        <w:rPr>
          <w:sz w:val="20"/>
          <w:szCs w:val="20"/>
          <w:color w:val="auto"/>
        </w:rPr>
      </w:pPr>
    </w:p>
    <w:p>
      <w:pPr>
        <w:jc w:val="both"/>
        <w:ind w:left="980" w:right="20" w:hanging="324"/>
        <w:spacing w:after="0" w:line="263" w:lineRule="auto"/>
        <w:tabs>
          <w:tab w:leader="none" w:pos="9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not knowingly misrepresent, or cause others to misrepresent, facts about the Company to others, whether within or outside the Company, including to the Company’s independent registered public accountants, governmental regulators, self-regulating organizations and other governmental officials, as appropriate; and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3" w:name="page404"/>
    <w:bookmarkEnd w:id="403"/>
    <w:p>
      <w:pPr>
        <w:ind w:left="980" w:hanging="324"/>
        <w:spacing w:after="0"/>
        <w:tabs>
          <w:tab w:leader="none" w:pos="9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 relation to his or her area of responsibility, properly review and critically analyze proposed disclosure for accuracy and completeness.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foregoing, the Chief Executive Officer and Chief Financial Officer of the Company and each subsidiary of the Company (or persons performing similar functions), and each other person that typically is involved in the financial reporting of the Company, must familiarize himself or herself with the disclosure requirements applicable to the Company as well as the business and financial operations of the Company.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person must promptly bring to the attention of the Chairperson, Co-Chairperson or Co-Executive Chairperson of the Board (the “</w:t>
      </w:r>
      <w:r>
        <w:rPr>
          <w:rFonts w:ascii="Arial" w:cs="Arial" w:eastAsia="Arial" w:hAnsi="Arial"/>
          <w:sz w:val="17"/>
          <w:szCs w:val="17"/>
          <w:b w:val="1"/>
          <w:bCs w:val="1"/>
          <w:i w:val="1"/>
          <w:iCs w:val="1"/>
          <w:color w:val="auto"/>
        </w:rPr>
        <w:t>Chairperson</w:t>
      </w:r>
      <w:r>
        <w:rPr>
          <w:rFonts w:ascii="Arial" w:cs="Arial" w:eastAsia="Arial" w:hAnsi="Arial"/>
          <w:sz w:val="17"/>
          <w:szCs w:val="17"/>
          <w:color w:val="auto"/>
        </w:rPr>
        <w:t>”) any information he or she may have concerning (a) significant deficiencies in the design or operation of internal and/or disclosure controls that could adversely affect the Company’s ability to record, process, summarize and report financial data or (b) any fraud that involves management or other employees who have a significant role in the Company’s financial reporting, disclosures or internal controls.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COMPLIANCE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the Company’s obligation and policy to comply with all applicable governmental laws, rules and regulations. It is the personal responsibility of each person to, and each person must, adhere to the standards and restrictions imposed by those laws, rules and regulations, including those relating to accounting and auditing matters.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REPORTING AND ACCOUNTABILITY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is responsible for applying this Code to specific situations in which questions are presented to it and has the authority to interpret this Code in any particular situation. Any person who becomes aware of any existing or potential breach of this Code is required to notify the Chairperson promptly. Failure to do so is, in and of itself, a breach of this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each person must:</w:t>
      </w:r>
    </w:p>
    <w:p>
      <w:pPr>
        <w:spacing w:after="0" w:line="225" w:lineRule="exact"/>
        <w:rPr>
          <w:sz w:val="20"/>
          <w:szCs w:val="20"/>
          <w:color w:val="auto"/>
        </w:rPr>
      </w:pPr>
    </w:p>
    <w:p>
      <w:pPr>
        <w:ind w:left="980" w:hanging="324"/>
        <w:spacing w:after="0"/>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Notify the Chairperson promptly of any existing or potential violation of this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Not retaliate against any other person for reports of potential violations that are made in good faith.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follow the following procedures in investigating and enforcing this Code and in reporting on this Code:</w:t>
      </w:r>
    </w:p>
    <w:p>
      <w:pPr>
        <w:spacing w:after="0" w:line="225" w:lineRule="exact"/>
        <w:rPr>
          <w:sz w:val="20"/>
          <w:szCs w:val="20"/>
          <w:color w:val="auto"/>
        </w:rPr>
      </w:pPr>
    </w:p>
    <w:p>
      <w:pPr>
        <w:ind w:left="980" w:hanging="324"/>
        <w:spacing w:after="0"/>
        <w:tabs>
          <w:tab w:leader="none" w:pos="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Board will take all appropriate action to investigate any breaches reported to it; and</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Upon determination by the Board that a breach has occurred, the Board (by majority decision) will take or authorize such disciplinary or preventive action as it deems appropriate, after consultation with the Company’s internal or external legal counsel, up to and including dismissal or, in the event of criminal or other serious violations of law, notification of the SEC or other appropriate law enforcement authorities.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4" w:name="page405"/>
    <w:bookmarkEnd w:id="404"/>
    <w:p>
      <w:pPr>
        <w:jc w:val="both"/>
        <w:ind w:firstLine="648"/>
        <w:spacing w:after="0" w:line="342" w:lineRule="auto"/>
        <w:rPr>
          <w:sz w:val="20"/>
          <w:szCs w:val="20"/>
          <w:color w:val="auto"/>
        </w:rPr>
      </w:pPr>
      <w:r>
        <w:rPr>
          <w:rFonts w:ascii="Arial" w:cs="Arial" w:eastAsia="Arial" w:hAnsi="Arial"/>
          <w:sz w:val="16"/>
          <w:szCs w:val="16"/>
          <w:color w:val="auto"/>
        </w:rPr>
        <w:t>No person following the above procedure shall, as a result of following such procedure, be subject by the Company or any officer or employee thereof to discharge, demotion suspension, threat, harassment or, in any manner, discrimination against such person in terms and conditions of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WAIVERS AND AMENDMENTS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waiver (defined below) or implicit waiver (defined below) from a provision of this Code for the principal executive officer, principal financial officer, principal accounting officer or controller, or persons performing similar functions, or any amendment (as defined below) to this Code is required to be disclosed in a Current Report on Form 8-K filed with the SEC. In lieu of filing a Current Report on Form 8-K to report any such waivers or amendments, the Company may provide such information on its website and keep such information on the website for at least 12 months and disclose the website address as well as any intention to provide such disclosures in this manner in its most recently filed Annual Report on Form 10-K.</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xml:space="preserve">” means the approval by the Board of a material departure from a provision of this Code. An </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implicit waiver</w:t>
      </w:r>
      <w:r>
        <w:rPr>
          <w:rFonts w:ascii="Arial" w:cs="Arial" w:eastAsia="Arial" w:hAnsi="Arial"/>
          <w:sz w:val="18"/>
          <w:szCs w:val="18"/>
          <w:color w:val="auto"/>
        </w:rPr>
        <w:t>” means the Company’s failure to take action within a reasonable period of time regarding a material departure from a provision of this Code that has been made known to an executive officer of the Company. An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means any amendment to this Code other than minor technical, administrative or other non-substantive amendments 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persons should note that it is not the Company’s intention to grant or to permit waivers from the requirements of this Code. The Company expects full compliance with this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INSIDER TRADING AND DISSEMINATION OF INSIDE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person shall comply with the Company’s Policy Regarding Insider Trading and Dissemination of Inside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FINANCIAL STATEMENTS AND OTHER RECORDS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books, records, accounts and financial statements must be maintained in reasonable detail, must appropriately reflect the Company’s transactions and must both conform to applicable legal requirements and to the Company’s system of internal controls. Unrecorded or “off the books” funds or assets should not be maintained unless permitted by applicable law or regulation. Records should always be retained or destroyed according to the Company’s record retention policies. In accordance with those policies, in the event of litigation or governmental investigation, please consult the Board or the Company’s internal or external legal counsel.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IMPROPER INFLUENCE ON CONDUCT OF AUDITS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director, officer or employee, or any other person acting under the direction thereof, shall directly or indirectly take any action to coerce, manipulate, mislead or fraudulently influence any public or certified public accountant engaged in the performance of an audit or review of the financial statements of the Company or take any action that such person knows or should know that if successful could result in rendering the Company’s financial statements materially misleading. Any person who believes such improper influence is being exerted should report such action to such person’s supervisor, or if that is impractical under the circumstances, to any of our directors.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5" w:name="page406"/>
    <w:bookmarkEnd w:id="405"/>
    <w:p>
      <w:pPr>
        <w:ind w:left="660"/>
        <w:spacing w:after="0"/>
        <w:rPr>
          <w:sz w:val="20"/>
          <w:szCs w:val="20"/>
          <w:color w:val="auto"/>
        </w:rPr>
      </w:pPr>
      <w:r>
        <w:rPr>
          <w:rFonts w:ascii="Arial" w:cs="Arial" w:eastAsia="Arial" w:hAnsi="Arial"/>
          <w:sz w:val="18"/>
          <w:szCs w:val="18"/>
          <w:color w:val="auto"/>
        </w:rPr>
        <w:t>Types of conduct that could constitute improper influence include, but are not limited to, directly or indirectly:</w:t>
      </w:r>
    </w:p>
    <w:p>
      <w:pPr>
        <w:spacing w:after="0" w:line="225" w:lineRule="exact"/>
        <w:rPr>
          <w:sz w:val="20"/>
          <w:szCs w:val="20"/>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Offering or paying bribes or other financial incentives, including future employment or contracts for non-audit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Providing an auditor with an inaccurate or misleading legal analysis;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Threatening to cancel or canceling existing non-audit or audit engagements if the auditor objects to the Company’s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Seeking to have a partner removed from the audit engagement because the partner objects to the Company’s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Blackmailing;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Making physical threats.</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X. ANTI-CORRUPTION LAWS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complies with the anti-corruption laws of the countries in which it does business, including the U.S. Foreign Corrupt Practices Act (“</w:t>
      </w:r>
      <w:r>
        <w:rPr>
          <w:rFonts w:ascii="Arial" w:cs="Arial" w:eastAsia="Arial" w:hAnsi="Arial"/>
          <w:sz w:val="17"/>
          <w:szCs w:val="17"/>
          <w:b w:val="1"/>
          <w:bCs w:val="1"/>
          <w:i w:val="1"/>
          <w:iCs w:val="1"/>
          <w:color w:val="auto"/>
        </w:rPr>
        <w:t>FCPA</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prohibited by applicable law, directors, officers and employees will not directly or indirectly give anything of value to government officials, including employees of state-owned enterprises or foreign political candidates. These requirements apply both to Company employees and agents, such as third party sales representatives, no matter where they are doing business. If you are authorized to engage agents, you are responsible for ensuring they are reputable and for obtaining a written agreement to uphold the Company’s standards in this area.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VIOLATIONS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Violation of this Code is grounds for disciplinary action up to and including termination of employment. Such action is in addition to any civil or criminal liability which might be imposed by any court or regulatory agency.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OTHER POLICIES AND PROCEDURES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other policy or procedure set out by the Company in writing or made generally known to employees, officers or directors of the Company prior to the effective date hereof or hereafter are separate requirements and remain in full force and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INQUIRIES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inquiries and questions in relation to this Code or its applicability to particular people or situations should be addressed to the Chair of the Audit Committee of the Board, or such other compliance officer as shall be designated from time to time by the Board.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in this Registration Statement on Form S-1, Amendment No. 1, of our report dated August 21, 2020, relating to the balance sheet of CM Life Sciences, Inc. as of July 16, 2020 and the related statements of operations, changes in stockholder’s equity and cash flows for the period from July 10, 2020 (inception) through July 16, 2020, and to the reference to our Firm under the caption “Experts” in the Prospectus.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2020</w:t>
      </w:r>
    </w:p>
    <w:p>
      <w:pPr>
        <w:sectPr>
          <w:pgSz w:w="11900" w:h="16838" w:orient="portrait"/>
          <w:cols w:equalWidth="0" w:num="1">
            <w:col w:w="11240"/>
          </w:cols>
          <w:pgMar w:left="320" w:top="121" w:right="339" w:bottom="1440" w:gutter="0" w:footer="0" w:header="0"/>
        </w:sectPr>
      </w:pPr>
    </w:p>
    <w:bookmarkStart w:id="407" w:name="page408"/>
    <w:bookmarkEnd w:id="407"/>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Effective __________, 2020</w:t>
      </w:r>
    </w:p>
    <w:p>
      <w:pPr>
        <w:spacing w:after="0" w:line="225"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PURPOSES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Audit Committee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is appointed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CM Life Sciences,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to assist the Board in its oversight of the accounting and financial reporting processes of the Company, the audits of the financial statements of the Company and the Company’s compliance with legal and regulatory requirements. To assist the Board in fulfilling its responsibilities, the Committee shall: (A) oversee: (i) audits of the financial statements of the Company; (ii) the integrity of the Company’s financial statements; (iii) the Company’s processes relating to risk management and the conduct and systems of internal control over financial reporting and disclosure controls and procedures; (iv) the qualifications, engagement, compensation, independence and performance of the Company’s independent auditor, and the auditor’s conduct of the annual audit of the Company’s financial statements and any other services provided to the Company; and (v) the performance of the Company’s internal audit function, if any; and (B) produce the annual report of the Committee required by the rules of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w:t>
      </w:r>
    </w:p>
    <w:p>
      <w:pPr>
        <w:spacing w:after="0" w:line="161"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sz w:val="20"/>
          <w:szCs w:val="20"/>
          <w:color w:val="auto"/>
        </w:rPr>
      </w:pPr>
    </w:p>
    <w:p>
      <w:pPr>
        <w:ind w:left="1300" w:hanging="644"/>
        <w:spacing w:after="0"/>
        <w:tabs>
          <w:tab w:leader="none" w:pos="130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shall consist of at least three members of the Board, subject to applicable phase-in schedules of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 Any vacancy on the Committee shall be filled by majority vote of the Board. No member of the Committee shall be removed except by majority vote of the Board.</w:t>
      </w:r>
    </w:p>
    <w:p>
      <w:pPr>
        <w:spacing w:after="0" w:line="184" w:lineRule="exact"/>
        <w:rPr>
          <w:sz w:val="20"/>
          <w:szCs w:val="20"/>
          <w:color w:val="auto"/>
        </w:rPr>
      </w:pPr>
    </w:p>
    <w:p>
      <w:pPr>
        <w:ind w:left="1300" w:hanging="644"/>
        <w:spacing w:after="0"/>
        <w:tabs>
          <w:tab w:leader="none" w:pos="130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provided that if the Board does not so designate a chairperson, the members of the Committee, by a majority vote, may designate a chairperson. In the absence of the Chair at a duly convened meeting, the Committee shall select a temporary substitute from among its members to serve as chair of the meeting.</w:t>
      </w:r>
    </w:p>
    <w:p>
      <w:pPr>
        <w:spacing w:after="0" w:line="184"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Each member of the Committee shall be an “independent” director in accordance with applicable listing standards of Nasdaq and Rule 10A-3 under the United States Securities Exchange Act of 1934, as amended (the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the Company’s Corporate Governance Guidelines,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No member of the Committee shall have participated in the preparation of the Company’s or any of its subsidiaries’ financial statements at any time during the past three years.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8" w:name="page409"/>
    <w:bookmarkEnd w:id="408"/>
    <w:p>
      <w:pPr>
        <w:ind w:left="1300" w:hanging="644"/>
        <w:spacing w:after="0"/>
        <w:tabs>
          <w:tab w:leader="none" w:pos="130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Literacy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member of the Committee shall in the judgment of the Board have the ability to read and understand fundamental financial statements and otherwise meet the financial literacy requirements of Nasdaq. At least one member shall be an “audit committee financial expert” as such term is defined under applicable SEC rules.</w:t>
      </w:r>
    </w:p>
    <w:p>
      <w:pPr>
        <w:spacing w:after="0" w:line="180" w:lineRule="exact"/>
        <w:rPr>
          <w:sz w:val="20"/>
          <w:szCs w:val="20"/>
          <w:color w:val="auto"/>
        </w:rPr>
      </w:pPr>
    </w:p>
    <w:p>
      <w:pPr>
        <w:ind w:left="660" w:hanging="652"/>
        <w:spacing w:after="0"/>
        <w:tabs>
          <w:tab w:leader="none" w:pos="6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discharging its role, the Committee is empowered to inquire into any matter that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it determines to be necessary or appropriate to the accomplishment of its purposes.</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Committee shall have authority to retain, direct and oversee the activities of, and to terminate the engagement of, the Company’s independent auditor and any other accounting firm retained by the Committee to prepare or issue any other audit report or to perform any other audit, review or attest services and any legal counsel, accounting or other advisor or consultant hired to assist the Committee, all of whom shall be accountable to the Committee.</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provide the Committee with appropriate funding, as determined by the Committee, for the payment of (a) compensation to any registered public accounting firm engaged for the purpose of preparing or issuing an audit report or performing other audit, review or attest services for the Company; (b) compensation to any independent counsel or other advisers retained by the Committee in carrying out its duties; and (c) ordinary administrative expenses of the Committee that are necessary or appropriate in carrying out its duties.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 meet on a regularly scheduled basis at least four times per year and additionally as circumstances dictate.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Committee shall meet in executive session separately with each of the independent auditor, the internal auditor, if any, and with senior management, at least quarterly. At the end of each of the Committee’s regularly scheduled meetings, and more frequently as deemed necessary, the Committee shall meet in private session with only the Committee members.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9" w:name="page410"/>
    <w:bookmarkEnd w:id="409"/>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SEC and Nasdaq.</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Committee relies on the expertise and knowledge of management, the internal auditors, if any, and the independent auditor in carrying out its oversight responsibilities. Management is responsible for the preparation, presentation, and integrity of the Company’s financial statements, for the appropriateness of the accounting principles and reporting policies that are used by the Company, and for establishing and maintaining effective internal control over financial reporting. The independent auditor is responsible for auditing the Company’s financial statements and, if applicable, the Company’s internal control over financial reporting, and for reviewing the Company’s unaudited interim financial statements.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responsibilities set forth in this charter do not reflect or create any duty or obligation of the Committee to plan or conduct any audit; to determine or certify that the Company’s financial statements are complete, accurate, fairly presented or in accordance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or applicable law; to guarantee or otherwise certify as to the independent auditor’s reports; to conduct investigations; or to assure compliance with laws and regulations or the Company’s code of ethics, internal policies, procedures and controls. The following responsibilities are set forth as a guide for fulfilling the Committee’s purposes in such manner as the Committee determines is appropriate.</w:t>
      </w:r>
    </w:p>
    <w:p>
      <w:pPr>
        <w:spacing w:after="0" w:line="172" w:lineRule="exact"/>
        <w:rPr>
          <w:sz w:val="20"/>
          <w:szCs w:val="20"/>
          <w:color w:val="auto"/>
        </w:rPr>
      </w:pPr>
    </w:p>
    <w:p>
      <w:pPr>
        <w:ind w:left="1300" w:hanging="644"/>
        <w:spacing w:after="0"/>
        <w:tabs>
          <w:tab w:leader="none" w:pos="130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Oversight of the Independent Auditor</w:t>
      </w:r>
    </w:p>
    <w:p>
      <w:pPr>
        <w:spacing w:after="0" w:line="229" w:lineRule="exact"/>
        <w:rPr>
          <w:rFonts w:ascii="Arial" w:cs="Arial" w:eastAsia="Arial" w:hAnsi="Arial"/>
          <w:sz w:val="18"/>
          <w:szCs w:val="18"/>
          <w:b w:val="1"/>
          <w:bCs w:val="1"/>
          <w:color w:val="auto"/>
        </w:rPr>
      </w:pPr>
    </w:p>
    <w:p>
      <w:pPr>
        <w:jc w:val="both"/>
        <w:ind w:left="660" w:firstLine="644"/>
        <w:spacing w:after="0" w:line="263" w:lineRule="auto"/>
        <w:tabs>
          <w:tab w:leader="none" w:pos="1536" w:val="left"/>
        </w:tabs>
        <w:numPr>
          <w:ilvl w:val="1"/>
          <w:numId w:val="329"/>
        </w:numPr>
        <w:rPr>
          <w:rFonts w:ascii="Arial" w:cs="Arial" w:eastAsia="Arial" w:hAnsi="Arial"/>
          <w:sz w:val="18"/>
          <w:szCs w:val="18"/>
          <w:color w:val="auto"/>
        </w:rPr>
      </w:pPr>
      <w:r>
        <w:rPr>
          <w:rFonts w:ascii="Arial" w:cs="Arial" w:eastAsia="Arial" w:hAnsi="Arial"/>
          <w:sz w:val="18"/>
          <w:szCs w:val="18"/>
          <w:b w:val="1"/>
          <w:bCs w:val="1"/>
          <w:i w:val="1"/>
          <w:iCs w:val="1"/>
          <w:color w:val="auto"/>
        </w:rPr>
        <w:t>Independent Auditor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is solely and directly responsible for the appointment, evaluation,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and, if appropriate, replacement of the independent auditor. The Committee may, in its discretion, seek stockholder ratification of the public accounting firm selected to be the Company’s independent auditor.</w:t>
      </w:r>
    </w:p>
    <w:p>
      <w:pPr>
        <w:spacing w:after="0" w:line="183" w:lineRule="exact"/>
        <w:rPr>
          <w:rFonts w:ascii="Arial" w:cs="Arial" w:eastAsia="Arial" w:hAnsi="Arial"/>
          <w:sz w:val="18"/>
          <w:szCs w:val="18"/>
          <w:color w:val="auto"/>
        </w:rPr>
      </w:pPr>
    </w:p>
    <w:p>
      <w:pPr>
        <w:jc w:val="both"/>
        <w:ind w:left="660" w:firstLine="644"/>
        <w:spacing w:after="0" w:line="293" w:lineRule="auto"/>
        <w:tabs>
          <w:tab w:leader="none" w:pos="1613" w:val="left"/>
        </w:tabs>
        <w:numPr>
          <w:ilvl w:val="1"/>
          <w:numId w:val="329"/>
        </w:numPr>
        <w:rPr>
          <w:rFonts w:ascii="Arial" w:cs="Arial" w:eastAsia="Arial" w:hAnsi="Arial"/>
          <w:sz w:val="16"/>
          <w:szCs w:val="16"/>
          <w:color w:val="auto"/>
        </w:rPr>
      </w:pPr>
      <w:r>
        <w:rPr>
          <w:rFonts w:ascii="Arial" w:cs="Arial" w:eastAsia="Arial" w:hAnsi="Arial"/>
          <w:sz w:val="16"/>
          <w:szCs w:val="16"/>
          <w:b w:val="1"/>
          <w:bCs w:val="1"/>
          <w:i w:val="1"/>
          <w:iCs w:val="1"/>
          <w:color w:val="auto"/>
        </w:rPr>
        <w:t>Independence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assess at least annually the independent auditor’s independence. In connection with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assessment, the Committee shall ensure the receipt of and review formal written statements from the independent auditor delineating all relationships between the auditor and the Company, consistent with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regarding the independent auditor’s communications with the Committee concerning independence. The Committee shall engage in an active dialogue with the independent auditor concerning any disclosed relationships or services that may impact the objectivity and independence of the auditor and take, or recommend that the Board take, appropriate action to oversee and ensure the independence of the auditor.</w:t>
      </w:r>
    </w:p>
    <w:p>
      <w:pPr>
        <w:spacing w:after="0" w:line="164" w:lineRule="exact"/>
        <w:rPr>
          <w:rFonts w:ascii="Arial" w:cs="Arial" w:eastAsia="Arial" w:hAnsi="Arial"/>
          <w:sz w:val="16"/>
          <w:szCs w:val="16"/>
          <w:color w:val="auto"/>
        </w:rPr>
      </w:pPr>
    </w:p>
    <w:p>
      <w:pPr>
        <w:jc w:val="both"/>
        <w:ind w:left="660" w:firstLine="644"/>
        <w:spacing w:after="0" w:line="296" w:lineRule="auto"/>
        <w:tabs>
          <w:tab w:leader="none" w:pos="1636" w:val="left"/>
        </w:tabs>
        <w:numPr>
          <w:ilvl w:val="1"/>
          <w:numId w:val="329"/>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Performance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evaluate at least annually the qualifications and performance of the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auditor, including the lead partner. The evaluation will include obtaining a written report from the independent auditor describing the firm’s internal quality control procedures; any material issues raised by the most recent internal quality control review, PCAOB inspection, or other PCAOB review of the firm, by a peer review of the firm or by any inquiry or investigation by governmental or professional authorities within the past five years, concerning an independent audit or audits carried out by the firm, and any steps taken to address any such issues.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0" w:name="page411"/>
    <w:bookmarkEnd w:id="410"/>
    <w:p>
      <w:pPr>
        <w:jc w:val="both"/>
        <w:ind w:left="660" w:firstLine="644"/>
        <w:spacing w:after="0" w:line="291" w:lineRule="auto"/>
        <w:tabs>
          <w:tab w:leader="none" w:pos="1626" w:val="left"/>
        </w:tabs>
        <w:numPr>
          <w:ilvl w:val="0"/>
          <w:numId w:val="330"/>
        </w:numPr>
        <w:rPr>
          <w:rFonts w:ascii="Arial" w:cs="Arial" w:eastAsia="Arial" w:hAnsi="Arial"/>
          <w:sz w:val="16"/>
          <w:szCs w:val="16"/>
          <w:color w:val="auto"/>
        </w:rPr>
      </w:pPr>
      <w:r>
        <w:rPr>
          <w:rFonts w:ascii="Arial" w:cs="Arial" w:eastAsia="Arial" w:hAnsi="Arial"/>
          <w:sz w:val="16"/>
          <w:szCs w:val="16"/>
          <w:b w:val="1"/>
          <w:bCs w:val="1"/>
          <w:i w:val="1"/>
          <w:iCs w:val="1"/>
          <w:color w:val="auto"/>
        </w:rPr>
        <w:t>General Oversight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independent auditor reports directly to the Committee. The Committee is responsible for oversight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of the independent auditor, including resolution of disagreements between management and the independent auditor regarding financial reporting. In connection with its oversight responsibility, the Committee shall consider the independent auditor’s communications regarding, among other things, critical accounting policies and practices, all alternative accounting treatments within GAAP related to items material to the financial statements that have been discussed with management, including the ramifications of the alternative treatments and the treatment preferred by the independent auditor, and all material written communications between the independent auditor and management, and shall review the effect or potential effect of any regulatory regime, accounting initiatives or off-balance sheet structures on the Company’s financial statements.</w:t>
      </w:r>
    </w:p>
    <w:p>
      <w:pPr>
        <w:spacing w:after="0" w:line="166" w:lineRule="exact"/>
        <w:rPr>
          <w:rFonts w:ascii="Arial" w:cs="Arial" w:eastAsia="Arial" w:hAnsi="Arial"/>
          <w:sz w:val="16"/>
          <w:szCs w:val="16"/>
          <w:color w:val="auto"/>
        </w:rPr>
      </w:pPr>
    </w:p>
    <w:p>
      <w:pPr>
        <w:jc w:val="both"/>
        <w:ind w:left="660" w:firstLine="644"/>
        <w:spacing w:after="0" w:line="293" w:lineRule="auto"/>
        <w:tabs>
          <w:tab w:leader="none" w:pos="1563" w:val="left"/>
        </w:tabs>
        <w:numPr>
          <w:ilvl w:val="0"/>
          <w:numId w:val="330"/>
        </w:numPr>
        <w:rPr>
          <w:rFonts w:ascii="Arial" w:cs="Arial" w:eastAsia="Arial" w:hAnsi="Arial"/>
          <w:sz w:val="16"/>
          <w:szCs w:val="16"/>
          <w:color w:val="auto"/>
        </w:rPr>
      </w:pPr>
      <w:r>
        <w:rPr>
          <w:rFonts w:ascii="Arial" w:cs="Arial" w:eastAsia="Arial" w:hAnsi="Arial"/>
          <w:sz w:val="16"/>
          <w:szCs w:val="16"/>
          <w:b w:val="1"/>
          <w:bCs w:val="1"/>
          <w:i w:val="1"/>
          <w:iCs w:val="1"/>
          <w:color w:val="auto"/>
        </w:rPr>
        <w:t>Audit Oversight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establish with the independent auditor an understanding of the terms of the audit engagement,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role of the auditor with respect to the Company’s financial statements and coordination of audit efforts to ensure completeness of coverage, reduction of redundant efforts, the effective use of audit resources, and the use of accounting firms other than the appointed auditors of the Company. The Committee shall review the scope of the annual audit or interim review (including the level of involvement with unaudited quarterly or other interim-period information), and discuss the results, including, without limitation, the independent auditor’s report and all matters required to be communicated to the Committee by the independent auditor in accordance with applicable auditing standards.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Committee shall discuss with the independent auditor, before the issuance of the audit report, the overall audit strategy, including the timing of the audit, significant risks the auditor identified and significant changes to the planned audit strategy or identified risks. The Committee shall review with the independent auditor any audit problems or difficulties encountered during the course of the audit work and management’s response, including any restrictions on the scope of the independent auditor’s activities or access to required records, data and information, any difficult or contentious matters for which the auditor consulted outside the engagement team (for example, the audit firm’s national office), any significant disagreements with management, and any other matters arising from the audit that are significant to the oversight of the Company’s financial reporting process.</w:t>
      </w:r>
    </w:p>
    <w:p>
      <w:pPr>
        <w:spacing w:after="0" w:line="164" w:lineRule="exact"/>
        <w:rPr>
          <w:sz w:val="20"/>
          <w:szCs w:val="20"/>
          <w:color w:val="auto"/>
        </w:rPr>
      </w:pPr>
    </w:p>
    <w:p>
      <w:pPr>
        <w:jc w:val="both"/>
        <w:ind w:left="660" w:firstLine="644"/>
        <w:spacing w:after="0" w:line="263" w:lineRule="auto"/>
        <w:tabs>
          <w:tab w:leader="none" w:pos="1626" w:val="left"/>
        </w:tabs>
        <w:numPr>
          <w:ilvl w:val="0"/>
          <w:numId w:val="331"/>
        </w:numPr>
        <w:rPr>
          <w:rFonts w:ascii="Arial" w:cs="Arial" w:eastAsia="Arial" w:hAnsi="Arial"/>
          <w:sz w:val="18"/>
          <w:szCs w:val="18"/>
          <w:color w:val="auto"/>
        </w:rPr>
      </w:pPr>
      <w:r>
        <w:rPr>
          <w:rFonts w:ascii="Arial" w:cs="Arial" w:eastAsia="Arial" w:hAnsi="Arial"/>
          <w:sz w:val="18"/>
          <w:szCs w:val="18"/>
          <w:b w:val="1"/>
          <w:bCs w:val="1"/>
          <w:i w:val="1"/>
          <w:iCs w:val="1"/>
          <w:color w:val="auto"/>
        </w:rPr>
        <w:t>Auditor Rotation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consider whether, in addition to assuring the regular rotation of the lead audit partner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law, in the interest of assuring continuing independence of an independent auditor, the Company should regularly rotate the firm appointed as the Company’s independent auditor.</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663" w:val="left"/>
        </w:tabs>
        <w:numPr>
          <w:ilvl w:val="0"/>
          <w:numId w:val="331"/>
        </w:numPr>
        <w:rPr>
          <w:rFonts w:ascii="Arial" w:cs="Arial" w:eastAsia="Arial" w:hAnsi="Arial"/>
          <w:sz w:val="18"/>
          <w:szCs w:val="18"/>
          <w:color w:val="auto"/>
        </w:rPr>
      </w:pPr>
      <w:r>
        <w:rPr>
          <w:rFonts w:ascii="Arial" w:cs="Arial" w:eastAsia="Arial" w:hAnsi="Arial"/>
          <w:sz w:val="18"/>
          <w:szCs w:val="18"/>
          <w:b w:val="1"/>
          <w:bCs w:val="1"/>
          <w:i w:val="1"/>
          <w:iCs w:val="1"/>
          <w:color w:val="auto"/>
        </w:rPr>
        <w:t>Pre-Approval of Auditor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is exclusively authorized and directed to consider and, in its discretion, approve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advance any services (including the fees and material terms thereof) proposed to be carried out for the Company by the independent auditor or by any other firm proposed to be engaged by the Company as its independent auditor. In connection with approval of any permissible tax services and services related to internal control over financial reporting, the Committee shall discuss with the independent auditor the potential effects of such services on the independence of the auditor.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1" w:name="page412"/>
    <w:bookmarkEnd w:id="411"/>
    <w:p>
      <w:pPr>
        <w:ind w:left="644" w:hanging="644"/>
        <w:spacing w:after="0"/>
        <w:tabs>
          <w:tab w:leader="none" w:pos="644"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Financial Disclosures</w:t>
      </w:r>
    </w:p>
    <w:p>
      <w:pPr>
        <w:spacing w:after="0" w:line="229" w:lineRule="exact"/>
        <w:rPr>
          <w:rFonts w:ascii="Arial" w:cs="Arial" w:eastAsia="Arial" w:hAnsi="Arial"/>
          <w:sz w:val="18"/>
          <w:szCs w:val="18"/>
          <w:b w:val="1"/>
          <w:bCs w:val="1"/>
          <w:color w:val="auto"/>
        </w:rPr>
      </w:pPr>
    </w:p>
    <w:p>
      <w:pPr>
        <w:ind w:left="884" w:hanging="236"/>
        <w:spacing w:after="0"/>
        <w:tabs>
          <w:tab w:leader="none" w:pos="884" w:val="left"/>
        </w:tabs>
        <w:numPr>
          <w:ilvl w:val="1"/>
          <w:numId w:val="332"/>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Integrity of Financial Statements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review and discuss with management and the independent</w:t>
      </w:r>
    </w:p>
    <w:p>
      <w:pPr>
        <w:spacing w:after="0" w:line="46" w:lineRule="exact"/>
        <w:rPr>
          <w:rFonts w:ascii="Arial" w:cs="Arial" w:eastAsia="Arial" w:hAnsi="Arial"/>
          <w:sz w:val="16"/>
          <w:szCs w:val="16"/>
          <w:color w:val="auto"/>
        </w:rPr>
      </w:pPr>
    </w:p>
    <w:p>
      <w:pPr>
        <w:jc w:val="both"/>
        <w:ind w:left="4"/>
        <w:spacing w:after="0" w:line="252" w:lineRule="auto"/>
        <w:rPr>
          <w:rFonts w:ascii="Arial" w:cs="Arial" w:eastAsia="Arial" w:hAnsi="Arial"/>
          <w:sz w:val="16"/>
          <w:szCs w:val="16"/>
          <w:color w:val="auto"/>
        </w:rPr>
      </w:pPr>
      <w:r>
        <w:rPr>
          <w:rFonts w:ascii="Arial" w:cs="Arial" w:eastAsia="Arial" w:hAnsi="Arial"/>
          <w:sz w:val="18"/>
          <w:szCs w:val="18"/>
          <w:color w:val="auto"/>
        </w:rPr>
        <w:t>auditor: the critical accounting policies and practices used by the Company, and any significant changes in the selection or application of the Company’s accounting and auditing principles and practices as suggested by the Company’s independent auditor, internal auditors, if any, or management; the accounting treatment to be applied in respect of significant new transactions or other significant events not in the ordinary course of the Company’s business; other policies and procedures adopted by the Company to fulfill its responsibilities regarding the presentation of financial statements in accordance with GAAP and applicable rules and regulations of the SEC, including the proper explanation and reconciliation of any non-GAAP measures presented; and any issues that arise with respect to the quality or integrity of the Company’s financial statements.</w:t>
      </w:r>
    </w:p>
    <w:p>
      <w:pPr>
        <w:spacing w:after="0" w:line="192" w:lineRule="exact"/>
        <w:rPr>
          <w:rFonts w:ascii="Arial" w:cs="Arial" w:eastAsia="Arial" w:hAnsi="Arial"/>
          <w:sz w:val="16"/>
          <w:szCs w:val="16"/>
          <w:color w:val="auto"/>
        </w:rPr>
      </w:pPr>
    </w:p>
    <w:p>
      <w:pPr>
        <w:jc w:val="both"/>
        <w:ind w:left="4" w:firstLine="644"/>
        <w:spacing w:after="0" w:line="271" w:lineRule="auto"/>
        <w:tabs>
          <w:tab w:leader="none" w:pos="930" w:val="left"/>
        </w:tabs>
        <w:numPr>
          <w:ilvl w:val="1"/>
          <w:numId w:val="332"/>
        </w:numPr>
        <w:rPr>
          <w:rFonts w:ascii="Arial" w:cs="Arial" w:eastAsia="Arial" w:hAnsi="Arial"/>
          <w:sz w:val="17"/>
          <w:szCs w:val="17"/>
          <w:color w:val="auto"/>
        </w:rPr>
      </w:pPr>
      <w:r>
        <w:rPr>
          <w:rFonts w:ascii="Arial" w:cs="Arial" w:eastAsia="Arial" w:hAnsi="Arial"/>
          <w:sz w:val="17"/>
          <w:szCs w:val="17"/>
          <w:b w:val="1"/>
          <w:bCs w:val="1"/>
          <w:i w:val="1"/>
          <w:iCs w:val="1"/>
          <w:color w:val="auto"/>
        </w:rPr>
        <w:t>Audited Financial Statements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review and discuss with management and the independent auditor, before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of the audit report, the financial statements and related notes and the “Management’s Discussion and Analysis of Financial Condition and Results of Operations” proposed to be included in the Company’s Annual Report on Form 10-K. In this connection, the Committee shall review and discuss with management and the independent auditor the analyses prepared by management setting forth significant financial reporting issues and judgments made in connection with the preparation of the financial statements (including analyses of the effects of alternative GAAP methods on the financial statements), and such other matters for which discussion shall be required by applicable auditing and related PCAOB standards. The Committee shall make a recommendation to the Board as to whether such financial statements should be included in the Company’s Annual Report on Form 10-K.</w:t>
      </w:r>
    </w:p>
    <w:p>
      <w:pPr>
        <w:spacing w:after="0" w:line="178" w:lineRule="exact"/>
        <w:rPr>
          <w:rFonts w:ascii="Arial" w:cs="Arial" w:eastAsia="Arial" w:hAnsi="Arial"/>
          <w:sz w:val="17"/>
          <w:szCs w:val="17"/>
          <w:color w:val="auto"/>
        </w:rPr>
      </w:pPr>
    </w:p>
    <w:p>
      <w:pPr>
        <w:ind w:left="4" w:firstLine="644"/>
        <w:spacing w:after="0" w:line="277" w:lineRule="auto"/>
        <w:tabs>
          <w:tab w:leader="none" w:pos="980" w:val="left"/>
        </w:tabs>
        <w:numPr>
          <w:ilvl w:val="1"/>
          <w:numId w:val="332"/>
        </w:numPr>
        <w:rPr>
          <w:rFonts w:ascii="Arial" w:cs="Arial" w:eastAsia="Arial" w:hAnsi="Arial"/>
          <w:sz w:val="18"/>
          <w:szCs w:val="18"/>
          <w:color w:val="auto"/>
        </w:rPr>
      </w:pPr>
      <w:r>
        <w:rPr>
          <w:rFonts w:ascii="Arial" w:cs="Arial" w:eastAsia="Arial" w:hAnsi="Arial"/>
          <w:sz w:val="18"/>
          <w:szCs w:val="18"/>
          <w:b w:val="1"/>
          <w:bCs w:val="1"/>
          <w:i w:val="1"/>
          <w:iCs w:val="1"/>
          <w:color w:val="auto"/>
        </w:rPr>
        <w:t>Audit Committee Report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annually prepare an audit committee report for inclusion where necessary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statement relating to the annual meeting of stockholders and/or annual report of the Company.</w:t>
      </w:r>
    </w:p>
    <w:p>
      <w:pPr>
        <w:spacing w:after="0" w:line="170" w:lineRule="exact"/>
        <w:rPr>
          <w:rFonts w:ascii="Arial" w:cs="Arial" w:eastAsia="Arial" w:hAnsi="Arial"/>
          <w:sz w:val="18"/>
          <w:szCs w:val="18"/>
          <w:color w:val="auto"/>
        </w:rPr>
      </w:pPr>
    </w:p>
    <w:p>
      <w:pPr>
        <w:jc w:val="both"/>
        <w:ind w:left="4" w:firstLine="644"/>
        <w:spacing w:after="0" w:line="275" w:lineRule="auto"/>
        <w:tabs>
          <w:tab w:leader="none" w:pos="984" w:val="left"/>
        </w:tabs>
        <w:numPr>
          <w:ilvl w:val="1"/>
          <w:numId w:val="332"/>
        </w:numPr>
        <w:rPr>
          <w:rFonts w:ascii="Arial" w:cs="Arial" w:eastAsia="Arial" w:hAnsi="Arial"/>
          <w:sz w:val="17"/>
          <w:szCs w:val="17"/>
          <w:color w:val="auto"/>
        </w:rPr>
      </w:pPr>
      <w:r>
        <w:rPr>
          <w:rFonts w:ascii="Arial" w:cs="Arial" w:eastAsia="Arial" w:hAnsi="Arial"/>
          <w:sz w:val="17"/>
          <w:szCs w:val="17"/>
          <w:b w:val="1"/>
          <w:bCs w:val="1"/>
          <w:i w:val="1"/>
          <w:iCs w:val="1"/>
          <w:color w:val="auto"/>
        </w:rPr>
        <w:t>Quarterly Financial Statements</w:t>
      </w:r>
      <w:r>
        <w:rPr>
          <w:rFonts w:ascii="Arial" w:cs="Arial" w:eastAsia="Arial" w:hAnsi="Arial"/>
          <w:sz w:val="17"/>
          <w:szCs w:val="17"/>
          <w:color w:val="auto"/>
        </w:rPr>
        <w:t>. The Committee shall review and discuss with management and the independent auditor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quarterly financial statements and related notes and the “Management’s Discussion and Analysis of Financial Condition and Results of Operations” proposed to be included in the Company’s Quarterly Reports on Form 10-Q, together with the analyses prepared by management setting forth significant financial reporting issues and judgments made in connection with the preparation of the financial statements, and such other matters for which discussion shall be required by applicable auditing standards and related PCAOB standards.</w:t>
      </w:r>
    </w:p>
    <w:p>
      <w:pPr>
        <w:spacing w:after="0" w:line="176" w:lineRule="exact"/>
        <w:rPr>
          <w:rFonts w:ascii="Arial" w:cs="Arial" w:eastAsia="Arial" w:hAnsi="Arial"/>
          <w:sz w:val="17"/>
          <w:szCs w:val="17"/>
          <w:color w:val="auto"/>
        </w:rPr>
      </w:pPr>
    </w:p>
    <w:p>
      <w:pPr>
        <w:jc w:val="both"/>
        <w:ind w:left="4" w:firstLine="644"/>
        <w:spacing w:after="0" w:line="279" w:lineRule="auto"/>
        <w:tabs>
          <w:tab w:leader="none" w:pos="920" w:val="left"/>
        </w:tabs>
        <w:numPr>
          <w:ilvl w:val="1"/>
          <w:numId w:val="332"/>
        </w:numPr>
        <w:rPr>
          <w:rFonts w:ascii="Arial" w:cs="Arial" w:eastAsia="Arial" w:hAnsi="Arial"/>
          <w:sz w:val="17"/>
          <w:szCs w:val="17"/>
          <w:color w:val="auto"/>
        </w:rPr>
      </w:pPr>
      <w:r>
        <w:rPr>
          <w:rFonts w:ascii="Arial" w:cs="Arial" w:eastAsia="Arial" w:hAnsi="Arial"/>
          <w:sz w:val="17"/>
          <w:szCs w:val="17"/>
          <w:b w:val="1"/>
          <w:bCs w:val="1"/>
          <w:i w:val="1"/>
          <w:iCs w:val="1"/>
          <w:color w:val="auto"/>
        </w:rPr>
        <w:t>Earnings Releases and Other Financial Information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discuss with management and the independent auditor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prior to issuance, review and approve the Company’s earnings releases, including the financial information, use of any “pro forma” or “adjusted” non-GAAP information, and earnings guidance (if such is provided) to be disclosed in such releases. The Committee shall also discuss with management other significant financial information to be provided to analysts or rating agencies.</w:t>
      </w:r>
    </w:p>
    <w:p>
      <w:pPr>
        <w:spacing w:after="0" w:line="171" w:lineRule="exact"/>
        <w:rPr>
          <w:rFonts w:ascii="Arial" w:cs="Arial" w:eastAsia="Arial" w:hAnsi="Arial"/>
          <w:sz w:val="17"/>
          <w:szCs w:val="17"/>
          <w:color w:val="auto"/>
        </w:rPr>
      </w:pPr>
    </w:p>
    <w:p>
      <w:pPr>
        <w:ind w:left="4" w:firstLine="644"/>
        <w:spacing w:after="0" w:line="277" w:lineRule="auto"/>
        <w:tabs>
          <w:tab w:leader="none" w:pos="957" w:val="left"/>
        </w:tabs>
        <w:numPr>
          <w:ilvl w:val="1"/>
          <w:numId w:val="332"/>
        </w:numPr>
        <w:rPr>
          <w:rFonts w:ascii="Arial" w:cs="Arial" w:eastAsia="Arial" w:hAnsi="Arial"/>
          <w:sz w:val="18"/>
          <w:szCs w:val="18"/>
          <w:color w:val="auto"/>
        </w:rPr>
      </w:pPr>
      <w:r>
        <w:rPr>
          <w:rFonts w:ascii="Arial" w:cs="Arial" w:eastAsia="Arial" w:hAnsi="Arial"/>
          <w:sz w:val="18"/>
          <w:szCs w:val="18"/>
          <w:b w:val="1"/>
          <w:bCs w:val="1"/>
          <w:i w:val="1"/>
          <w:iCs w:val="1"/>
          <w:color w:val="auto"/>
        </w:rPr>
        <w:t>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on a quarterly basis all payments made to the Company’s sponsor, officers or directors, 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or their affiliates.</w:t>
      </w:r>
    </w:p>
    <w:p>
      <w:pPr>
        <w:spacing w:after="0" w:line="37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12" w:name="page413"/>
    <w:bookmarkEnd w:id="412"/>
    <w:p>
      <w:pPr>
        <w:ind w:left="644" w:hanging="644"/>
        <w:spacing w:after="0"/>
        <w:tabs>
          <w:tab w:leader="none" w:pos="6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Controls and Procedures</w:t>
      </w:r>
    </w:p>
    <w:p>
      <w:pPr>
        <w:spacing w:after="0" w:line="229" w:lineRule="exact"/>
        <w:rPr>
          <w:rFonts w:ascii="Arial" w:cs="Arial" w:eastAsia="Arial" w:hAnsi="Arial"/>
          <w:sz w:val="18"/>
          <w:szCs w:val="18"/>
          <w:b w:val="1"/>
          <w:bCs w:val="1"/>
          <w:color w:val="auto"/>
        </w:rPr>
      </w:pPr>
    </w:p>
    <w:p>
      <w:pPr>
        <w:jc w:val="both"/>
        <w:ind w:left="4" w:firstLine="644"/>
        <w:spacing w:after="0" w:line="253" w:lineRule="auto"/>
        <w:tabs>
          <w:tab w:leader="none" w:pos="867" w:val="left"/>
        </w:tabs>
        <w:numPr>
          <w:ilvl w:val="1"/>
          <w:numId w:val="333"/>
        </w:numPr>
        <w:rPr>
          <w:rFonts w:ascii="Arial" w:cs="Arial" w:eastAsia="Arial" w:hAnsi="Arial"/>
          <w:sz w:val="18"/>
          <w:szCs w:val="18"/>
          <w:color w:val="auto"/>
        </w:rPr>
      </w:pPr>
      <w:r>
        <w:rPr>
          <w:rFonts w:ascii="Arial" w:cs="Arial" w:eastAsia="Arial" w:hAnsi="Arial"/>
          <w:sz w:val="18"/>
          <w:szCs w:val="18"/>
          <w:b w:val="1"/>
          <w:bCs w:val="1"/>
          <w:i w:val="1"/>
          <w:iCs w:val="1"/>
          <w:color w:val="auto"/>
        </w:rPr>
        <w:t>Oversight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provide oversight of management’s design and maintenance of the Company’s internal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reporting and disclosure controls and procedures. Prior to the filing of the Company’s Annual Report on Form 10-K, the Committee shall review with the independent auditor, management and the head of the internal audit function, if any: the Company’s annual assessment and report and the independent auditor’s report on the effectiveness of the Company’s internal control over financial reporting, to the extent then applicable; any “material weakness” or “significant deficiency” in the design or operation of internal control over financial reporting, any steps taken to resolve any such control deficiencies and the adequacy of disclosures about changes in internal control over financial reporting; and any related significant findings and recommendations of the independent auditor or internal audit function, if any, together with management’s responses (including, in the case of the independent auditor, any concerns regarding matters within the scope of, and compliance with, Section 10A of the Exchange Act).</w:t>
      </w:r>
    </w:p>
    <w:p>
      <w:pPr>
        <w:spacing w:after="0" w:line="196" w:lineRule="exact"/>
        <w:rPr>
          <w:rFonts w:ascii="Arial" w:cs="Arial" w:eastAsia="Arial" w:hAnsi="Arial"/>
          <w:sz w:val="18"/>
          <w:szCs w:val="18"/>
          <w:color w:val="auto"/>
        </w:rPr>
      </w:pPr>
    </w:p>
    <w:p>
      <w:pPr>
        <w:jc w:val="both"/>
        <w:ind w:left="4" w:firstLine="644"/>
        <w:spacing w:after="0" w:line="255" w:lineRule="auto"/>
        <w:tabs>
          <w:tab w:leader="none" w:pos="930" w:val="left"/>
        </w:tabs>
        <w:numPr>
          <w:ilvl w:val="1"/>
          <w:numId w:val="333"/>
        </w:numPr>
        <w:rPr>
          <w:rFonts w:ascii="Arial" w:cs="Arial" w:eastAsia="Arial" w:hAnsi="Arial"/>
          <w:sz w:val="18"/>
          <w:szCs w:val="18"/>
          <w:color w:val="auto"/>
        </w:rPr>
      </w:pPr>
      <w:r>
        <w:rPr>
          <w:rFonts w:ascii="Arial" w:cs="Arial" w:eastAsia="Arial" w:hAnsi="Arial"/>
          <w:sz w:val="18"/>
          <w:szCs w:val="18"/>
          <w:b w:val="1"/>
          <w:bCs w:val="1"/>
          <w:i w:val="1"/>
          <w:iCs w:val="1"/>
          <w:color w:val="auto"/>
        </w:rPr>
        <w:t>Certifications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and discuss with management and the independent auditor the certifications and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disclosures made by the Company’s Chief Executive Officer and Chief Financial Officer in the Company’s periodic reports about the results of their evaluation of the effectiveness of disclosure controls and procedures and any significant deficiencies or material weaknesses in the design or operation of internal control over financial reporting, and any fraud involving management or other employees who have a significant role in the Company’s internal control over financial reporting, prior to the filing of the Company’s Annual Reports on Form 10-K and Quarterly Reports on Form 10-Q.</w:t>
      </w:r>
    </w:p>
    <w:p>
      <w:pPr>
        <w:spacing w:after="0" w:line="192" w:lineRule="exact"/>
        <w:rPr>
          <w:rFonts w:ascii="Arial" w:cs="Arial" w:eastAsia="Arial" w:hAnsi="Arial"/>
          <w:sz w:val="18"/>
          <w:szCs w:val="18"/>
          <w:color w:val="auto"/>
        </w:rPr>
      </w:pPr>
    </w:p>
    <w:p>
      <w:pPr>
        <w:jc w:val="both"/>
        <w:ind w:left="4" w:firstLine="644"/>
        <w:spacing w:after="0" w:line="254"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b w:val="1"/>
          <w:bCs w:val="1"/>
          <w:i w:val="1"/>
          <w:iCs w:val="1"/>
          <w:color w:val="auto"/>
        </w:rPr>
        <w:t>Internal Audit Function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least annually, the Committee shall review with the independent auditor the responsibilities, budget,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staffing, effectiveness and performance of the internal audit function, if any, including the structure, qualification and activities of the internal audit function and the scope of internal audit responsibilities in relation to the independent auditor’s duties. The Committee shall review and assess the annual internal audit plan, if any, the process used to develop the plan, and the status of activities, significant findings, recommendations and management’s response. The Committee shall recommend for Board approval all matters related to responsibilities, budget and staffing of the internal audit function, if any. The Committee shall recommend for Board approval the appointment and, if appropriate, replacement of the senior internal audit executive.</w:t>
      </w:r>
    </w:p>
    <w:p>
      <w:pPr>
        <w:spacing w:after="0" w:line="194" w:lineRule="exact"/>
        <w:rPr>
          <w:rFonts w:ascii="Arial" w:cs="Arial" w:eastAsia="Arial" w:hAnsi="Arial"/>
          <w:sz w:val="18"/>
          <w:szCs w:val="18"/>
          <w:color w:val="auto"/>
        </w:rPr>
      </w:pPr>
    </w:p>
    <w:p>
      <w:pPr>
        <w:ind w:left="4" w:firstLine="644"/>
        <w:spacing w:after="0" w:line="277" w:lineRule="auto"/>
        <w:tabs>
          <w:tab w:leader="none" w:pos="984" w:val="left"/>
        </w:tabs>
        <w:numPr>
          <w:ilvl w:val="1"/>
          <w:numId w:val="333"/>
        </w:numPr>
        <w:rPr>
          <w:rFonts w:ascii="Arial" w:cs="Arial" w:eastAsia="Arial" w:hAnsi="Arial"/>
          <w:sz w:val="18"/>
          <w:szCs w:val="18"/>
          <w:color w:val="auto"/>
        </w:rPr>
      </w:pPr>
      <w:r>
        <w:rPr>
          <w:rFonts w:ascii="Arial" w:cs="Arial" w:eastAsia="Arial" w:hAnsi="Arial"/>
          <w:sz w:val="18"/>
          <w:szCs w:val="18"/>
          <w:b w:val="1"/>
          <w:bCs w:val="1"/>
          <w:i w:val="1"/>
          <w:iCs w:val="1"/>
          <w:color w:val="auto"/>
        </w:rPr>
        <w:t>Hiring Policies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establish clear policies regarding the hiring of employees and former employees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independent auditor.</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Compliance and Ethics</w:t>
      </w:r>
    </w:p>
    <w:p>
      <w:pPr>
        <w:spacing w:after="0" w:line="229" w:lineRule="exact"/>
        <w:rPr>
          <w:rFonts w:ascii="Arial" w:cs="Arial" w:eastAsia="Arial" w:hAnsi="Arial"/>
          <w:sz w:val="18"/>
          <w:szCs w:val="18"/>
          <w:b w:val="1"/>
          <w:bCs w:val="1"/>
          <w:color w:val="auto"/>
        </w:rPr>
      </w:pPr>
    </w:p>
    <w:p>
      <w:pPr>
        <w:jc w:val="both"/>
        <w:ind w:left="4" w:firstLine="644"/>
        <w:spacing w:after="0" w:line="257" w:lineRule="auto"/>
        <w:tabs>
          <w:tab w:leader="none" w:pos="867" w:val="left"/>
        </w:tabs>
        <w:numPr>
          <w:ilvl w:val="1"/>
          <w:numId w:val="333"/>
        </w:numPr>
        <w:rPr>
          <w:rFonts w:ascii="Arial" w:cs="Arial" w:eastAsia="Arial" w:hAnsi="Arial"/>
          <w:sz w:val="18"/>
          <w:szCs w:val="18"/>
          <w:color w:val="auto"/>
        </w:rPr>
      </w:pPr>
      <w:r>
        <w:rPr>
          <w:rFonts w:ascii="Arial" w:cs="Arial" w:eastAsia="Arial" w:hAnsi="Arial"/>
          <w:sz w:val="18"/>
          <w:szCs w:val="18"/>
          <w:b w:val="1"/>
          <w:bCs w:val="1"/>
          <w:i w:val="1"/>
          <w:iCs w:val="1"/>
          <w:color w:val="auto"/>
        </w:rPr>
        <w:t>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and discuss with management, the head of the internal audit function, if 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auditor any significant risks or exposures and the Company’s policies and processes with respect to risk assessment and risk management, and shall assess the steps management has taken to monitor and control such risks, except with respect to those risks for which oversight has been assigned to other committees of the Board or retained by the Board. The Committee shall review the Company’s annual disclosures concerning the role of the Board in the risk oversight of the Company.</w:t>
      </w:r>
    </w:p>
    <w:p>
      <w:pPr>
        <w:spacing w:after="0" w:line="187" w:lineRule="exact"/>
        <w:rPr>
          <w:rFonts w:ascii="Arial" w:cs="Arial" w:eastAsia="Arial" w:hAnsi="Arial"/>
          <w:sz w:val="18"/>
          <w:szCs w:val="18"/>
          <w:color w:val="auto"/>
        </w:rPr>
      </w:pPr>
    </w:p>
    <w:p>
      <w:pPr>
        <w:jc w:val="both"/>
        <w:ind w:left="4" w:firstLine="644"/>
        <w:spacing w:after="0" w:line="272" w:lineRule="auto"/>
        <w:tabs>
          <w:tab w:leader="none" w:pos="944" w:val="left"/>
        </w:tabs>
        <w:numPr>
          <w:ilvl w:val="1"/>
          <w:numId w:val="333"/>
        </w:numPr>
        <w:rPr>
          <w:rFonts w:ascii="Arial" w:cs="Arial" w:eastAsia="Arial" w:hAnsi="Arial"/>
          <w:sz w:val="17"/>
          <w:szCs w:val="17"/>
          <w:color w:val="auto"/>
        </w:rPr>
      </w:pPr>
      <w:r>
        <w:rPr>
          <w:rFonts w:ascii="Arial" w:cs="Arial" w:eastAsia="Arial" w:hAnsi="Arial"/>
          <w:sz w:val="17"/>
          <w:szCs w:val="17"/>
          <w:b w:val="1"/>
          <w:bCs w:val="1"/>
          <w:i w:val="1"/>
          <w:iCs w:val="1"/>
          <w:color w:val="auto"/>
        </w:rPr>
        <w:t>Legal and Regulatory Compliance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Committee shall review and assess with the Chairman, Co-Chairman or Co-Executive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Board or outside counsel, as appropriate, legal and regulatory matters that may have a material impact on the Company’s financial statements. The Committee shall also review and recommend for Board approval the code of ethics and any other appropriate compliance policies, and will review requests for waivers under the code of ethics sought with respect to any executive officer or director. The Committee shall review annually with the Chairman, CoChairman or Co-Executive Chairman of the Board or outside counsel, as appropriate, the scope, implementation and effectiveness of the ethics and compliance program, and any significant deviations by officers and employees from the code of ethics or other compliance policies, and other matters pertaining to the integrity of management.</w:t>
      </w:r>
    </w:p>
    <w:p>
      <w:pPr>
        <w:spacing w:after="0" w:line="38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13" w:name="page414"/>
    <w:bookmarkEnd w:id="413"/>
    <w:p>
      <w:pPr>
        <w:jc w:val="both"/>
        <w:ind w:left="4" w:firstLine="644"/>
        <w:spacing w:after="0" w:line="259" w:lineRule="auto"/>
        <w:tabs>
          <w:tab w:leader="none" w:pos="967" w:val="left"/>
        </w:tabs>
        <w:numPr>
          <w:ilvl w:val="1"/>
          <w:numId w:val="334"/>
        </w:numPr>
        <w:rPr>
          <w:rFonts w:ascii="Arial" w:cs="Arial" w:eastAsia="Arial" w:hAnsi="Arial"/>
          <w:sz w:val="18"/>
          <w:szCs w:val="18"/>
          <w:color w:val="auto"/>
        </w:rPr>
      </w:pPr>
      <w:r>
        <w:rPr>
          <w:rFonts w:ascii="Arial" w:cs="Arial" w:eastAsia="Arial" w:hAnsi="Arial"/>
          <w:sz w:val="18"/>
          <w:szCs w:val="18"/>
          <w:b w:val="1"/>
          <w:bCs w:val="1"/>
          <w:i w:val="1"/>
          <w:iCs w:val="1"/>
          <w:color w:val="auto"/>
        </w:rPr>
        <w:t>Procedures for Complaints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establish “whistleblowing” procedures for (a) the receipt, retention and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complaints received by the Company regarding accounting, internal accounting controls or auditing matters and (b) the confidential, anonymous submission by the Company’s employees of concerns regarding questionable accounting or auditing matters. The Committee shall review any such significant complaints or concerns.</w:t>
      </w:r>
    </w:p>
    <w:p>
      <w:pPr>
        <w:spacing w:after="0" w:line="186" w:lineRule="exact"/>
        <w:rPr>
          <w:rFonts w:ascii="Arial" w:cs="Arial" w:eastAsia="Arial" w:hAnsi="Arial"/>
          <w:sz w:val="18"/>
          <w:szCs w:val="18"/>
          <w:color w:val="auto"/>
        </w:rPr>
      </w:pPr>
    </w:p>
    <w:p>
      <w:pPr>
        <w:jc w:val="both"/>
        <w:ind w:left="4" w:firstLine="644"/>
        <w:spacing w:after="0" w:line="259" w:lineRule="auto"/>
        <w:tabs>
          <w:tab w:leader="none" w:pos="957" w:val="left"/>
        </w:tabs>
        <w:numPr>
          <w:ilvl w:val="1"/>
          <w:numId w:val="334"/>
        </w:numPr>
        <w:rPr>
          <w:rFonts w:ascii="Arial" w:cs="Arial" w:eastAsia="Arial" w:hAnsi="Arial"/>
          <w:sz w:val="18"/>
          <w:szCs w:val="18"/>
          <w:color w:val="auto"/>
        </w:rPr>
      </w:pPr>
      <w:r>
        <w:rPr>
          <w:rFonts w:ascii="Arial" w:cs="Arial" w:eastAsia="Arial" w:hAnsi="Arial"/>
          <w:sz w:val="18"/>
          <w:szCs w:val="18"/>
          <w:b w:val="1"/>
          <w:bCs w:val="1"/>
          <w:i w:val="1"/>
          <w:iCs w:val="1"/>
          <w:color w:val="auto"/>
        </w:rPr>
        <w:t>Review and Approval of Swap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at least annually review and approve the Company’s decision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swaps and other derivative transactions that are exempt from exchange-execution and clearance requirements under “enduser exception” regulations, and review and discuss with management applicable Company policies governing the Company’s use of swaps subject to the end-user exception.</w:t>
      </w:r>
    </w:p>
    <w:p>
      <w:pPr>
        <w:spacing w:after="0" w:line="186" w:lineRule="exact"/>
        <w:rPr>
          <w:rFonts w:ascii="Arial" w:cs="Arial" w:eastAsia="Arial" w:hAnsi="Arial"/>
          <w:sz w:val="18"/>
          <w:szCs w:val="18"/>
          <w:color w:val="auto"/>
        </w:rPr>
      </w:pPr>
    </w:p>
    <w:p>
      <w:pPr>
        <w:jc w:val="both"/>
        <w:ind w:left="4" w:firstLine="644"/>
        <w:spacing w:after="0" w:line="263" w:lineRule="auto"/>
        <w:tabs>
          <w:tab w:leader="none" w:pos="920" w:val="left"/>
        </w:tabs>
        <w:numPr>
          <w:ilvl w:val="1"/>
          <w:numId w:val="334"/>
        </w:numPr>
        <w:rPr>
          <w:rFonts w:ascii="Arial" w:cs="Arial" w:eastAsia="Arial" w:hAnsi="Arial"/>
          <w:sz w:val="18"/>
          <w:szCs w:val="18"/>
          <w:color w:val="auto"/>
        </w:rPr>
      </w:pPr>
      <w:r>
        <w:rPr>
          <w:rFonts w:ascii="Arial" w:cs="Arial" w:eastAsia="Arial" w:hAnsi="Arial"/>
          <w:sz w:val="18"/>
          <w:szCs w:val="18"/>
          <w:b w:val="1"/>
          <w:bCs w:val="1"/>
          <w:i w:val="1"/>
          <w:iCs w:val="1"/>
          <w:color w:val="auto"/>
        </w:rPr>
        <w:t>Related Person Transactions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review on an ongoing basis and, if appropriate, approve or ratify any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transactions and other significant conflicts of interest, in each case in accordance with the Company’s Code of Ethics and Related Party Transactions Policy.</w:t>
      </w:r>
    </w:p>
    <w:p>
      <w:pPr>
        <w:spacing w:after="0" w:line="179" w:lineRule="exact"/>
        <w:rPr>
          <w:rFonts w:ascii="Arial" w:cs="Arial" w:eastAsia="Arial" w:hAnsi="Arial"/>
          <w:sz w:val="18"/>
          <w:szCs w:val="18"/>
          <w:color w:val="auto"/>
        </w:rPr>
      </w:pPr>
    </w:p>
    <w:p>
      <w:pPr>
        <w:ind w:left="644" w:hanging="644"/>
        <w:spacing w:after="0"/>
        <w:tabs>
          <w:tab w:leader="none" w:pos="64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Self-Evaluation and Reporting</w:t>
      </w:r>
    </w:p>
    <w:p>
      <w:pPr>
        <w:spacing w:after="0" w:line="229" w:lineRule="exact"/>
        <w:rPr>
          <w:rFonts w:ascii="Arial" w:cs="Arial" w:eastAsia="Arial" w:hAnsi="Arial"/>
          <w:sz w:val="18"/>
          <w:szCs w:val="18"/>
          <w:b w:val="1"/>
          <w:bCs w:val="1"/>
          <w:color w:val="auto"/>
        </w:rPr>
      </w:pPr>
    </w:p>
    <w:p>
      <w:pPr>
        <w:jc w:val="both"/>
        <w:ind w:left="4" w:firstLine="644"/>
        <w:spacing w:after="0" w:line="263" w:lineRule="auto"/>
        <w:tabs>
          <w:tab w:leader="none" w:pos="867" w:val="left"/>
        </w:tabs>
        <w:numPr>
          <w:ilvl w:val="1"/>
          <w:numId w:val="335"/>
        </w:numPr>
        <w:rPr>
          <w:rFonts w:ascii="Arial" w:cs="Arial" w:eastAsia="Arial" w:hAnsi="Arial"/>
          <w:sz w:val="18"/>
          <w:szCs w:val="18"/>
          <w:color w:val="auto"/>
        </w:rPr>
      </w:pPr>
      <w:r>
        <w:rPr>
          <w:rFonts w:ascii="Arial" w:cs="Arial" w:eastAsia="Arial" w:hAnsi="Arial"/>
          <w:sz w:val="18"/>
          <w:szCs w:val="18"/>
          <w:b w:val="1"/>
          <w:bCs w:val="1"/>
          <w:i w:val="1"/>
          <w:iCs w:val="1"/>
          <w:color w:val="auto"/>
        </w:rPr>
        <w:t>Self-Evaluation and Charter Review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shall conduct an annual self-evaluation of the adequacy of this charter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the Committee, including its effectiveness and compliance with this charter, and recommend to the Board such amendments of this charter as the Committee deems appropriate.</w:t>
      </w:r>
    </w:p>
    <w:p>
      <w:pPr>
        <w:spacing w:after="0" w:line="183" w:lineRule="exact"/>
        <w:rPr>
          <w:rFonts w:ascii="Arial" w:cs="Arial" w:eastAsia="Arial" w:hAnsi="Arial"/>
          <w:sz w:val="18"/>
          <w:szCs w:val="18"/>
          <w:color w:val="auto"/>
        </w:rPr>
      </w:pPr>
    </w:p>
    <w:p>
      <w:pPr>
        <w:ind w:left="4" w:firstLine="644"/>
        <w:spacing w:after="0" w:line="342" w:lineRule="auto"/>
        <w:tabs>
          <w:tab w:leader="none" w:pos="917" w:val="left"/>
        </w:tabs>
        <w:numPr>
          <w:ilvl w:val="1"/>
          <w:numId w:val="335"/>
        </w:numPr>
        <w:rPr>
          <w:rFonts w:ascii="Arial" w:cs="Arial" w:eastAsia="Arial" w:hAnsi="Arial"/>
          <w:sz w:val="16"/>
          <w:szCs w:val="16"/>
          <w:color w:val="auto"/>
        </w:rPr>
      </w:pPr>
      <w:r>
        <w:rPr>
          <w:rFonts w:ascii="Arial" w:cs="Arial" w:eastAsia="Arial" w:hAnsi="Arial"/>
          <w:sz w:val="16"/>
          <w:szCs w:val="16"/>
          <w:b w:val="1"/>
          <w:bCs w:val="1"/>
          <w:i w:val="1"/>
          <w:iCs w:val="1"/>
          <w:color w:val="auto"/>
        </w:rPr>
        <w:t>Reporting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Committee shall report regularly to the Board on Committee findings and recommendations and any other matters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deems appropriate or the Board requests, and maintain minutes or other records of Committee meetings and activities.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Committee shall undertake such other responsibilities or tasks as the Board may delegate or assign to the Committee from time to time.</w:t>
      </w:r>
    </w:p>
    <w:p>
      <w:pPr>
        <w:spacing w:after="0" w:line="200" w:lineRule="exact"/>
        <w:rPr>
          <w:sz w:val="20"/>
          <w:szCs w:val="20"/>
          <w:color w:val="auto"/>
        </w:rPr>
      </w:pPr>
    </w:p>
    <w:p>
      <w:pPr>
        <w:spacing w:after="0" w:line="25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1" w:right="3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Effective ____________, 2020</w:t>
      </w:r>
    </w:p>
    <w:p>
      <w:pPr>
        <w:spacing w:after="0" w:line="225"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PURPOSES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is appointed by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CM Life 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to: (A) assist the Board in overseeing the Company’s employee compensation policies and practices, including (i) determining and approving the compensation of the Company’s Chief Executive Officer (“</w:t>
      </w:r>
      <w:r>
        <w:rPr>
          <w:rFonts w:ascii="Arial" w:cs="Arial" w:eastAsia="Arial" w:hAnsi="Arial"/>
          <w:sz w:val="17"/>
          <w:szCs w:val="17"/>
          <w:b w:val="1"/>
          <w:bCs w:val="1"/>
          <w:i w:val="1"/>
          <w:iCs w:val="1"/>
          <w:color w:val="auto"/>
        </w:rPr>
        <w:t>CEO</w:t>
      </w:r>
      <w:r>
        <w:rPr>
          <w:rFonts w:ascii="Arial" w:cs="Arial" w:eastAsia="Arial" w:hAnsi="Arial"/>
          <w:sz w:val="17"/>
          <w:szCs w:val="17"/>
          <w:color w:val="auto"/>
        </w:rPr>
        <w:t>”) and the Company’s other executive officers, and (ii) reviewing and approving incentive compensation and equity compensation policies and programs, and exercising discretion in the administration of such programs; and (B) produce the annual report of the Committee required by the rules of the U.S.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2"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sz w:val="20"/>
          <w:szCs w:val="20"/>
          <w:color w:val="auto"/>
        </w:rPr>
      </w:pPr>
    </w:p>
    <w:p>
      <w:pPr>
        <w:ind w:left="1300" w:hanging="644"/>
        <w:spacing w:after="0"/>
        <w:tabs>
          <w:tab w:leader="none" w:pos="13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shall consist of two or more members of the Board.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 Any vacancy on the Committee shall be filled by a majority vote of the Board. No member of the Committee shall be removed except by majority vote of the Board.</w:t>
      </w:r>
    </w:p>
    <w:p>
      <w:pPr>
        <w:spacing w:after="0" w:line="167" w:lineRule="exact"/>
        <w:rPr>
          <w:sz w:val="20"/>
          <w:szCs w:val="20"/>
          <w:color w:val="auto"/>
        </w:rPr>
      </w:pPr>
    </w:p>
    <w:p>
      <w:pPr>
        <w:ind w:left="1300" w:hanging="644"/>
        <w:spacing w:after="0"/>
        <w:tabs>
          <w:tab w:leader="none" w:pos="130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provided that if the Board does not so designate a chairperson, the members of the Committee, by a majority vote, may designate a chairperson. In the absence of the Chair at a duly convened meeting, the Committee shall select a temporary substitute from among its members to serve as chair of the meeting.</w:t>
      </w:r>
    </w:p>
    <w:p>
      <w:pPr>
        <w:spacing w:after="0" w:line="184" w:lineRule="exact"/>
        <w:rPr>
          <w:sz w:val="20"/>
          <w:szCs w:val="20"/>
          <w:color w:val="auto"/>
        </w:rPr>
      </w:pPr>
    </w:p>
    <w:p>
      <w:pPr>
        <w:ind w:left="1300" w:hanging="644"/>
        <w:spacing w:after="0"/>
        <w:tabs>
          <w:tab w:leader="none" w:pos="130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member of the Committee shall be an “independent” director in accordance with the applicable listing standards of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standards specifically applicable to compensation committee members,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5" w:name="page416"/>
    <w:bookmarkEnd w:id="415"/>
    <w:p>
      <w:pPr>
        <w:ind w:left="660" w:hanging="652"/>
        <w:spacing w:after="0"/>
        <w:tabs>
          <w:tab w:leader="none" w:pos="6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discharging its role, the Committee is empowered to inquire into any matter that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necessary or appropriate to the accomplishment of its purposes.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have the sole discretion to retain or obtain advice from, oversee and terminate any compensation consultant, legal counsel or other adviser to the Committee and be directly responsible for the appointment, compensation and oversight of any work of such adviser retained by the Committee, and the Company will provide appropriate funding (as determined by the Committee) for the payment of reasonable compensation to any such adviser.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shall meet as often as necessary to carry out its responsibilities, which, following the Company’s initial business combination, shall be at least quarterly.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184" w:lineRule="exact"/>
        <w:rPr>
          <w:sz w:val="20"/>
          <w:szCs w:val="20"/>
          <w:color w:val="auto"/>
        </w:rPr>
      </w:pPr>
    </w:p>
    <w:p>
      <w:pPr>
        <w:ind w:left="660" w:hanging="652"/>
        <w:spacing w:after="0"/>
        <w:tabs>
          <w:tab w:leader="none" w:pos="6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SEC and Nasdaq.</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Committee may, by resolution approved by a majority of the Committee, delegate to management the administration of the Company’s incentive compensation and equity-based compensation plans, to the extent permitted by law and as may be permitted by such plans and subject to such rules, policies and guidelines (including limits on the aggregate awards that may be made pursuant to such delegation) as the Committee shall approve, provided that, consistent with Section VI below, the Committee shall determine and approve the awards made under such plan to any executive officer and any other member of senior management as the Committee shall designate and shall at least annually review the awards made to such other members of senior management as the Committee shall designate.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6" w:name="page417"/>
    <w:bookmarkEnd w:id="416"/>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responsibilities are set forth as a guide for fulfilling the Committee’s purposes in such manner as the Committee determines is appropriate:</w:t>
      </w:r>
    </w:p>
    <w:p>
      <w:pPr>
        <w:spacing w:after="0" w:line="170" w:lineRule="exact"/>
        <w:rPr>
          <w:sz w:val="20"/>
          <w:szCs w:val="20"/>
          <w:color w:val="auto"/>
        </w:rPr>
      </w:pPr>
    </w:p>
    <w:p>
      <w:pPr>
        <w:ind w:left="900" w:hanging="244"/>
        <w:spacing w:after="0"/>
        <w:tabs>
          <w:tab w:leader="none" w:pos="9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establish and review the objectives of the Company’s management compensation programs and its basic compensation policies;</w:t>
      </w:r>
    </w:p>
    <w:p>
      <w:pPr>
        <w:spacing w:after="0" w:line="225" w:lineRule="exact"/>
        <w:rPr>
          <w:rFonts w:ascii="Arial" w:cs="Arial" w:eastAsia="Arial" w:hAnsi="Arial"/>
          <w:sz w:val="18"/>
          <w:szCs w:val="18"/>
          <w:color w:val="auto"/>
        </w:rPr>
      </w:pPr>
    </w:p>
    <w:p>
      <w:pPr>
        <w:ind w:firstLine="656"/>
        <w:spacing w:after="0" w:line="277" w:lineRule="auto"/>
        <w:tabs>
          <w:tab w:leader="none" w:pos="90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CEO and other executive officers, including annual and long-term performance goals and objectives;</w:t>
      </w:r>
    </w:p>
    <w:p>
      <w:pPr>
        <w:spacing w:after="0" w:line="170" w:lineRule="exact"/>
        <w:rPr>
          <w:rFonts w:ascii="Arial" w:cs="Arial" w:eastAsia="Arial" w:hAnsi="Arial"/>
          <w:sz w:val="18"/>
          <w:szCs w:val="18"/>
          <w:color w:val="auto"/>
        </w:rPr>
      </w:pPr>
    </w:p>
    <w:p>
      <w:pPr>
        <w:ind w:firstLine="656"/>
        <w:spacing w:after="0" w:line="277" w:lineRule="auto"/>
        <w:tabs>
          <w:tab w:leader="none" w:pos="91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review and approve, subject to such further action of the Board as the Board shall determine, any employment, compensation, benefit or severance agreement with any executive officer;</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0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evaluate at least annually the performance of the CEO and other executive officers against corporate goals and objectives including the annual performance objectives and, based on this evaluation, determine and approve, subject to such further action of the Board as the Board shall determine, the compensation (including any awards under any equity-based compensation or non-equity-based incentive compensation plan of the Company and any material perquisites) for the executive officers based on this evaluation, provided that the CEO may not be present during voting or deliberations on his or her compensation;</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determine and approve the compensation level (including any awards under any equity-based compensation or non-equity-based incentive compensation plan of the Company and any material perquisites) for other members of senior management of the Company as the Committee or the Board may from time to time determine to be appropriate;</w:t>
      </w:r>
    </w:p>
    <w:p>
      <w:pPr>
        <w:spacing w:after="0" w:line="183" w:lineRule="exact"/>
        <w:rPr>
          <w:rFonts w:ascii="Arial" w:cs="Arial" w:eastAsia="Arial" w:hAnsi="Arial"/>
          <w:sz w:val="18"/>
          <w:szCs w:val="18"/>
          <w:color w:val="auto"/>
        </w:rPr>
      </w:pPr>
    </w:p>
    <w:p>
      <w:pPr>
        <w:ind w:firstLine="656"/>
        <w:spacing w:after="0" w:line="308" w:lineRule="auto"/>
        <w:tabs>
          <w:tab w:leader="none" w:pos="87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review at least annually the compensation of other employees as the Committee determines to be appropriate (including any awards under any equity-based compensation or non-equity-based incentive compensation plan of the Company and any material perquisites);</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review on a periodic basis the Company’s management compensation programs, including any management incentive compensation plans as well as plans and policies pertaining to perquisites, to determine whether they are appropriate, properly coordinated and achieve their intended purpose(s), and recommend to the Board any appropriate modifications or new plans, programs or policies;</w:t>
      </w:r>
    </w:p>
    <w:p>
      <w:pPr>
        <w:spacing w:after="0" w:line="183" w:lineRule="exact"/>
        <w:rPr>
          <w:rFonts w:ascii="Arial" w:cs="Arial" w:eastAsia="Arial" w:hAnsi="Arial"/>
          <w:sz w:val="18"/>
          <w:szCs w:val="18"/>
          <w:color w:val="auto"/>
        </w:rPr>
      </w:pPr>
    </w:p>
    <w:p>
      <w:pPr>
        <w:ind w:firstLine="656"/>
        <w:spacing w:after="0" w:line="277" w:lineRule="auto"/>
        <w:tabs>
          <w:tab w:leader="none" w:pos="92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review, approve and recommend to the Board the adoption of any equity-based compensation plan for employees of or consultants to the Company and any modification of any such plan;</w:t>
      </w:r>
    </w:p>
    <w:p>
      <w:pPr>
        <w:spacing w:after="0" w:line="170" w:lineRule="exact"/>
        <w:rPr>
          <w:rFonts w:ascii="Arial" w:cs="Arial" w:eastAsia="Arial" w:hAnsi="Arial"/>
          <w:sz w:val="18"/>
          <w:szCs w:val="18"/>
          <w:color w:val="auto"/>
        </w:rPr>
      </w:pPr>
    </w:p>
    <w:p>
      <w:pPr>
        <w:ind w:firstLine="656"/>
        <w:spacing w:after="0" w:line="277" w:lineRule="auto"/>
        <w:tabs>
          <w:tab w:leader="none" w:pos="8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administer the Company’s equity-based compensation plans for employees of and consultants to the Company as provided by the terms of such plans, including authorizing all awards made pursuant to such plans;</w:t>
      </w:r>
    </w:p>
    <w:p>
      <w:pPr>
        <w:spacing w:after="0" w:line="170" w:lineRule="exact"/>
        <w:rPr>
          <w:rFonts w:ascii="Arial" w:cs="Arial" w:eastAsia="Arial" w:hAnsi="Arial"/>
          <w:sz w:val="18"/>
          <w:szCs w:val="18"/>
          <w:color w:val="auto"/>
        </w:rPr>
      </w:pPr>
    </w:p>
    <w:p>
      <w:pPr>
        <w:ind w:firstLine="656"/>
        <w:spacing w:after="0" w:line="308" w:lineRule="auto"/>
        <w:tabs>
          <w:tab w:leader="none" w:pos="904" w:val="left"/>
        </w:tabs>
        <w:numPr>
          <w:ilvl w:val="0"/>
          <w:numId w:val="343"/>
        </w:numPr>
        <w:rPr>
          <w:rFonts w:ascii="Arial" w:cs="Arial" w:eastAsia="Arial" w:hAnsi="Arial"/>
          <w:sz w:val="17"/>
          <w:szCs w:val="17"/>
          <w:color w:val="auto"/>
        </w:rPr>
      </w:pPr>
      <w:r>
        <w:rPr>
          <w:rFonts w:ascii="Arial" w:cs="Arial" w:eastAsia="Arial" w:hAnsi="Arial"/>
          <w:sz w:val="17"/>
          <w:szCs w:val="17"/>
          <w:color w:val="auto"/>
        </w:rPr>
        <w:t>review, approve and recommend to the Board the adoption of any non-equity-based incentive compensation plan for employees of or consultants to the Company and any material modification of any such plan and review at least annually the awards made pursuant to such plans;</w:t>
      </w:r>
    </w:p>
    <w:p>
      <w:pPr>
        <w:spacing w:after="0" w:line="146" w:lineRule="exact"/>
        <w:rPr>
          <w:rFonts w:ascii="Arial" w:cs="Arial" w:eastAsia="Arial" w:hAnsi="Arial"/>
          <w:sz w:val="17"/>
          <w:szCs w:val="17"/>
          <w:color w:val="auto"/>
        </w:rPr>
      </w:pPr>
    </w:p>
    <w:p>
      <w:pPr>
        <w:ind w:firstLine="656"/>
        <w:spacing w:after="0" w:line="277" w:lineRule="auto"/>
        <w:tabs>
          <w:tab w:leader="none" w:pos="90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review, approve and recommend to the Board the adoption of any employee retirement plan, and other material employee benefit plan, and any material modification of any such plan;</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01" w:val="left"/>
        </w:tabs>
        <w:numPr>
          <w:ilvl w:val="0"/>
          <w:numId w:val="343"/>
        </w:numPr>
        <w:rPr>
          <w:rFonts w:ascii="Arial" w:cs="Arial" w:eastAsia="Arial" w:hAnsi="Arial"/>
          <w:sz w:val="16"/>
          <w:szCs w:val="16"/>
          <w:color w:val="auto"/>
        </w:rPr>
      </w:pPr>
      <w:r>
        <w:rPr>
          <w:rFonts w:ascii="Arial" w:cs="Arial" w:eastAsia="Arial" w:hAnsi="Arial"/>
          <w:sz w:val="16"/>
          <w:szCs w:val="16"/>
          <w:color w:val="auto"/>
        </w:rPr>
        <w:t>review at least annually (a) the Company’s compensation policies and practices for executives, management employees and employees generally to assess whether such policies and practices could lead to excessive risk taking behavior and (b) the manner in which any risks arising out of the Company’s compensation policies and practices are monitored and mitigated and adjustments necessary to address changes in the Company’s risk profile;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7" w:name="page418"/>
    <w:bookmarkEnd w:id="417"/>
    <w:p>
      <w:pPr>
        <w:jc w:val="both"/>
        <w:ind w:firstLine="656"/>
        <w:spacing w:after="0" w:line="257" w:lineRule="auto"/>
        <w:tabs>
          <w:tab w:leader="none" w:pos="9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with respect to any compensation consultant who has been engaged to make determinations or recommendations on the amount or form of executive or director compensation: (a) annually, or from time to time as the Committee deems appropriate, assess whether the work of any such compensation consultant (whether retained by the compensation committee or management) has raised any conflicts of interest; and (b) review the engagement and the nature of any additional services provided by such compensation consultant to the Committee or to management, as well as all remuneration provided to such consultant;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3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annually, or from time to time as the Committee deems appropriate and prior to retention of any advisers to the Committee, assess the independence of compensation consultants, legal and other advisers to the Committee, taking into consideration all relevant factors the Committee deems appropriate to such adviser’s independence, including factors specified in the listing standards of Nasdaq;</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required by SEC regulations and determine whether to recommend to the Board, as part of a report of the Committee to the Board, that such disclosure be included in the Company’s Annual Report on Form 10-K and any proxy statement for the election of directors; as part of this review, the Committee shall consider the results of the most recent stockholder advisory vote on executive compensation (“say-on-pay” vote) required by Section 14A of the Exchange Act;</w:t>
      </w:r>
    </w:p>
    <w:p>
      <w:pPr>
        <w:spacing w:after="0" w:line="171" w:lineRule="exact"/>
        <w:rPr>
          <w:rFonts w:ascii="Arial" w:cs="Arial" w:eastAsia="Arial" w:hAnsi="Arial"/>
          <w:sz w:val="17"/>
          <w:szCs w:val="17"/>
          <w:color w:val="auto"/>
        </w:rPr>
      </w:pPr>
    </w:p>
    <w:p>
      <w:pPr>
        <w:ind w:firstLine="656"/>
        <w:spacing w:after="0" w:line="277" w:lineRule="auto"/>
        <w:tabs>
          <w:tab w:leader="none" w:pos="92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at least every six years or more frequently as appropriate, make a recommendation to the Board regarding the frequency with which the Company will conduct a say-on-pay vote;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review the form and amount of director compensation at least annually, and make recommendations thereon to the Board;</w:t>
      </w:r>
    </w:p>
    <w:p>
      <w:pPr>
        <w:spacing w:after="0" w:line="225" w:lineRule="exact"/>
        <w:rPr>
          <w:rFonts w:ascii="Arial" w:cs="Arial" w:eastAsia="Arial" w:hAnsi="Arial"/>
          <w:sz w:val="18"/>
          <w:szCs w:val="18"/>
          <w:color w:val="auto"/>
        </w:rPr>
      </w:pPr>
    </w:p>
    <w:p>
      <w:pPr>
        <w:jc w:val="both"/>
        <w:ind w:right="20" w:firstLine="656"/>
        <w:spacing w:after="0" w:line="259" w:lineRule="auto"/>
        <w:tabs>
          <w:tab w:leader="none" w:pos="91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oversee and monitor other compensation related policies and practices of the Company, including: (i) the Company’s stock ownership guidelines for directors and executive officers; (ii) compliance by management with rules regarding equity-based compensation plans for employees and consultants pursuant to the terms of such plans, and the guidelines for issuance of awards as the Board or Committee may establish; and (iii) the Company’s recoupment policy and procedures;</w:t>
      </w:r>
    </w:p>
    <w:p>
      <w:pPr>
        <w:spacing w:after="0" w:line="186" w:lineRule="exact"/>
        <w:rPr>
          <w:rFonts w:ascii="Arial" w:cs="Arial" w:eastAsia="Arial" w:hAnsi="Arial"/>
          <w:sz w:val="18"/>
          <w:szCs w:val="18"/>
          <w:color w:val="auto"/>
        </w:rPr>
      </w:pPr>
    </w:p>
    <w:p>
      <w:pPr>
        <w:ind w:firstLine="656"/>
        <w:spacing w:after="0" w:line="277" w:lineRule="auto"/>
        <w:tabs>
          <w:tab w:leader="none" w:pos="89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oversee stockholder communications relating to executive compensation and review and make recommendations with respect to stockholder proposals related to compensation matters;</w:t>
      </w:r>
    </w:p>
    <w:p>
      <w:pPr>
        <w:spacing w:after="0" w:line="170" w:lineRule="exact"/>
        <w:rPr>
          <w:rFonts w:ascii="Arial" w:cs="Arial" w:eastAsia="Arial" w:hAnsi="Arial"/>
          <w:sz w:val="18"/>
          <w:szCs w:val="18"/>
          <w:color w:val="auto"/>
        </w:rPr>
      </w:pPr>
    </w:p>
    <w:p>
      <w:pPr>
        <w:ind w:right="20" w:firstLine="656"/>
        <w:spacing w:after="0" w:line="308" w:lineRule="auto"/>
        <w:tabs>
          <w:tab w:leader="none" w:pos="893" w:val="left"/>
        </w:tabs>
        <w:numPr>
          <w:ilvl w:val="0"/>
          <w:numId w:val="344"/>
        </w:numPr>
        <w:rPr>
          <w:rFonts w:ascii="Arial" w:cs="Arial" w:eastAsia="Arial" w:hAnsi="Arial"/>
          <w:sz w:val="17"/>
          <w:szCs w:val="17"/>
          <w:color w:val="auto"/>
        </w:rPr>
      </w:pPr>
      <w:r>
        <w:rPr>
          <w:rFonts w:ascii="Arial" w:cs="Arial" w:eastAsia="Arial" w:hAnsi="Arial"/>
          <w:sz w:val="17"/>
          <w:szCs w:val="17"/>
          <w:color w:val="auto"/>
        </w:rPr>
        <w:t>conduct an annual self-evaluation of the adequacy of this charter and the performance of the Committee, including its effectiveness and compliance with this charter, and recommend to the Board such amendments of this charter as the Committee deems appropriate;</w:t>
      </w:r>
    </w:p>
    <w:p>
      <w:pPr>
        <w:spacing w:after="0" w:line="146" w:lineRule="exact"/>
        <w:rPr>
          <w:rFonts w:ascii="Arial" w:cs="Arial" w:eastAsia="Arial" w:hAnsi="Arial"/>
          <w:sz w:val="17"/>
          <w:szCs w:val="17"/>
          <w:color w:val="auto"/>
        </w:rPr>
      </w:pPr>
    </w:p>
    <w:p>
      <w:pPr>
        <w:ind w:firstLine="656"/>
        <w:spacing w:after="0" w:line="277" w:lineRule="auto"/>
        <w:tabs>
          <w:tab w:leader="none" w:pos="92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report regularly to the Board on Committee findings and recommendations and any other matters the Committee deems appropriate or the Board requests, and maintain minutes or other records of Committee meetings and activities;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from and after the completion of the Company’s initial business combination, in consultation with the CEO, annually report to the Board on succession planning, which shall include emergency CEO succession, CEO succession in the ordinary course and succession for other members of senior management, working with the entire Board to evaluate potential successors to the CEO; and</w:t>
      </w:r>
    </w:p>
    <w:p>
      <w:pPr>
        <w:spacing w:after="0" w:line="183" w:lineRule="exact"/>
        <w:rPr>
          <w:rFonts w:ascii="Arial" w:cs="Arial" w:eastAsia="Arial" w:hAnsi="Arial"/>
          <w:sz w:val="18"/>
          <w:szCs w:val="18"/>
          <w:color w:val="auto"/>
        </w:rPr>
      </w:pPr>
    </w:p>
    <w:p>
      <w:pPr>
        <w:ind w:left="960" w:hanging="304"/>
        <w:spacing w:after="0"/>
        <w:tabs>
          <w:tab w:leader="none" w:pos="9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undertake such other responsibilities or tasks as the Board may delegate or assign to the Committee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CORPORATE GOVERNANCE COMMITTEE CHARTER</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Effective ____________, 2020</w:t>
      </w:r>
    </w:p>
    <w:p>
      <w:pPr>
        <w:spacing w:after="0" w:line="225"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Nominating and Corporate Governance Committee (the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is appointed by the Board of Directors (the </w:t>
      </w:r>
      <w:r>
        <w:rPr>
          <w:rFonts w:ascii="Arial" w:cs="Arial" w:eastAsia="Arial" w:hAnsi="Arial"/>
          <w:sz w:val="18"/>
          <w:szCs w:val="18"/>
          <w:i w:val="1"/>
          <w:iCs w:val="1"/>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of CM Life Sciences, Inc. (the “</w:t>
      </w:r>
      <w:r>
        <w:rPr>
          <w:rFonts w:ascii="Arial" w:cs="Arial" w:eastAsia="Arial" w:hAnsi="Arial"/>
          <w:sz w:val="18"/>
          <w:szCs w:val="18"/>
          <w:b w:val="1"/>
          <w:bCs w:val="1"/>
          <w:color w:val="auto"/>
        </w:rPr>
        <w:t>Company</w:t>
      </w:r>
      <w:r>
        <w:rPr>
          <w:rFonts w:ascii="Arial" w:cs="Arial" w:eastAsia="Arial" w:hAnsi="Arial"/>
          <w:sz w:val="18"/>
          <w:szCs w:val="18"/>
          <w:color w:val="auto"/>
        </w:rPr>
        <w:t>”) to: (i) identify and screen individuals qualified to serve as directors and recommend to the Board candidates for nomination for election at the annual meeting of stockholders or to fill Board vacancies; (ii) develop, recommend to the Board and review the Company’s Corporate Governance Guidelines; (iii) coordinate and oversee the annual self-evaluation of the Board, its committees, individual directors and management in the governance of the Company; and (iv) review on a regular basis the overall corporate governance of the Company and recommend improvements for approval by the Board where appropriate.</w:t>
      </w:r>
    </w:p>
    <w:p>
      <w:pPr>
        <w:spacing w:after="0" w:line="187"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COMMITTEE MEMBERSHIP</w:t>
      </w:r>
    </w:p>
    <w:p>
      <w:pPr>
        <w:spacing w:after="0" w:line="225" w:lineRule="exact"/>
        <w:rPr>
          <w:sz w:val="20"/>
          <w:szCs w:val="20"/>
          <w:color w:val="auto"/>
        </w:rPr>
      </w:pPr>
    </w:p>
    <w:p>
      <w:pPr>
        <w:ind w:left="1300" w:hanging="644"/>
        <w:spacing w:after="0"/>
        <w:tabs>
          <w:tab w:leader="none" w:pos="130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shall consist of two or more members of the Board. Except as otherwise directed by the Board, a director selected as a Committee member shall continue to be a member for as long as he or she remains a director or until his or her earlier resignation or removal from the Committee. Any member may be removed from the Committee by the Board, with or without cause, at any time.</w:t>
      </w:r>
    </w:p>
    <w:p>
      <w:pPr>
        <w:spacing w:after="0" w:line="180" w:lineRule="exact"/>
        <w:rPr>
          <w:sz w:val="20"/>
          <w:szCs w:val="20"/>
          <w:color w:val="auto"/>
        </w:rPr>
      </w:pPr>
    </w:p>
    <w:p>
      <w:pPr>
        <w:ind w:left="1300" w:hanging="644"/>
        <w:spacing w:after="0"/>
        <w:tabs>
          <w:tab w:leader="none" w:pos="130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Chair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Chair of the Committee shall be appointed from among the Committee members by, and serve at the pleasure of, the Board, shall preside at meetings of the Committee and shall have authority to convene meetings, set agendas for meetings, and determine the Committee’s information needs, except as otherwise provided by the Board or the Committee. In the absence of the Chair at a duly convened meeting, the Committee shall select a temporary substitute from among its members to serve as chair of the meeting. The Chair of the Committee shall serve as “Administrator” of the Company’s Policy Regarding Insider Trading and Dissemination of Inside Information in the circumstances and to the extent described therein.</w:t>
      </w:r>
    </w:p>
    <w:p>
      <w:pPr>
        <w:spacing w:after="0" w:line="157" w:lineRule="exact"/>
        <w:rPr>
          <w:sz w:val="20"/>
          <w:szCs w:val="20"/>
          <w:color w:val="auto"/>
        </w:rPr>
      </w:pPr>
    </w:p>
    <w:p>
      <w:pPr>
        <w:ind w:left="1300" w:hanging="644"/>
        <w:spacing w:after="0"/>
        <w:tabs>
          <w:tab w:leader="none" w:pos="130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member of the Committee shall be an “independent” director in accordance with the applicable listing rules of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and the Company’s Corporate Governance Guidelines, subject to any exceptions or cure periods that are applicable pursuant to the foregoing requirements and the phase-in schedules permitted under the rules of Nasdaq under which the Committee is required to have only one independent member at the time of listing, a majority of independent members within 90 days of listing and all independent members within one year of listing. Any action duly taken by the Committee shall be valid and effective, whether or not the members of the Committee at the time of such action are later determined not to have satisfied the requirements for membership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9" w:name="page420"/>
    <w:bookmarkEnd w:id="419"/>
    <w:p>
      <w:pPr>
        <w:ind w:left="660" w:hanging="652"/>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discharging its role, the Committee is empowered to inquire into any matter it considers appropriate to carry out its responsibilities, with access to all books, records, facilities and personnel of the Company, and, subject to the direction of the Board, the Committee is authorized and delegated the authority to act on behalf of the Board with respect to any matter necessary or appropriate to the accomplishment of its purposes.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Committee shall have the sole discretion to retain or obtain advice from, oversee and terminate any director search or recruitment consultant, legal counsel or other adviser to the Committee and be directly responsible for the appointment, compensation and oversight of any work of such adviser retained by the Committee, and the Company will provide appropriate funding (as determined by the Committee) for the payment of reasonable compensation to any such adviser.</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COMMITTEE MEETINGS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Committee shall meet as often as necessary to carry out its responsibilities, which, following the Company’s initial business combination, shall be at least quarterly.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shall establish its own schedule of meetings. The Committee may also act by unanimous written consent of its members.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meetings shall be given to all Committee members or may be waived, in the same manner as required for meetings of the Board. Meetings of the Committee may be held by means of conference telephone or other communications equipment by means of which all persons participating in the meeting can hear and speak with each other. A majority of the members of the Committee shall constitute a quorum for a meeting and the affirmative vote of a majority of members present at a meeting at which a quorum is present shall constitute the action of the Committee. The Committee shall otherwise establish its own rules of procedure.</w:t>
      </w:r>
    </w:p>
    <w:p>
      <w:pPr>
        <w:spacing w:after="0" w:line="184" w:lineRule="exact"/>
        <w:rPr>
          <w:sz w:val="20"/>
          <w:szCs w:val="20"/>
          <w:color w:val="auto"/>
        </w:rPr>
      </w:pPr>
    </w:p>
    <w:p>
      <w:pPr>
        <w:ind w:left="660" w:hanging="652"/>
        <w:spacing w:after="0"/>
        <w:tabs>
          <w:tab w:leader="none" w:pos="6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Committee, by resolution approved by a majority of the Committee, may form and delegate any of its responsibilities to a subcommittee so long as such subcommittee is solely comprised of one or more members of the Committee and such delegation is not otherwise inconsistent with law and applicable rules and regulations of the U.S. Securities and Exchange Commission and Nasdaq.</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KEY RESPONSIBILITIES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responsibilities are set forth as a guide for fulfilling the Committee’s purposes in such manner as the Committee determines is appropriate:</w:t>
      </w:r>
    </w:p>
    <w:p>
      <w:pPr>
        <w:spacing w:after="0" w:line="170" w:lineRule="exact"/>
        <w:rPr>
          <w:sz w:val="20"/>
          <w:szCs w:val="20"/>
          <w:color w:val="auto"/>
        </w:rPr>
      </w:pPr>
    </w:p>
    <w:p>
      <w:pPr>
        <w:jc w:val="both"/>
        <w:ind w:firstLine="656"/>
        <w:spacing w:after="0" w:line="259" w:lineRule="auto"/>
        <w:tabs>
          <w:tab w:leader="none" w:pos="93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recommend to the Board for approval, review the effectiveness of, recommend modifications as appropriate to, and review Company disclosures concerning: (a) the Company’s policies and procedures for identifying and screening Board nominee candidates; (b) the process and criteria (including experience, qualifications, attributes, diversity or skills in light of the Company’s business and structure) used to evaluate Board membership and director independence; and (c) any policies with regard to diversity on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0" w:name="page421"/>
    <w:bookmarkEnd w:id="420"/>
    <w:p>
      <w:pPr>
        <w:jc w:val="both"/>
        <w:ind w:firstLine="656"/>
        <w:spacing w:after="0" w:line="301" w:lineRule="auto"/>
        <w:tabs>
          <w:tab w:leader="none" w:pos="903" w:val="left"/>
        </w:tabs>
        <w:numPr>
          <w:ilvl w:val="0"/>
          <w:numId w:val="353"/>
        </w:numPr>
        <w:rPr>
          <w:rFonts w:ascii="Arial" w:cs="Arial" w:eastAsia="Arial" w:hAnsi="Arial"/>
          <w:sz w:val="16"/>
          <w:szCs w:val="16"/>
          <w:color w:val="auto"/>
        </w:rPr>
      </w:pPr>
      <w:r>
        <w:rPr>
          <w:rFonts w:ascii="Arial" w:cs="Arial" w:eastAsia="Arial" w:hAnsi="Arial"/>
          <w:sz w:val="16"/>
          <w:szCs w:val="16"/>
          <w:color w:val="auto"/>
        </w:rPr>
        <w:t>identify and screen director candidates (including incumbent directors for potential renomination and candidates recommended by stockholders in accordance with the Company’s policies as set forth in its proxy statement) consistent with criteria approved by the Board, and recommend to the Board candidates for: (a) nomination for election or re-election by the stockholders; and (b) any Board vacancies that are to be filled by the Board subject to any rights regarding the selection of directors by holders of preferred stock and any other contractual or other commitments of the Company;</w:t>
      </w:r>
    </w:p>
    <w:p>
      <w:pPr>
        <w:spacing w:after="0" w:line="157" w:lineRule="exact"/>
        <w:rPr>
          <w:rFonts w:ascii="Arial" w:cs="Arial" w:eastAsia="Arial" w:hAnsi="Arial"/>
          <w:sz w:val="16"/>
          <w:szCs w:val="16"/>
          <w:color w:val="auto"/>
        </w:rPr>
      </w:pPr>
    </w:p>
    <w:p>
      <w:pPr>
        <w:ind w:firstLine="656"/>
        <w:spacing w:after="0" w:line="277" w:lineRule="auto"/>
        <w:tabs>
          <w:tab w:leader="none" w:pos="93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oversee the Company’s policies and procedures with respect to the consideration of director candidates recommended by stockholders, including the submission of any proxy access nominees by stockholders;</w:t>
      </w:r>
    </w:p>
    <w:p>
      <w:pPr>
        <w:spacing w:after="0" w:line="170" w:lineRule="exact"/>
        <w:rPr>
          <w:rFonts w:ascii="Arial" w:cs="Arial" w:eastAsia="Arial" w:hAnsi="Arial"/>
          <w:sz w:val="18"/>
          <w:szCs w:val="18"/>
          <w:color w:val="auto"/>
        </w:rPr>
      </w:pPr>
    </w:p>
    <w:p>
      <w:pPr>
        <w:ind w:firstLine="656"/>
        <w:spacing w:after="0" w:line="277" w:lineRule="auto"/>
        <w:tabs>
          <w:tab w:leader="none" w:pos="90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Company disclosures concerning the specific experience, qualifications, attributes or skills that led to the conclusion that each director and nominee should serve as a director in light of the Company’s business and structure;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annually the relationships between directors, the Company and members of management and recommend to the Board whether each director qualifies as “independent” under the Board’s definition of “independence” and the applicable rules of Nasdaq and the Company’s Corporate Governance Guidelines;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8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assess the appropriateness of a director continuing to serve on the Board upon a substantial change in the director’s principal occupation or business association from the position such director held when originally invited to join the Board, and recommend to the Board any action to be taken with respect thereto;</w:t>
      </w:r>
    </w:p>
    <w:p>
      <w:pPr>
        <w:spacing w:after="0" w:line="183" w:lineRule="exact"/>
        <w:rPr>
          <w:rFonts w:ascii="Arial" w:cs="Arial" w:eastAsia="Arial" w:hAnsi="Arial"/>
          <w:sz w:val="18"/>
          <w:szCs w:val="18"/>
          <w:color w:val="auto"/>
        </w:rPr>
      </w:pPr>
    </w:p>
    <w:p>
      <w:pPr>
        <w:ind w:firstLine="656"/>
        <w:spacing w:after="0" w:line="308" w:lineRule="auto"/>
        <w:tabs>
          <w:tab w:leader="none" w:pos="912"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assess annually whether the composition of the Board as a whole reflects the appropriate balance of independence, sound judgment, business specialization, technical skills, diversity and other desired qualities, and recommend any appropriate changes to the Board;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0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 review the Board’s leadership structure in light of the specific characteristics or circumstances of the Company and recommend any changes to the Board for approval; (ii) discuss in coordination with the Audit Committee the effect on the Board’s leadership structure of the Board’s role in the risk oversight of the Company; and (iii) review and approve Company disclosures relating to Board leadership;</w:t>
      </w:r>
    </w:p>
    <w:p>
      <w:pPr>
        <w:spacing w:after="0" w:line="183" w:lineRule="exact"/>
        <w:rPr>
          <w:rFonts w:ascii="Arial" w:cs="Arial" w:eastAsia="Arial" w:hAnsi="Arial"/>
          <w:sz w:val="18"/>
          <w:szCs w:val="18"/>
          <w:color w:val="auto"/>
        </w:rPr>
      </w:pPr>
    </w:p>
    <w:p>
      <w:pPr>
        <w:ind w:right="20" w:firstLine="656"/>
        <w:spacing w:after="0" w:line="277" w:lineRule="auto"/>
        <w:tabs>
          <w:tab w:leader="none" w:pos="87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periodically the committee structure of the Board and recommend to the Board the appointment of directors to Board committees and assignment of committee chairs;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review periodically the size of the Board and recommend to the Board any appropriate changes;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coordinate with management to develop an appropriate director orientation program and identify continuing education opportunities;</w:t>
      </w:r>
    </w:p>
    <w:p>
      <w:pPr>
        <w:spacing w:after="0" w:line="236" w:lineRule="exact"/>
        <w:rPr>
          <w:rFonts w:ascii="Arial" w:cs="Arial" w:eastAsia="Arial" w:hAnsi="Arial"/>
          <w:sz w:val="17"/>
          <w:szCs w:val="17"/>
          <w:color w:val="auto"/>
        </w:rPr>
      </w:pPr>
    </w:p>
    <w:p>
      <w:pPr>
        <w:ind w:firstLine="656"/>
        <w:spacing w:after="0" w:line="277" w:lineRule="auto"/>
        <w:tabs>
          <w:tab w:leader="none" w:pos="90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coordinate and oversee the annual self-evaluation of the role and performance of the Board, its committees, individual directors and management in the governance of the Company;</w:t>
      </w:r>
    </w:p>
    <w:p>
      <w:pPr>
        <w:spacing w:after="0" w:line="170" w:lineRule="exact"/>
        <w:rPr>
          <w:rFonts w:ascii="Arial" w:cs="Arial" w:eastAsia="Arial" w:hAnsi="Arial"/>
          <w:sz w:val="18"/>
          <w:szCs w:val="18"/>
          <w:color w:val="auto"/>
        </w:rPr>
      </w:pPr>
    </w:p>
    <w:p>
      <w:pPr>
        <w:ind w:firstLine="656"/>
        <w:spacing w:after="0" w:line="277" w:lineRule="auto"/>
        <w:tabs>
          <w:tab w:leader="none" w:pos="95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develop and recommend to the Board, review the effectiveness of, and recommend modifications as appropriate to, the Corporate Governance Guidelines and other governance policies of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1" w:name="page422"/>
    <w:bookmarkEnd w:id="421"/>
    <w:p>
      <w:pPr>
        <w:ind w:left="920" w:hanging="264"/>
        <w:spacing w:after="0"/>
        <w:tabs>
          <w:tab w:leader="none" w:pos="92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review and address conflicts of interest of directors and executive officers, and the manner in which any such conflicts are to be monitored;</w:t>
      </w:r>
    </w:p>
    <w:p>
      <w:pPr>
        <w:spacing w:after="0" w:line="248" w:lineRule="exact"/>
        <w:rPr>
          <w:rFonts w:ascii="Arial" w:cs="Arial" w:eastAsia="Arial" w:hAnsi="Arial"/>
          <w:sz w:val="16"/>
          <w:szCs w:val="16"/>
          <w:color w:val="auto"/>
        </w:rPr>
      </w:pPr>
    </w:p>
    <w:p>
      <w:pPr>
        <w:ind w:right="20" w:firstLine="656"/>
        <w:spacing w:after="0" w:line="277" w:lineRule="auto"/>
        <w:tabs>
          <w:tab w:leader="none" w:pos="91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review on a periodic basis, and as necessary when specific issues arise, relations with the Company’s stockholders and advise the Board on effective and appropriate stockholder communications;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review emerging corporate governance issues and practices, including proxy advisory firm policies and recommendations;</w:t>
      </w:r>
    </w:p>
    <w:p>
      <w:pPr>
        <w:spacing w:after="0" w:line="225" w:lineRule="exact"/>
        <w:rPr>
          <w:rFonts w:ascii="Arial" w:cs="Arial" w:eastAsia="Arial" w:hAnsi="Arial"/>
          <w:sz w:val="18"/>
          <w:szCs w:val="18"/>
          <w:color w:val="auto"/>
        </w:rPr>
      </w:pPr>
    </w:p>
    <w:p>
      <w:pPr>
        <w:ind w:firstLine="656"/>
        <w:spacing w:after="0" w:line="277" w:lineRule="auto"/>
        <w:tabs>
          <w:tab w:leader="none" w:pos="928"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conduct an annual self-evaluation of the performance of the Committee, including its effectiveness and compliance with this charter, and recommend to the Board such amendments of this charter as the Committee deems appropriate;</w:t>
      </w:r>
    </w:p>
    <w:p>
      <w:pPr>
        <w:spacing w:after="0" w:line="170" w:lineRule="exact"/>
        <w:rPr>
          <w:rFonts w:ascii="Arial" w:cs="Arial" w:eastAsia="Arial" w:hAnsi="Arial"/>
          <w:sz w:val="18"/>
          <w:szCs w:val="18"/>
          <w:color w:val="auto"/>
        </w:rPr>
      </w:pPr>
    </w:p>
    <w:p>
      <w:pPr>
        <w:ind w:firstLine="656"/>
        <w:spacing w:after="0" w:line="277" w:lineRule="auto"/>
        <w:tabs>
          <w:tab w:leader="none" w:pos="883"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report regularly to the Board on Committee findings, recommendations and any other matters the Committee deems appropriate or the Board requests, and maintain minutes or other records of Committee meetings and activities;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review all determinations and interpretations under the Company’s Policy Regarding Insider Trading and Dissemination of Inside Information;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880" w:hanging="224"/>
        <w:spacing w:after="0"/>
        <w:tabs>
          <w:tab w:leader="none" w:pos="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undertake such other responsibilities as the Board may delegate or assign to the Committee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 connection with the filing by CM Life Sciences, Inc. of the Registration Statement on Form S-1 with the Securities and Exchange Commission under the Securities Act of 1933, as amended (the “Securities Act”), I hereby consent, pursuant to Rule 438 of the Securities Act, to being named as a nominee to the board of directors of CM Life Sciences,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24, 2020</w:t>
      </w:r>
      <w:r>
        <w:rPr>
          <w:sz w:val="20"/>
          <w:szCs w:val="20"/>
          <w:color w:val="auto"/>
        </w:rPr>
        <w:tab/>
      </w:r>
      <w:r>
        <w:rPr>
          <w:rFonts w:ascii="Arial" w:cs="Arial" w:eastAsia="Arial" w:hAnsi="Arial"/>
          <w:sz w:val="15"/>
          <w:szCs w:val="15"/>
          <w:color w:val="auto"/>
        </w:rPr>
        <w:t>/s/ Sean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Sean George</w:t>
      </w:r>
    </w:p>
    <w:p>
      <w:pPr>
        <w:sectPr>
          <w:pgSz w:w="11900" w:h="16838" w:orient="portrait"/>
          <w:cols w:equalWidth="0" w:num="1">
            <w:col w:w="11240"/>
          </w:cols>
          <w:pgMar w:left="320" w:top="121" w:right="3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 connection with the filing by CM Life Sciences, Inc. of the Registration Statement on Form S-1 with the Securities and Exchange Commission under the Securities Act of 1933, as amended (the “Securities Act”), I hereby consent, pursuant to Rule 438 of the Securities Act, to being named as a nominee to the board of directors of CM Life Sciences,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24, 2020</w:t>
      </w:r>
      <w:r>
        <w:rPr>
          <w:sz w:val="20"/>
          <w:szCs w:val="20"/>
          <w:color w:val="auto"/>
        </w:rPr>
        <w:tab/>
      </w:r>
      <w:r>
        <w:rPr>
          <w:rFonts w:ascii="Arial" w:cs="Arial" w:eastAsia="Arial" w:hAnsi="Arial"/>
          <w:sz w:val="16"/>
          <w:szCs w:val="16"/>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Emily Leproust</w:t>
      </w:r>
    </w:p>
    <w:p>
      <w:pPr>
        <w:sectPr>
          <w:pgSz w:w="11900" w:h="16838" w:orient="portrait"/>
          <w:cols w:equalWidth="0" w:num="1">
            <w:col w:w="11240"/>
          </w:cols>
          <w:pgMar w:left="320" w:top="121" w:right="3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 connection with the filing by CM Life Sciences, Inc. of the Registration Statement on Form S-1 with the Securities and Exchange Commission under the Securities Act of 1933, as amended (the “Securities Act”), I hereby consent, pursuant to Rule 438 of the Securities Act, to being named as a nominee to the board of directors of CM Life Sciences,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August 24, 2020</w:t>
      </w:r>
      <w:r>
        <w:rPr>
          <w:sz w:val="20"/>
          <w:szCs w:val="20"/>
          <w:color w:val="auto"/>
        </w:rPr>
        <w:tab/>
      </w:r>
      <w:r>
        <w:rPr>
          <w:rFonts w:ascii="Arial" w:cs="Arial" w:eastAsia="Arial" w:hAnsi="Arial"/>
          <w:sz w:val="16"/>
          <w:szCs w:val="16"/>
          <w:color w:val="auto"/>
        </w:rPr>
        <w:t>/s/ Nat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Nat Turner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E6400E6"/>
    <w:multiLevelType w:val="hybridMultilevel"/>
    <w:lvl w:ilvl="0">
      <w:lvlJc w:val="left"/>
      <w:lvlText w:val="(%1)"/>
      <w:numFmt w:val="decimal"/>
      <w:start w:val="1"/>
    </w:lvl>
  </w:abstractNum>
  <w:abstractNum w:abstractNumId="1">
    <w:nsid w:val="14217E23"/>
    <w:multiLevelType w:val="hybridMultilevel"/>
    <w:lvl w:ilvl="0">
      <w:lvlJc w:val="left"/>
      <w:lvlText w:val="(%1)"/>
      <w:numFmt w:val="decimal"/>
      <w:start w:val="1"/>
    </w:lvl>
  </w:abstractNum>
  <w:abstractNum w:abstractNumId="2">
    <w:nsid w:val="710757D0"/>
    <w:multiLevelType w:val="hybridMultilevel"/>
    <w:lvl w:ilvl="0">
      <w:lvlJc w:val="left"/>
      <w:lvlText w:val="•"/>
      <w:numFmt w:val="bullet"/>
      <w:start w:val="1"/>
    </w:lvl>
  </w:abstractNum>
  <w:abstractNum w:abstractNumId="3">
    <w:nsid w:val="5015CD1A"/>
    <w:multiLevelType w:val="hybridMultilevel"/>
    <w:lvl w:ilvl="0">
      <w:lvlJc w:val="left"/>
      <w:lvlText w:val="•"/>
      <w:numFmt w:val="bullet"/>
      <w:start w:val="1"/>
    </w:lvl>
  </w:abstractNum>
  <w:abstractNum w:abstractNumId="4">
    <w:nsid w:val="424479DA"/>
    <w:multiLevelType w:val="hybridMultilevel"/>
    <w:lvl w:ilvl="0">
      <w:lvlJc w:val="left"/>
      <w:lvlText w:val="•"/>
      <w:numFmt w:val="bullet"/>
      <w:start w:val="1"/>
    </w:lvl>
  </w:abstractNum>
  <w:abstractNum w:abstractNumId="5">
    <w:nsid w:val="1A9A9E69"/>
    <w:multiLevelType w:val="hybridMultilevel"/>
    <w:lvl w:ilvl="0">
      <w:lvlJc w:val="left"/>
      <w:lvlText w:val="(%1)"/>
      <w:numFmt w:val="lowerLetter"/>
      <w:start w:val="1"/>
    </w:lvl>
  </w:abstractNum>
  <w:abstractNum w:abstractNumId="6">
    <w:nsid w:val="475E256A"/>
    <w:multiLevelType w:val="hybridMultilevel"/>
    <w:lvl w:ilvl="0">
      <w:lvlJc w:val="left"/>
      <w:lvlText w:val="(%1)"/>
      <w:numFmt w:val="decimal"/>
      <w:start w:val="2"/>
    </w:lvl>
  </w:abstractNum>
  <w:abstractNum w:abstractNumId="7">
    <w:nsid w:val="368DB37E"/>
    <w:multiLevelType w:val="hybridMultilevel"/>
    <w:lvl w:ilvl="0">
      <w:lvlJc w:val="left"/>
      <w:lvlText w:val="•"/>
      <w:numFmt w:val="bullet"/>
      <w:start w:val="1"/>
    </w:lvl>
  </w:abstractNum>
  <w:abstractNum w:abstractNumId="8">
    <w:nsid w:val="6A3B714C"/>
    <w:multiLevelType w:val="hybridMultilevel"/>
    <w:lvl w:ilvl="0">
      <w:lvlJc w:val="left"/>
      <w:lvlText w:val="(%1)"/>
      <w:numFmt w:val="decimal"/>
      <w:start w:val="1"/>
    </w:lvl>
  </w:abstractNum>
  <w:abstractNum w:abstractNumId="9">
    <w:nsid w:val="327B517E"/>
    <w:multiLevelType w:val="hybridMultilevel"/>
    <w:lvl w:ilvl="0">
      <w:lvlJc w:val="left"/>
      <w:lvlText w:val="•"/>
      <w:numFmt w:val="bullet"/>
      <w:start w:val="1"/>
    </w:lvl>
  </w:abstractNum>
  <w:abstractNum w:abstractNumId="10">
    <w:nsid w:val="1F461B51"/>
    <w:multiLevelType w:val="hybridMultilevel"/>
    <w:lvl w:ilvl="0">
      <w:lvlJc w:val="left"/>
      <w:lvlText w:val="•"/>
      <w:numFmt w:val="bullet"/>
      <w:start w:val="1"/>
    </w:lvl>
  </w:abstractNum>
  <w:abstractNum w:abstractNumId="11">
    <w:nsid w:val="29BACF25"/>
    <w:multiLevelType w:val="hybridMultilevel"/>
    <w:lvl w:ilvl="0">
      <w:lvlJc w:val="left"/>
      <w:lvlText w:val="•"/>
      <w:numFmt w:val="bullet"/>
      <w:start w:val="1"/>
    </w:lvl>
  </w:abstractNum>
  <w:abstractNum w:abstractNumId="12">
    <w:nsid w:val="5D5BABB3"/>
    <w:multiLevelType w:val="hybridMultilevel"/>
    <w:lvl w:ilvl="0">
      <w:lvlJc w:val="left"/>
      <w:lvlText w:val="•"/>
      <w:numFmt w:val="bullet"/>
      <w:start w:val="1"/>
    </w:lvl>
  </w:abstractNum>
  <w:abstractNum w:abstractNumId="13">
    <w:nsid w:val="51BF6B48"/>
    <w:multiLevelType w:val="hybridMultilevel"/>
    <w:lvl w:ilvl="0">
      <w:lvlJc w:val="left"/>
      <w:lvlText w:val="•"/>
      <w:numFmt w:val="bullet"/>
      <w:start w:val="1"/>
    </w:lvl>
  </w:abstractNum>
  <w:abstractNum w:abstractNumId="14">
    <w:nsid w:val="7E0F6384"/>
    <w:multiLevelType w:val="hybridMultilevel"/>
    <w:lvl w:ilvl="0">
      <w:lvlJc w:val="left"/>
      <w:lvlText w:val="(%1)"/>
      <w:numFmt w:val="lowerRoman"/>
      <w:start w:val="3"/>
    </w:lvl>
  </w:abstractNum>
  <w:abstractNum w:abstractNumId="15">
    <w:nsid w:val="2B4B8B53"/>
    <w:multiLevelType w:val="hybridMultilevel"/>
    <w:lvl w:ilvl="0">
      <w:lvlJc w:val="left"/>
      <w:lvlText w:val="•"/>
      <w:numFmt w:val="bullet"/>
      <w:start w:val="1"/>
    </w:lvl>
  </w:abstractNum>
  <w:abstractNum w:abstractNumId="16">
    <w:nsid w:val="72E3413A"/>
    <w:multiLevelType w:val="hybridMultilevel"/>
    <w:lvl w:ilvl="0">
      <w:lvlJc w:val="left"/>
      <w:lvlText w:val="•"/>
      <w:numFmt w:val="bullet"/>
      <w:start w:val="1"/>
    </w:lvl>
  </w:abstractNum>
  <w:abstractNum w:abstractNumId="17">
    <w:nsid w:val="116AE494"/>
    <w:multiLevelType w:val="hybridMultilevel"/>
    <w:lvl w:ilvl="0">
      <w:lvlJc w:val="left"/>
      <w:lvlText w:val="(%1)"/>
      <w:numFmt w:val="lowerRoman"/>
      <w:start w:val="1"/>
    </w:lvl>
  </w:abstractNum>
  <w:abstractNum w:abstractNumId="18">
    <w:nsid w:val="3494B2FB"/>
    <w:multiLevelType w:val="hybridMultilevel"/>
    <w:lvl w:ilvl="0">
      <w:lvlJc w:val="left"/>
      <w:lvlText w:val="•"/>
      <w:numFmt w:val="bullet"/>
      <w:start w:val="1"/>
    </w:lvl>
  </w:abstractNum>
  <w:abstractNum w:abstractNumId="19">
    <w:nsid w:val="B13A31"/>
    <w:multiLevelType w:val="hybridMultilevel"/>
    <w:lvl w:ilvl="0">
      <w:lvlJc w:val="left"/>
      <w:lvlText w:val="•"/>
      <w:numFmt w:val="bullet"/>
      <w:start w:val="1"/>
    </w:lvl>
  </w:abstractNum>
  <w:abstractNum w:abstractNumId="20">
    <w:nsid w:val="64429599"/>
    <w:multiLevelType w:val="hybridMultilevel"/>
    <w:lvl w:ilvl="0">
      <w:lvlJc w:val="left"/>
      <w:lvlText w:val="(%1)"/>
      <w:numFmt w:val="lowerRoman"/>
      <w:start w:val="2"/>
    </w:lvl>
  </w:abstractNum>
  <w:abstractNum w:abstractNumId="21">
    <w:nsid w:val="631F1690"/>
    <w:multiLevelType w:val="hybridMultilevel"/>
    <w:lvl w:ilvl="0">
      <w:lvlJc w:val="left"/>
      <w:lvlText w:val="•"/>
      <w:numFmt w:val="bullet"/>
      <w:start w:val="1"/>
    </w:lvl>
  </w:abstractNum>
  <w:abstractNum w:abstractNumId="22">
    <w:nsid w:val="25973E32"/>
    <w:multiLevelType w:val="hybridMultilevel"/>
    <w:lvl w:ilvl="0">
      <w:lvlJc w:val="left"/>
      <w:lvlText w:val="•"/>
      <w:numFmt w:val="bullet"/>
      <w:start w:val="1"/>
    </w:lvl>
  </w:abstractNum>
  <w:abstractNum w:abstractNumId="23">
    <w:nsid w:val="EAD6F57"/>
    <w:multiLevelType w:val="hybridMultilevel"/>
    <w:lvl w:ilvl="0">
      <w:lvlJc w:val="left"/>
      <w:lvlText w:val="•"/>
      <w:numFmt w:val="bullet"/>
      <w:start w:val="1"/>
    </w:lvl>
  </w:abstractNum>
  <w:abstractNum w:abstractNumId="24">
    <w:nsid w:val="6EC9D844"/>
    <w:multiLevelType w:val="hybridMultilevel"/>
    <w:lvl w:ilvl="0">
      <w:lvlJc w:val="left"/>
      <w:lvlText w:val="(%1)"/>
      <w:numFmt w:val="lowerRoman"/>
      <w:start w:val="1"/>
    </w:lvl>
  </w:abstractNum>
  <w:abstractNum w:abstractNumId="25">
    <w:nsid w:val="5C49EAEE"/>
    <w:multiLevelType w:val="hybridMultilevel"/>
    <w:lvl w:ilvl="0">
      <w:lvlJc w:val="left"/>
      <w:lvlText w:val="(%1)"/>
      <w:numFmt w:val="lowerRoman"/>
      <w:start w:val="2"/>
    </w:lvl>
  </w:abstractNum>
  <w:abstractNum w:abstractNumId="26">
    <w:nsid w:val="64AF49B"/>
    <w:multiLevelType w:val="hybridMultilevel"/>
    <w:lvl w:ilvl="0">
      <w:lvlJc w:val="left"/>
      <w:lvlText w:val="•"/>
      <w:numFmt w:val="bullet"/>
      <w:start w:val="1"/>
    </w:lvl>
  </w:abstractNum>
  <w:abstractNum w:abstractNumId="27">
    <w:nsid w:val="397C46BC"/>
    <w:multiLevelType w:val="hybridMultilevel"/>
    <w:lvl w:ilvl="0">
      <w:lvlJc w:val="left"/>
      <w:lvlText w:val="(%1)"/>
      <w:numFmt w:val="lowerRoman"/>
      <w:start w:val="2"/>
    </w:lvl>
  </w:abstractNum>
  <w:abstractNum w:abstractNumId="28">
    <w:nsid w:val="7E448DE9"/>
    <w:multiLevelType w:val="hybridMultilevel"/>
    <w:lvl w:ilvl="0">
      <w:lvlJc w:val="left"/>
      <w:lvlText w:val="•"/>
      <w:numFmt w:val="bullet"/>
      <w:start w:val="1"/>
    </w:lvl>
  </w:abstractNum>
  <w:abstractNum w:abstractNumId="29">
    <w:nsid w:val="5A9CC3E5"/>
    <w:multiLevelType w:val="hybridMultilevel"/>
    <w:lvl w:ilvl="0">
      <w:lvlJc w:val="left"/>
      <w:lvlText w:val="•"/>
      <w:numFmt w:val="bullet"/>
      <w:start w:val="1"/>
    </w:lvl>
  </w:abstractNum>
  <w:abstractNum w:abstractNumId="30">
    <w:nsid w:val="1AFE3625"/>
    <w:multiLevelType w:val="hybridMultilevel"/>
    <w:lvl w:ilvl="0">
      <w:lvlJc w:val="left"/>
      <w:lvlText w:val="•"/>
      <w:numFmt w:val="bullet"/>
      <w:start w:val="1"/>
    </w:lvl>
  </w:abstractNum>
  <w:abstractNum w:abstractNumId="31">
    <w:nsid w:val="3CA88ECF"/>
    <w:multiLevelType w:val="hybridMultilevel"/>
    <w:lvl w:ilvl="0">
      <w:lvlJc w:val="left"/>
      <w:lvlText w:val="(%1)"/>
      <w:numFmt w:val="decimal"/>
      <w:start w:val="1"/>
    </w:lvl>
  </w:abstractNum>
  <w:abstractNum w:abstractNumId="32">
    <w:nsid w:val="6EBE4208"/>
    <w:multiLevelType w:val="hybridMultilevel"/>
    <w:lvl w:ilvl="0">
      <w:lvlJc w:val="left"/>
      <w:lvlText w:val="(%1)"/>
      <w:numFmt w:val="decimal"/>
      <w:start w:val="3"/>
    </w:lvl>
  </w:abstractNum>
  <w:abstractNum w:abstractNumId="33">
    <w:nsid w:val="C058DF5"/>
    <w:multiLevelType w:val="hybridMultilevel"/>
    <w:lvl w:ilvl="0">
      <w:lvlJc w:val="left"/>
      <w:lvlText w:val="(%1)"/>
      <w:numFmt w:val="lowerLetter"/>
      <w:start w:val="1"/>
    </w:lvl>
  </w:abstractNum>
  <w:abstractNum w:abstractNumId="34">
    <w:nsid w:val="CBE5BE9"/>
    <w:multiLevelType w:val="hybridMultilevel"/>
    <w:lvl w:ilvl="0">
      <w:lvlJc w:val="left"/>
      <w:lvlText w:val="(%1)"/>
      <w:numFmt w:val="decimal"/>
      <w:start w:val="1"/>
    </w:lvl>
  </w:abstractNum>
  <w:abstractNum w:abstractNumId="35">
    <w:nsid w:val="3102BBE2"/>
    <w:multiLevelType w:val="hybridMultilevel"/>
    <w:lvl w:ilvl="0">
      <w:lvlJc w:val="left"/>
      <w:lvlText w:val="(%1)"/>
      <w:numFmt w:val="decimal"/>
      <w:start w:val="1"/>
    </w:lvl>
  </w:abstractNum>
  <w:abstractNum w:abstractNumId="36">
    <w:nsid w:val="26A02C5E"/>
    <w:multiLevelType w:val="hybridMultilevel"/>
    <w:lvl w:ilvl="0">
      <w:lvlJc w:val="left"/>
      <w:lvlText w:val="(%1)"/>
      <w:numFmt w:val="decimal"/>
      <w:start w:val="1"/>
    </w:lvl>
  </w:abstractNum>
  <w:abstractNum w:abstractNumId="37">
    <w:nsid w:val="541C8153"/>
    <w:multiLevelType w:val="hybridMultilevel"/>
    <w:lvl w:ilvl="0">
      <w:lvlJc w:val="left"/>
      <w:lvlText w:val="•"/>
      <w:numFmt w:val="bullet"/>
      <w:start w:val="1"/>
    </w:lvl>
  </w:abstractNum>
  <w:abstractNum w:abstractNumId="38">
    <w:nsid w:val="67906F60"/>
    <w:multiLevelType w:val="hybridMultilevel"/>
    <w:lvl w:ilvl="0">
      <w:lvlJc w:val="left"/>
      <w:lvlText w:val="•"/>
      <w:numFmt w:val="bullet"/>
      <w:start w:val="1"/>
    </w:lvl>
  </w:abstractNum>
  <w:abstractNum w:abstractNumId="39">
    <w:nsid w:val="10DB9DAA"/>
    <w:multiLevelType w:val="hybridMultilevel"/>
    <w:lvl w:ilvl="0">
      <w:lvlJc w:val="left"/>
      <w:lvlText w:val="•"/>
      <w:numFmt w:val="bullet"/>
      <w:start w:val="1"/>
    </w:lvl>
  </w:abstractNum>
  <w:abstractNum w:abstractNumId="40">
    <w:nsid w:val="697D2D2"/>
    <w:multiLevelType w:val="hybridMultilevel"/>
    <w:lvl w:ilvl="0">
      <w:lvlJc w:val="left"/>
      <w:lvlText w:val="(%1)"/>
      <w:numFmt w:val="lowerRoman"/>
      <w:start w:val="2"/>
    </w:lvl>
  </w:abstractNum>
  <w:abstractNum w:abstractNumId="41">
    <w:nsid w:val="6D68AB2"/>
    <w:multiLevelType w:val="hybridMultilevel"/>
    <w:lvl w:ilvl="0">
      <w:lvlJc w:val="left"/>
      <w:lvlText w:val="•"/>
      <w:numFmt w:val="bullet"/>
      <w:start w:val="1"/>
    </w:lvl>
  </w:abstractNum>
  <w:abstractNum w:abstractNumId="42">
    <w:nsid w:val="3A966CD0"/>
    <w:multiLevelType w:val="hybridMultilevel"/>
    <w:lvl w:ilvl="0">
      <w:lvlJc w:val="left"/>
      <w:lvlText w:val="•"/>
      <w:numFmt w:val="bullet"/>
      <w:start w:val="1"/>
    </w:lvl>
  </w:abstractNum>
  <w:abstractNum w:abstractNumId="43">
    <w:nsid w:val="63F37E85"/>
    <w:multiLevelType w:val="hybridMultilevel"/>
    <w:lvl w:ilvl="0">
      <w:lvlJc w:val="left"/>
      <w:lvlText w:val="•"/>
      <w:numFmt w:val="bullet"/>
      <w:start w:val="1"/>
    </w:lvl>
  </w:abstractNum>
  <w:abstractNum w:abstractNumId="44">
    <w:nsid w:val="5895F5FA"/>
    <w:multiLevelType w:val="hybridMultilevel"/>
    <w:lvl w:ilvl="0">
      <w:lvlJc w:val="left"/>
      <w:lvlText w:val="•"/>
      <w:numFmt w:val="bullet"/>
      <w:start w:val="1"/>
    </w:lvl>
  </w:abstractNum>
  <w:abstractNum w:abstractNumId="45">
    <w:nsid w:val="38A5D054"/>
    <w:multiLevelType w:val="hybridMultilevel"/>
    <w:lvl w:ilvl="0">
      <w:lvlJc w:val="left"/>
      <w:lvlText w:val="•"/>
      <w:numFmt w:val="bullet"/>
      <w:start w:val="1"/>
    </w:lvl>
  </w:abstractNum>
  <w:abstractNum w:abstractNumId="46">
    <w:nsid w:val="F3F09D8"/>
    <w:multiLevelType w:val="hybridMultilevel"/>
    <w:lvl w:ilvl="0">
      <w:lvlJc w:val="left"/>
      <w:lvlText w:val="•"/>
      <w:numFmt w:val="bullet"/>
      <w:start w:val="1"/>
    </w:lvl>
  </w:abstractNum>
  <w:abstractNum w:abstractNumId="47">
    <w:nsid w:val="4B793735"/>
    <w:multiLevelType w:val="hybridMultilevel"/>
    <w:lvl w:ilvl="0">
      <w:lvlJc w:val="left"/>
      <w:lvlText w:val="•"/>
      <w:numFmt w:val="bullet"/>
      <w:start w:val="1"/>
    </w:lvl>
  </w:abstractNum>
  <w:abstractNum w:abstractNumId="48">
    <w:nsid w:val="4A10B4E8"/>
    <w:multiLevelType w:val="hybridMultilevel"/>
    <w:lvl w:ilvl="0">
      <w:lvlJc w:val="left"/>
      <w:lvlText w:val="•"/>
      <w:numFmt w:val="bullet"/>
      <w:start w:val="1"/>
    </w:lvl>
  </w:abstractNum>
  <w:abstractNum w:abstractNumId="49">
    <w:nsid w:val="43D3BCD4"/>
    <w:multiLevelType w:val="hybridMultilevel"/>
    <w:lvl w:ilvl="0">
      <w:lvlJc w:val="left"/>
      <w:lvlText w:val="•"/>
      <w:numFmt w:val="bullet"/>
      <w:start w:val="1"/>
    </w:lvl>
  </w:abstractNum>
  <w:abstractNum w:abstractNumId="50">
    <w:nsid w:val="4C2A7166"/>
    <w:multiLevelType w:val="hybridMultilevel"/>
    <w:lvl w:ilvl="0">
      <w:lvlJc w:val="left"/>
      <w:lvlText w:val="•"/>
      <w:numFmt w:val="bullet"/>
      <w:start w:val="1"/>
    </w:lvl>
  </w:abstractNum>
  <w:abstractNum w:abstractNumId="51">
    <w:nsid w:val="2E534A82"/>
    <w:multiLevelType w:val="hybridMultilevel"/>
    <w:lvl w:ilvl="0">
      <w:lvlJc w:val="left"/>
      <w:lvlText w:val="•"/>
      <w:numFmt w:val="bullet"/>
      <w:start w:val="1"/>
    </w:lvl>
  </w:abstractNum>
  <w:abstractNum w:abstractNumId="52">
    <w:nsid w:val="26F2D364"/>
    <w:multiLevelType w:val="hybridMultilevel"/>
    <w:lvl w:ilvl="0">
      <w:lvlJc w:val="left"/>
      <w:lvlText w:val="(%1)"/>
      <w:numFmt w:val="decimal"/>
      <w:start w:val="1"/>
    </w:lvl>
  </w:abstractNum>
  <w:abstractNum w:abstractNumId="53">
    <w:nsid w:val="71C1AF98"/>
    <w:multiLevelType w:val="hybridMultilevel"/>
    <w:lvl w:ilvl="0">
      <w:lvlJc w:val="left"/>
      <w:lvlText w:val="•"/>
      <w:numFmt w:val="bullet"/>
      <w:start w:val="1"/>
    </w:lvl>
  </w:abstractNum>
  <w:abstractNum w:abstractNumId="54">
    <w:nsid w:val="3D00B9D9"/>
    <w:multiLevelType w:val="hybridMultilevel"/>
    <w:lvl w:ilvl="0">
      <w:lvlJc w:val="left"/>
      <w:lvlText w:val="•"/>
      <w:numFmt w:val="bullet"/>
      <w:start w:val="1"/>
    </w:lvl>
  </w:abstractNum>
  <w:abstractNum w:abstractNumId="55">
    <w:nsid w:val="15BCABA8"/>
    <w:multiLevelType w:val="hybridMultilevel"/>
    <w:lvl w:ilvl="0">
      <w:lvlJc w:val="left"/>
      <w:lvlText w:val="•"/>
      <w:numFmt w:val="bullet"/>
      <w:start w:val="1"/>
    </w:lvl>
  </w:abstractNum>
  <w:abstractNum w:abstractNumId="56">
    <w:nsid w:val="4E0B9A87"/>
    <w:multiLevelType w:val="hybridMultilevel"/>
    <w:lvl w:ilvl="0">
      <w:lvlJc w:val="left"/>
      <w:lvlText w:val="(%1)"/>
      <w:numFmt w:val="decimal"/>
      <w:start w:val="1"/>
    </w:lvl>
  </w:abstractNum>
  <w:abstractNum w:abstractNumId="57">
    <w:nsid w:val="434BAE75"/>
    <w:multiLevelType w:val="hybridMultilevel"/>
    <w:lvl w:ilvl="0">
      <w:lvlJc w:val="left"/>
      <w:lvlText w:val="*"/>
      <w:numFmt w:val="bullet"/>
      <w:start w:val="1"/>
    </w:lvl>
  </w:abstractNum>
  <w:abstractNum w:abstractNumId="58">
    <w:nsid w:val="4F38F265"/>
    <w:multiLevelType w:val="hybridMultilevel"/>
    <w:lvl w:ilvl="0">
      <w:lvlJc w:val="left"/>
      <w:lvlText w:val="(%1)"/>
      <w:numFmt w:val="upperLetter"/>
      <w:start w:val="1"/>
    </w:lvl>
  </w:abstractNum>
  <w:abstractNum w:abstractNumId="59">
    <w:nsid w:val="4C502870"/>
    <w:multiLevelType w:val="hybridMultilevel"/>
    <w:lvl w:ilvl="0">
      <w:lvlJc w:val="left"/>
      <w:lvlText w:val="(%1)"/>
      <w:numFmt w:val="lowerRoman"/>
      <w:start w:val="1"/>
    </w:lvl>
  </w:abstractNum>
  <w:abstractNum w:abstractNumId="60">
    <w:nsid w:val="1DE8725A"/>
    <w:multiLevelType w:val="hybridMultilevel"/>
    <w:lvl w:ilvl="0">
      <w:lvlJc w:val="left"/>
      <w:lvlText w:val="•"/>
      <w:numFmt w:val="bullet"/>
      <w:start w:val="1"/>
    </w:lvl>
  </w:abstractNum>
  <w:abstractNum w:abstractNumId="61">
    <w:nsid w:val="6A37288A"/>
    <w:multiLevelType w:val="hybridMultilevel"/>
    <w:lvl w:ilvl="0">
      <w:lvlJc w:val="left"/>
      <w:lvlText w:val="(%1)"/>
      <w:numFmt w:val="upperLetter"/>
      <w:start w:val="1"/>
    </w:lvl>
  </w:abstractNum>
  <w:abstractNum w:abstractNumId="62">
    <w:nsid w:val="8F8B73F"/>
    <w:multiLevelType w:val="hybridMultilevel"/>
    <w:lvl w:ilvl="0">
      <w:lvlJc w:val="left"/>
      <w:lvlText w:val="•"/>
      <w:numFmt w:val="bullet"/>
      <w:start w:val="1"/>
    </w:lvl>
  </w:abstractNum>
  <w:abstractNum w:abstractNumId="63">
    <w:nsid w:val="CA6B462"/>
    <w:multiLevelType w:val="hybridMultilevel"/>
    <w:lvl w:ilvl="0">
      <w:lvlJc w:val="left"/>
      <w:lvlText w:val="•"/>
      <w:numFmt w:val="bullet"/>
      <w:start w:val="1"/>
    </w:lvl>
  </w:abstractNum>
  <w:abstractNum w:abstractNumId="64">
    <w:nsid w:val="763CB680"/>
    <w:multiLevelType w:val="hybridMultilevel"/>
    <w:lvl w:ilvl="0">
      <w:lvlJc w:val="left"/>
      <w:lvlText w:val="•"/>
      <w:numFmt w:val="bullet"/>
      <w:start w:val="1"/>
    </w:lvl>
    <w:lvl w:ilvl="1">
      <w:lvlJc w:val="left"/>
      <w:lvlText w:val="(%2)"/>
      <w:numFmt w:val="lowerLetter"/>
      <w:start w:val="35"/>
    </w:lvl>
  </w:abstractNum>
  <w:abstractNum w:abstractNumId="65">
    <w:nsid w:val="15B71329"/>
    <w:multiLevelType w:val="hybridMultilevel"/>
    <w:lvl w:ilvl="0">
      <w:lvlJc w:val="left"/>
      <w:lvlText w:val="•"/>
      <w:numFmt w:val="bullet"/>
      <w:start w:val="1"/>
    </w:lvl>
    <w:lvl w:ilvl="1">
      <w:lvlJc w:val="left"/>
      <w:lvlText w:val="(%2)"/>
      <w:numFmt w:val="lowerLetter"/>
      <w:start w:val="25"/>
    </w:lvl>
  </w:abstractNum>
  <w:abstractNum w:abstractNumId="66">
    <w:nsid w:val="3DA97044"/>
    <w:multiLevelType w:val="hybridMultilevel"/>
    <w:lvl w:ilvl="0">
      <w:lvlJc w:val="left"/>
      <w:lvlText w:val="•"/>
      <w:numFmt w:val="bullet"/>
      <w:start w:val="1"/>
    </w:lvl>
  </w:abstractNum>
  <w:abstractNum w:abstractNumId="67">
    <w:nsid w:val="1CDCE2DE"/>
    <w:multiLevelType w:val="hybridMultilevel"/>
    <w:lvl w:ilvl="0">
      <w:lvlJc w:val="left"/>
      <w:lvlText w:val="•"/>
      <w:numFmt w:val="bullet"/>
      <w:start w:val="1"/>
    </w:lvl>
  </w:abstractNum>
  <w:abstractNum w:abstractNumId="68">
    <w:nsid w:val="69D3947C"/>
    <w:multiLevelType w:val="hybridMultilevel"/>
    <w:lvl w:ilvl="0">
      <w:lvlJc w:val="left"/>
      <w:lvlText w:val="•"/>
      <w:numFmt w:val="bullet"/>
      <w:start w:val="1"/>
    </w:lvl>
  </w:abstractNum>
  <w:abstractNum w:abstractNumId="69">
    <w:nsid w:val="2539DFA5"/>
    <w:multiLevelType w:val="hybridMultilevel"/>
    <w:lvl w:ilvl="0">
      <w:lvlJc w:val="left"/>
      <w:lvlText w:val="(%1)"/>
      <w:numFmt w:val="lowerRoman"/>
      <w:start w:val="2"/>
    </w:lvl>
  </w:abstractNum>
  <w:abstractNum w:abstractNumId="70">
    <w:nsid w:val="2DB88089"/>
    <w:multiLevelType w:val="hybridMultilevel"/>
    <w:lvl w:ilvl="0">
      <w:lvlJc w:val="left"/>
      <w:lvlText w:val="•"/>
      <w:numFmt w:val="bullet"/>
      <w:start w:val="1"/>
    </w:lvl>
  </w:abstractNum>
  <w:abstractNum w:abstractNumId="71">
    <w:nsid w:val="706B674E"/>
    <w:multiLevelType w:val="hybridMultilevel"/>
    <w:lvl w:ilvl="0">
      <w:lvlJc w:val="left"/>
      <w:lvlText w:val="•"/>
      <w:numFmt w:val="bullet"/>
      <w:start w:val="1"/>
    </w:lvl>
  </w:abstractNum>
  <w:abstractNum w:abstractNumId="72">
    <w:nsid w:val="2C106A57"/>
    <w:multiLevelType w:val="hybridMultilevel"/>
    <w:lvl w:ilvl="0">
      <w:lvlJc w:val="left"/>
      <w:lvlText w:val="•"/>
      <w:numFmt w:val="bullet"/>
      <w:start w:val="1"/>
    </w:lvl>
  </w:abstractNum>
  <w:abstractNum w:abstractNumId="73">
    <w:nsid w:val="684EED59"/>
    <w:multiLevelType w:val="hybridMultilevel"/>
    <w:lvl w:ilvl="0">
      <w:lvlJc w:val="left"/>
      <w:lvlText w:val="•"/>
      <w:numFmt w:val="bullet"/>
      <w:start w:val="1"/>
    </w:lvl>
  </w:abstractNum>
  <w:abstractNum w:abstractNumId="74">
    <w:nsid w:val="545EE5D3"/>
    <w:multiLevelType w:val="hybridMultilevel"/>
    <w:lvl w:ilvl="0">
      <w:lvlJc w:val="left"/>
      <w:lvlText w:val="(%1)"/>
      <w:numFmt w:val="lowerRoman"/>
      <w:start w:val="2"/>
    </w:lvl>
  </w:abstractNum>
  <w:abstractNum w:abstractNumId="75">
    <w:nsid w:val="4A66051"/>
    <w:multiLevelType w:val="hybridMultilevel"/>
    <w:lvl w:ilvl="0">
      <w:lvlJc w:val="left"/>
      <w:lvlText w:val="•"/>
      <w:numFmt w:val="bullet"/>
      <w:start w:val="1"/>
    </w:lvl>
  </w:abstractNum>
  <w:abstractNum w:abstractNumId="76">
    <w:nsid w:val="20F4BDAD"/>
    <w:multiLevelType w:val="hybridMultilevel"/>
    <w:lvl w:ilvl="0">
      <w:lvlJc w:val="left"/>
      <w:lvlText w:val="•"/>
      <w:numFmt w:val="bullet"/>
      <w:start w:val="1"/>
    </w:lvl>
  </w:abstractNum>
  <w:abstractNum w:abstractNumId="77">
    <w:nsid w:val="639DEFAC"/>
    <w:multiLevelType w:val="hybridMultilevel"/>
    <w:lvl w:ilvl="0">
      <w:lvlJc w:val="left"/>
      <w:lvlText w:val="\emdash "/>
      <w:numFmt w:val="bullet"/>
      <w:start w:val="1"/>
    </w:lvl>
  </w:abstractNum>
  <w:abstractNum w:abstractNumId="78">
    <w:nsid w:val="501F9786"/>
    <w:multiLevelType w:val="hybridMultilevel"/>
    <w:lvl w:ilvl="0">
      <w:lvlJc w:val="left"/>
      <w:lvlText w:val="(%1)"/>
      <w:numFmt w:val="decimal"/>
      <w:start w:val="1"/>
    </w:lvl>
  </w:abstractNum>
  <w:abstractNum w:abstractNumId="79">
    <w:nsid w:val="6B057295"/>
    <w:multiLevelType w:val="hybridMultilevel"/>
    <w:lvl w:ilvl="0">
      <w:lvlJc w:val="left"/>
      <w:lvlText w:val="(%1)"/>
      <w:numFmt w:val="upperLetter"/>
      <w:start w:val="2"/>
    </w:lvl>
  </w:abstractNum>
  <w:abstractNum w:abstractNumId="80">
    <w:nsid w:val="2771AC80"/>
    <w:multiLevelType w:val="hybridMultilevel"/>
    <w:lvl w:ilvl="0">
      <w:lvlJc w:val="left"/>
      <w:lvlText w:val="(%1)"/>
      <w:numFmt w:val="lowerLetter"/>
      <w:start w:val="1"/>
    </w:lvl>
  </w:abstractNum>
  <w:abstractNum w:abstractNumId="81">
    <w:nsid w:val="1C4A08EC"/>
    <w:multiLevelType w:val="hybridMultilevel"/>
    <w:lvl w:ilvl="0">
      <w:lvlJc w:val="left"/>
      <w:lvlText w:val="(%1)"/>
      <w:numFmt w:val="lowerLetter"/>
      <w:start w:val="1"/>
    </w:lvl>
  </w:abstractNum>
  <w:abstractNum w:abstractNumId="82">
    <w:nsid w:val="1958BD17"/>
    <w:multiLevelType w:val="hybridMultilevel"/>
    <w:lvl w:ilvl="0">
      <w:lvlJc w:val="left"/>
      <w:lvlText w:val="(%1)"/>
      <w:numFmt w:val="lowerRoman"/>
      <w:start w:val="2"/>
    </w:lvl>
  </w:abstractNum>
  <w:abstractNum w:abstractNumId="83">
    <w:nsid w:val="4E647FE4"/>
    <w:multiLevelType w:val="hybridMultilevel"/>
    <w:lvl w:ilvl="0">
      <w:lvlJc w:val="left"/>
      <w:lvlText w:val="(%1)"/>
      <w:numFmt w:val="lowerRoman"/>
      <w:start w:val="2"/>
    </w:lvl>
  </w:abstractNum>
  <w:abstractNum w:abstractNumId="84">
    <w:nsid w:val="E0BB885"/>
    <w:multiLevelType w:val="hybridMultilevel"/>
    <w:lvl w:ilvl="0">
      <w:lvlJc w:val="left"/>
      <w:lvlText w:val="(%1)"/>
      <w:numFmt w:val="lowerRoman"/>
      <w:start w:val="3"/>
    </w:lvl>
  </w:abstractNum>
  <w:abstractNum w:abstractNumId="85">
    <w:nsid w:val="565976F1"/>
    <w:multiLevelType w:val="hybridMultilevel"/>
    <w:lvl w:ilvl="0">
      <w:lvlJc w:val="left"/>
      <w:lvlText w:val="(%1)"/>
      <w:numFmt w:val="lowerLetter"/>
      <w:start w:val="1"/>
    </w:lvl>
    <w:lvl w:ilvl="1">
      <w:lvlJc w:val="left"/>
      <w:lvlText w:val="•"/>
      <w:numFmt w:val="bullet"/>
      <w:start w:val="1"/>
    </w:lvl>
  </w:abstractNum>
  <w:abstractNum w:abstractNumId="86">
    <w:nsid w:val="64212B8C"/>
    <w:multiLevelType w:val="hybridMultilevel"/>
    <w:lvl w:ilvl="0">
      <w:lvlJc w:val="left"/>
      <w:lvlText w:val="(%1)"/>
      <w:numFmt w:val="decimal"/>
      <w:start w:val="1"/>
    </w:lvl>
  </w:abstractNum>
  <w:abstractNum w:abstractNumId="87">
    <w:nsid w:val="5C17530C"/>
    <w:multiLevelType w:val="hybridMultilevel"/>
    <w:lvl w:ilvl="0">
      <w:lvlJc w:val="left"/>
      <w:lvlText w:val="(%1)"/>
      <w:numFmt w:val="decimal"/>
      <w:start w:val="1"/>
    </w:lvl>
  </w:abstractNum>
  <w:abstractNum w:abstractNumId="88">
    <w:nsid w:val="19A52566"/>
    <w:multiLevelType w:val="hybridMultilevel"/>
    <w:lvl w:ilvl="0">
      <w:lvlJc w:val="left"/>
      <w:lvlText w:val="(%1)"/>
      <w:numFmt w:val="decimal"/>
      <w:start w:val="1"/>
    </w:lvl>
  </w:abstractNum>
  <w:abstractNum w:abstractNumId="89">
    <w:nsid w:val="335A1DF1"/>
    <w:multiLevelType w:val="hybridMultilevel"/>
    <w:lvl w:ilvl="0">
      <w:lvlJc w:val="left"/>
      <w:lvlText w:val="•"/>
      <w:numFmt w:val="bullet"/>
      <w:start w:val="1"/>
    </w:lvl>
  </w:abstractNum>
  <w:abstractNum w:abstractNumId="90">
    <w:nsid w:val="28677B7C"/>
    <w:multiLevelType w:val="hybridMultilevel"/>
    <w:lvl w:ilvl="0">
      <w:lvlJc w:val="left"/>
      <w:lvlText w:val="•"/>
      <w:numFmt w:val="bullet"/>
      <w:start w:val="1"/>
    </w:lvl>
  </w:abstractNum>
  <w:abstractNum w:abstractNumId="91">
    <w:nsid w:val="378D97C0"/>
    <w:multiLevelType w:val="hybridMultilevel"/>
    <w:lvl w:ilvl="0">
      <w:lvlJc w:val="left"/>
      <w:lvlText w:val="(%1)"/>
      <w:numFmt w:val="decimal"/>
      <w:start w:val="1"/>
    </w:lvl>
  </w:abstractNum>
  <w:abstractNum w:abstractNumId="92">
    <w:nsid w:val="1D91467C"/>
    <w:multiLevelType w:val="hybridMultilevel"/>
    <w:lvl w:ilvl="0">
      <w:lvlJc w:val="left"/>
      <w:lvlText w:val="(%1)"/>
      <w:numFmt w:val="lowerLetter"/>
      <w:start w:val="1"/>
    </w:lvl>
  </w:abstractNum>
  <w:abstractNum w:abstractNumId="93">
    <w:nsid w:val="316032BB"/>
    <w:multiLevelType w:val="hybridMultilevel"/>
    <w:lvl w:ilvl="0">
      <w:lvlJc w:val="left"/>
      <w:lvlText w:val="(%1)"/>
      <w:numFmt w:val="lowerLetter"/>
      <w:start w:val="3"/>
    </w:lvl>
  </w:abstractNum>
  <w:abstractNum w:abstractNumId="94">
    <w:nsid w:val="44344C22"/>
    <w:multiLevelType w:val="hybridMultilevel"/>
    <w:lvl w:ilvl="0">
      <w:lvlJc w:val="left"/>
      <w:lvlText w:val="(%1)"/>
      <w:numFmt w:val="lowerLetter"/>
      <w:start w:val="10"/>
    </w:lvl>
  </w:abstractNum>
  <w:abstractNum w:abstractNumId="95">
    <w:nsid w:val="13CDFCFC"/>
    <w:multiLevelType w:val="hybridMultilevel"/>
    <w:lvl w:ilvl="0">
      <w:lvlJc w:val="left"/>
      <w:lvlText w:val="(%1)"/>
      <w:numFmt w:val="lowerLetter"/>
      <w:start w:val="1"/>
    </w:lvl>
  </w:abstractNum>
  <w:abstractNum w:abstractNumId="96">
    <w:nsid w:val="471745E4"/>
    <w:multiLevelType w:val="hybridMultilevel"/>
    <w:lvl w:ilvl="0">
      <w:lvlJc w:val="left"/>
      <w:lvlText w:val="%1"/>
      <w:numFmt w:val="decimal"/>
      <w:start w:val="14"/>
    </w:lvl>
  </w:abstractNum>
  <w:abstractNum w:abstractNumId="97">
    <w:nsid w:val="1DDBC66"/>
    <w:multiLevelType w:val="hybridMultilevel"/>
    <w:lvl w:ilvl="0">
      <w:lvlJc w:val="left"/>
      <w:lvlText w:val="%1"/>
      <w:numFmt w:val="decimal"/>
      <w:start w:val="24"/>
    </w:lvl>
  </w:abstractNum>
  <w:abstractNum w:abstractNumId="98">
    <w:nsid w:val="30AADFDA"/>
    <w:multiLevelType w:val="hybridMultilevel"/>
    <w:lvl w:ilvl="0">
      <w:lvlJc w:val="left"/>
      <w:lvlText w:val="*"/>
      <w:numFmt w:val="bullet"/>
      <w:start w:val="1"/>
    </w:lvl>
    <w:lvl w:ilvl="1">
      <w:lvlJc w:val="left"/>
      <w:lvlText w:val="(%2)"/>
      <w:numFmt w:val="lowerLetter"/>
      <w:start w:val="2"/>
    </w:lvl>
  </w:abstractNum>
  <w:abstractNum w:abstractNumId="99">
    <w:nsid w:val="30EADA61"/>
    <w:multiLevelType w:val="hybridMultilevel"/>
    <w:lvl w:ilvl="0">
      <w:lvlJc w:val="left"/>
      <w:lvlText w:val="(%1)"/>
      <w:numFmt w:val="lowerLetter"/>
      <w:start w:val="1"/>
    </w:lvl>
    <w:lvl w:ilvl="1">
      <w:lvlJc w:val="left"/>
      <w:lvlText w:val="(%2)"/>
      <w:numFmt w:val="decimal"/>
      <w:start w:val="1"/>
    </w:lvl>
  </w:abstractNum>
  <w:abstractNum w:abstractNumId="100">
    <w:nsid w:val="27179C0B"/>
    <w:multiLevelType w:val="hybridMultilevel"/>
    <w:lvl w:ilvl="0">
      <w:lvlJc w:val="left"/>
      <w:lvlText w:val="&amp;"/>
      <w:numFmt w:val="bullet"/>
      <w:start w:val="1"/>
    </w:lvl>
  </w:abstractNum>
  <w:abstractNum w:abstractNumId="101">
    <w:nsid w:val="5E636063"/>
    <w:multiLevelType w:val="hybridMultilevel"/>
    <w:lvl w:ilvl="0">
      <w:lvlJc w:val="left"/>
      <w:lvlText w:val="(%1)"/>
      <w:numFmt w:val="lowerLetter"/>
      <w:start w:val="1"/>
    </w:lvl>
  </w:abstractNum>
  <w:abstractNum w:abstractNumId="102">
    <w:nsid w:val="215641AF"/>
    <w:multiLevelType w:val="hybridMultilevel"/>
    <w:lvl w:ilvl="0">
      <w:lvlJc w:val="left"/>
      <w:lvlText w:val="(%1)"/>
      <w:numFmt w:val="lowerLetter"/>
      <w:start w:val="4"/>
    </w:lvl>
  </w:abstractNum>
  <w:abstractNum w:abstractNumId="103">
    <w:nsid w:val="53280662"/>
    <w:multiLevelType w:val="hybridMultilevel"/>
    <w:lvl w:ilvl="0">
      <w:lvlJc w:val="left"/>
      <w:lvlText w:val="(%1)"/>
      <w:numFmt w:val="lowerLetter"/>
      <w:start w:val="12"/>
    </w:lvl>
  </w:abstractNum>
  <w:abstractNum w:abstractNumId="104">
    <w:nsid w:val="46B24DBC"/>
    <w:multiLevelType w:val="hybridMultilevel"/>
    <w:lvl w:ilvl="0">
      <w:lvlJc w:val="left"/>
      <w:lvlText w:val="(%1)"/>
      <w:numFmt w:val="lowerLetter"/>
      <w:start w:val="18"/>
    </w:lvl>
  </w:abstractNum>
  <w:abstractNum w:abstractNumId="105">
    <w:nsid w:val="75B52783"/>
    <w:multiLevelType w:val="hybridMultilevel"/>
    <w:lvl w:ilvl="0">
      <w:lvlJc w:val="left"/>
      <w:lvlText w:val="(%1)"/>
      <w:numFmt w:val="lowerLetter"/>
      <w:start w:val="24"/>
    </w:lvl>
  </w:abstractNum>
  <w:abstractNum w:abstractNumId="106">
    <w:nsid w:val="57CE66B4"/>
    <w:multiLevelType w:val="hybridMultilevel"/>
    <w:lvl w:ilvl="0">
      <w:lvlJc w:val="left"/>
      <w:lvlText w:val="(%1)"/>
      <w:numFmt w:val="lowerLetter"/>
      <w:start w:val="27"/>
    </w:lvl>
  </w:abstractNum>
  <w:abstractNum w:abstractNumId="107">
    <w:nsid w:val="67A70B69"/>
    <w:multiLevelType w:val="hybridMultilevel"/>
    <w:lvl w:ilvl="0">
      <w:lvlJc w:val="left"/>
      <w:lvlText w:val="(%1)"/>
      <w:numFmt w:val="lowerLetter"/>
      <w:start w:val="30"/>
    </w:lvl>
  </w:abstractNum>
  <w:abstractNum w:abstractNumId="108">
    <w:nsid w:val="5953172F"/>
    <w:multiLevelType w:val="hybridMultilevel"/>
    <w:lvl w:ilvl="0">
      <w:lvlJc w:val="left"/>
      <w:lvlText w:val="(%1)"/>
      <w:numFmt w:val="lowerLetter"/>
      <w:start w:val="35"/>
    </w:lvl>
  </w:abstractNum>
  <w:abstractNum w:abstractNumId="109">
    <w:nsid w:val="27EDFE3A"/>
    <w:multiLevelType w:val="hybridMultilevel"/>
    <w:lvl w:ilvl="0">
      <w:lvlJc w:val="left"/>
      <w:lvlText w:val="(%1)"/>
      <w:numFmt w:val="lowerLetter"/>
      <w:start w:val="41"/>
    </w:lvl>
  </w:abstractNum>
  <w:abstractNum w:abstractNumId="110">
    <w:nsid w:val="52AC7DFF"/>
    <w:multiLevelType w:val="hybridMultilevel"/>
    <w:lvl w:ilvl="0">
      <w:lvlJc w:val="left"/>
      <w:lvlText w:val="(%1)"/>
      <w:numFmt w:val="lowerLetter"/>
      <w:start w:val="50"/>
    </w:lvl>
  </w:abstractNum>
  <w:abstractNum w:abstractNumId="111">
    <w:nsid w:val="C4C3AF"/>
    <w:multiLevelType w:val="hybridMultilevel"/>
    <w:lvl w:ilvl="0">
      <w:lvlJc w:val="left"/>
      <w:lvlText w:val="(%1)"/>
      <w:numFmt w:val="lowerLetter"/>
      <w:start w:val="53"/>
    </w:lvl>
  </w:abstractNum>
  <w:abstractNum w:abstractNumId="112">
    <w:nsid w:val="44380727"/>
    <w:multiLevelType w:val="hybridMultilevel"/>
    <w:lvl w:ilvl="0">
      <w:lvlJc w:val="left"/>
      <w:lvlText w:val="(%1)"/>
      <w:numFmt w:val="lowerLetter"/>
      <w:start w:val="54"/>
    </w:lvl>
  </w:abstractNum>
  <w:abstractNum w:abstractNumId="113">
    <w:nsid w:val="6C053B16"/>
    <w:multiLevelType w:val="hybridMultilevel"/>
    <w:lvl w:ilvl="0">
      <w:lvlJc w:val="left"/>
      <w:lvlText w:val="(%1)"/>
      <w:numFmt w:val="lowerLetter"/>
      <w:start w:val="1"/>
    </w:lvl>
  </w:abstractNum>
  <w:abstractNum w:abstractNumId="114">
    <w:nsid w:val="4F294393"/>
    <w:multiLevelType w:val="hybridMultilevel"/>
    <w:lvl w:ilvl="0">
      <w:lvlJc w:val="left"/>
      <w:lvlText w:val="(%1)"/>
      <w:numFmt w:val="lowerLetter"/>
      <w:start w:val="5"/>
    </w:lvl>
    <w:lvl w:ilvl="1">
      <w:lvlJc w:val="left"/>
      <w:lvlText w:val="(%2)"/>
      <w:numFmt w:val="lowerRoman"/>
      <w:start w:val="2"/>
    </w:lvl>
  </w:abstractNum>
  <w:abstractNum w:abstractNumId="115">
    <w:nsid w:val="5243BFAC"/>
    <w:multiLevelType w:val="hybridMultilevel"/>
    <w:lvl w:ilvl="0">
      <w:lvlJc w:val="left"/>
      <w:lvlText w:val="(%1)"/>
      <w:numFmt w:val="lowerLetter"/>
      <w:start w:val="1"/>
    </w:lvl>
  </w:abstractNum>
  <w:abstractNum w:abstractNumId="116">
    <w:nsid w:val="425EB207"/>
    <w:multiLevelType w:val="hybridMultilevel"/>
    <w:lvl w:ilvl="0">
      <w:lvlJc w:val="left"/>
      <w:lvlText w:val="(%1)"/>
      <w:numFmt w:val="lowerLetter"/>
      <w:start w:val="5"/>
    </w:lvl>
  </w:abstractNum>
  <w:abstractNum w:abstractNumId="117">
    <w:nsid w:val="334A6F1F"/>
    <w:multiLevelType w:val="hybridMultilevel"/>
    <w:lvl w:ilvl="0">
      <w:lvlJc w:val="left"/>
      <w:lvlText w:val="(%1)"/>
      <w:numFmt w:val="lowerLetter"/>
      <w:start w:val="8"/>
    </w:lvl>
  </w:abstractNum>
  <w:abstractNum w:abstractNumId="118">
    <w:nsid w:val="2E5B12B8"/>
    <w:multiLevelType w:val="hybridMultilevel"/>
    <w:lvl w:ilvl="0">
      <w:lvlJc w:val="left"/>
      <w:lvlText w:val="(%1)"/>
      <w:numFmt w:val="lowerLetter"/>
      <w:start w:val="13"/>
    </w:lvl>
  </w:abstractNum>
  <w:abstractNum w:abstractNumId="119">
    <w:nsid w:val="5C03D76D"/>
    <w:multiLevelType w:val="hybridMultilevel"/>
    <w:lvl w:ilvl="0">
      <w:lvlJc w:val="left"/>
      <w:lvlText w:val="%1"/>
      <w:numFmt w:val="decimal"/>
      <w:start w:val="1"/>
    </w:lvl>
    <w:lvl w:ilvl="1">
      <w:lvlJc w:val="left"/>
      <w:lvlText w:val="(%2)"/>
      <w:numFmt w:val="lowerLetter"/>
      <w:start w:val="14"/>
    </w:lvl>
  </w:abstractNum>
  <w:abstractNum w:abstractNumId="120">
    <w:nsid w:val="66A48D11"/>
    <w:multiLevelType w:val="hybridMultilevel"/>
    <w:lvl w:ilvl="0">
      <w:lvlJc w:val="left"/>
      <w:lvlText w:val="(%1)"/>
      <w:numFmt w:val="decimal"/>
      <w:start w:val="3"/>
    </w:lvl>
    <w:lvl w:ilvl="1">
      <w:lvlJc w:val="left"/>
      <w:lvlText w:val="(%2)"/>
      <w:numFmt w:val="lowerLetter"/>
      <w:start w:val="16"/>
    </w:lvl>
  </w:abstractNum>
  <w:abstractNum w:abstractNumId="121">
    <w:nsid w:val="56C28E34"/>
    <w:multiLevelType w:val="hybridMultilevel"/>
    <w:lvl w:ilvl="0">
      <w:lvlJc w:val="left"/>
      <w:lvlText w:val="(%1)"/>
      <w:numFmt w:val="lowerLetter"/>
      <w:start w:val="18"/>
    </w:lvl>
  </w:abstractNum>
  <w:abstractNum w:abstractNumId="122">
    <w:nsid w:val="13916F2D"/>
    <w:multiLevelType w:val="hybridMultilevel"/>
    <w:lvl w:ilvl="0">
      <w:lvlJc w:val="left"/>
      <w:lvlText w:val="(%1)"/>
      <w:numFmt w:val="lowerLetter"/>
      <w:start w:val="23"/>
    </w:lvl>
  </w:abstractNum>
  <w:abstractNum w:abstractNumId="123">
    <w:nsid w:val="435D38D"/>
    <w:multiLevelType w:val="hybridMultilevel"/>
    <w:lvl w:ilvl="0">
      <w:lvlJc w:val="left"/>
      <w:lvlText w:val="%1"/>
      <w:numFmt w:val="upperLetter"/>
      <w:start w:val="1"/>
    </w:lvl>
    <w:lvl w:ilvl="1">
      <w:lvlJc w:val="left"/>
      <w:lvlText w:val="(%2)"/>
      <w:numFmt w:val="lowerLetter"/>
      <w:start w:val="25"/>
    </w:lvl>
  </w:abstractNum>
  <w:abstractNum w:abstractNumId="124">
    <w:nsid w:val="822C0EF"/>
    <w:multiLevelType w:val="hybridMultilevel"/>
    <w:lvl w:ilvl="0">
      <w:lvlJc w:val="left"/>
      <w:lvlText w:val="(%1)"/>
      <w:numFmt w:val="upperLetter"/>
      <w:start w:val="1"/>
    </w:lvl>
    <w:lvl w:ilvl="1">
      <w:lvlJc w:val="left"/>
      <w:lvlText w:val="(%2)"/>
      <w:numFmt w:val="lowerLetter"/>
      <w:start w:val="26"/>
    </w:lvl>
  </w:abstractNum>
  <w:abstractNum w:abstractNumId="125">
    <w:nsid w:val="57C5BB4F"/>
    <w:multiLevelType w:val="hybridMultilevel"/>
    <w:lvl w:ilvl="0">
      <w:lvlJc w:val="left"/>
      <w:lvlText w:val="(%1)"/>
      <w:numFmt w:val="lowerLetter"/>
      <w:start w:val="27"/>
    </w:lvl>
  </w:abstractNum>
  <w:abstractNum w:abstractNumId="126">
    <w:nsid w:val="1803D089"/>
    <w:multiLevelType w:val="hybridMultilevel"/>
    <w:lvl w:ilvl="0">
      <w:lvlJc w:val="left"/>
      <w:lvlText w:val="(%1)"/>
      <w:numFmt w:val="lowerLetter"/>
      <w:start w:val="33"/>
    </w:lvl>
  </w:abstractNum>
  <w:abstractNum w:abstractNumId="127">
    <w:nsid w:val="4F3A06D4"/>
    <w:multiLevelType w:val="hybridMultilevel"/>
    <w:lvl w:ilvl="0">
      <w:lvlJc w:val="left"/>
      <w:lvlText w:val="(%1)"/>
      <w:numFmt w:val="lowerLetter"/>
      <w:start w:val="37"/>
    </w:lvl>
  </w:abstractNum>
  <w:abstractNum w:abstractNumId="128">
    <w:nsid w:val="59A377B6"/>
    <w:multiLevelType w:val="hybridMultilevel"/>
    <w:lvl w:ilvl="0">
      <w:lvlJc w:val="left"/>
      <w:lvlText w:val="(%1)"/>
      <w:numFmt w:val="lowerLetter"/>
      <w:start w:val="1"/>
    </w:lvl>
    <w:lvl w:ilvl="1">
      <w:lvlJc w:val="left"/>
      <w:lvlText w:val="(%2)"/>
      <w:numFmt w:val="lowerRoman"/>
      <w:start w:val="1"/>
    </w:lvl>
  </w:abstractNum>
  <w:abstractNum w:abstractNumId="129">
    <w:nsid w:val="48AEB063"/>
    <w:multiLevelType w:val="hybridMultilevel"/>
    <w:lvl w:ilvl="0">
      <w:lvlJc w:val="left"/>
      <w:lvlText w:val="(%1)"/>
      <w:numFmt w:val="lowerLetter"/>
      <w:start w:val="7"/>
    </w:lvl>
    <w:lvl w:ilvl="1">
      <w:lvlJc w:val="left"/>
      <w:lvlText w:val="(%2)"/>
      <w:numFmt w:val="lowerRoman"/>
      <w:start w:val="1"/>
    </w:lvl>
  </w:abstractNum>
  <w:abstractNum w:abstractNumId="130">
    <w:nsid w:val="24E135"/>
    <w:multiLevelType w:val="hybridMultilevel"/>
    <w:lvl w:ilvl="0">
      <w:lvlJc w:val="left"/>
      <w:lvlText w:val="(%1)"/>
      <w:numFmt w:val="lowerLetter"/>
      <w:start w:val="14"/>
    </w:lvl>
  </w:abstractNum>
  <w:abstractNum w:abstractNumId="131">
    <w:nsid w:val="BB13C1"/>
    <w:multiLevelType w:val="hybridMultilevel"/>
    <w:lvl w:ilvl="0">
      <w:lvlJc w:val="left"/>
      <w:lvlText w:val="(%1)"/>
      <w:numFmt w:val="lowerLetter"/>
      <w:start w:val="1"/>
    </w:lvl>
  </w:abstractNum>
  <w:abstractNum w:abstractNumId="132">
    <w:nsid w:val="271210C7"/>
    <w:multiLevelType w:val="hybridMultilevel"/>
    <w:lvl w:ilvl="0">
      <w:lvlJc w:val="left"/>
      <w:lvlText w:val="(%1)"/>
      <w:numFmt w:val="lowerLetter"/>
      <w:start w:val="3"/>
    </w:lvl>
  </w:abstractNum>
  <w:abstractNum w:abstractNumId="133">
    <w:nsid w:val="217B22E4"/>
    <w:multiLevelType w:val="hybridMultilevel"/>
    <w:lvl w:ilvl="0">
      <w:lvlJc w:val="left"/>
      <w:lvlText w:val="1"/>
      <w:numFmt w:val="bullet"/>
      <w:start w:val="1"/>
    </w:lvl>
  </w:abstractNum>
  <w:abstractNum w:abstractNumId="134">
    <w:nsid w:val="53E31A24"/>
    <w:multiLevelType w:val="hybridMultilevel"/>
    <w:lvl w:ilvl="0">
      <w:lvlJc w:val="left"/>
      <w:lvlText w:val="%1."/>
      <w:numFmt w:val="decimal"/>
      <w:start w:val="1"/>
    </w:lvl>
  </w:abstractNum>
  <w:abstractNum w:abstractNumId="135">
    <w:nsid w:val="6DC45E83"/>
    <w:multiLevelType w:val="hybridMultilevel"/>
    <w:lvl w:ilvl="0">
      <w:lvlJc w:val="left"/>
      <w:lvlText w:val="%1."/>
      <w:numFmt w:val="decimal"/>
      <w:start w:val="1"/>
    </w:lvl>
  </w:abstractNum>
  <w:abstractNum w:abstractNumId="136">
    <w:nsid w:val="17304A67"/>
    <w:multiLevelType w:val="hybridMultilevel"/>
    <w:lvl w:ilvl="0">
      <w:lvlJc w:val="left"/>
      <w:lvlText w:val="%1."/>
      <w:numFmt w:val="decimal"/>
      <w:start w:val="3"/>
    </w:lvl>
  </w:abstractNum>
  <w:abstractNum w:abstractNumId="137">
    <w:nsid w:val="2BB180D8"/>
    <w:multiLevelType w:val="hybridMultilevel"/>
    <w:lvl w:ilvl="0">
      <w:lvlJc w:val="left"/>
      <w:lvlText w:val="(%1)"/>
      <w:numFmt w:val="lowerRoman"/>
      <w:start w:val="1"/>
    </w:lvl>
  </w:abstractNum>
  <w:abstractNum w:abstractNumId="138">
    <w:nsid w:val="556B69ED"/>
    <w:multiLevelType w:val="hybridMultilevel"/>
    <w:lvl w:ilvl="0">
      <w:lvlJc w:val="left"/>
      <w:lvlText w:val="(%1)"/>
      <w:numFmt w:val="lowerLetter"/>
      <w:start w:val="1"/>
    </w:lvl>
    <w:lvl w:ilvl="1">
      <w:lvlJc w:val="left"/>
      <w:lvlText w:val="(%2)"/>
      <w:numFmt w:val="lowerRoman"/>
      <w:start w:val="1"/>
    </w:lvl>
  </w:abstractNum>
  <w:abstractNum w:abstractNumId="139">
    <w:nsid w:val="70836196"/>
    <w:multiLevelType w:val="hybridMultilevel"/>
    <w:lvl w:ilvl="0">
      <w:lvlJc w:val="left"/>
      <w:lvlText w:val="%1"/>
      <w:numFmt w:val="lowerLetter"/>
      <w:start w:val="1"/>
    </w:lvl>
    <w:lvl w:ilvl="1">
      <w:lvlJc w:val="left"/>
      <w:lvlText w:val="(%2)"/>
      <w:numFmt w:val="lowerLetter"/>
      <w:start w:val="61"/>
    </w:lvl>
  </w:abstractNum>
  <w:abstractNum w:abstractNumId="140">
    <w:nsid w:val="539F7F12"/>
    <w:multiLevelType w:val="hybridMultilevel"/>
    <w:lvl w:ilvl="0">
      <w:lvlJc w:val="left"/>
      <w:lvlText w:val="(%1)"/>
      <w:numFmt w:val="lowerLetter"/>
      <w:start w:val="2"/>
    </w:lvl>
    <w:lvl w:ilvl="1">
      <w:lvlJc w:val="left"/>
      <w:lvlText w:val="(%2)"/>
      <w:numFmt w:val="lowerLetter"/>
      <w:start w:val="9"/>
    </w:lvl>
  </w:abstractNum>
  <w:abstractNum w:abstractNumId="141">
    <w:nsid w:val="2817E7EC"/>
    <w:multiLevelType w:val="hybridMultilevel"/>
    <w:lvl w:ilvl="0">
      <w:lvlJc w:val="left"/>
      <w:lvlText w:val="%1"/>
      <w:numFmt w:val="lowerLetter"/>
      <w:start w:val="1"/>
    </w:lvl>
    <w:lvl w:ilvl="1">
      <w:lvlJc w:val="left"/>
      <w:lvlText w:val="(%2)"/>
      <w:numFmt w:val="lowerLetter"/>
      <w:start w:val="35"/>
    </w:lvl>
  </w:abstractNum>
  <w:abstractNum w:abstractNumId="142">
    <w:nsid w:val="71482545"/>
    <w:multiLevelType w:val="hybridMultilevel"/>
    <w:lvl w:ilvl="0">
      <w:lvlJc w:val="left"/>
      <w:lvlText w:val="(%1)"/>
      <w:numFmt w:val="lowerLetter"/>
      <w:start w:val="2"/>
    </w:lvl>
    <w:lvl w:ilvl="1">
      <w:lvlJc w:val="left"/>
      <w:lvlText w:val="%2"/>
      <w:numFmt w:val="lowerLetter"/>
      <w:start w:val="1"/>
    </w:lvl>
  </w:abstractNum>
  <w:abstractNum w:abstractNumId="143">
    <w:nsid w:val="17D78639"/>
    <w:multiLevelType w:val="hybridMultilevel"/>
    <w:lvl w:ilvl="0">
      <w:lvlJc w:val="left"/>
      <w:lvlText w:val="(%1)"/>
      <w:numFmt w:val="lowerRoman"/>
      <w:start w:val="3"/>
    </w:lvl>
  </w:abstractNum>
  <w:abstractNum w:abstractNumId="144">
    <w:nsid w:val="141D2302"/>
    <w:multiLevelType w:val="hybridMultilevel"/>
    <w:lvl w:ilvl="0">
      <w:lvlJc w:val="left"/>
      <w:lvlText w:val="(%1)"/>
      <w:numFmt w:val="lowerLetter"/>
      <w:start w:val="3"/>
    </w:lvl>
  </w:abstractNum>
  <w:abstractNum w:abstractNumId="145">
    <w:nsid w:val="407168D8"/>
    <w:multiLevelType w:val="hybridMultilevel"/>
    <w:lvl w:ilvl="0">
      <w:lvlJc w:val="left"/>
      <w:lvlText w:val="(%1)"/>
      <w:numFmt w:val="lowerLetter"/>
      <w:start w:val="1"/>
    </w:lvl>
  </w:abstractNum>
  <w:abstractNum w:abstractNumId="146">
    <w:nsid w:val="6A1B45E5"/>
    <w:multiLevelType w:val="hybridMultilevel"/>
    <w:lvl w:ilvl="0">
      <w:lvlJc w:val="left"/>
      <w:lvlText w:val="(%1)"/>
      <w:numFmt w:val="lowerLetter"/>
      <w:start w:val="1"/>
    </w:lvl>
  </w:abstractNum>
  <w:abstractNum w:abstractNumId="147">
    <w:nsid w:val="567BD50A"/>
    <w:multiLevelType w:val="hybridMultilevel"/>
    <w:lvl w:ilvl="0">
      <w:lvlJc w:val="left"/>
      <w:lvlText w:val="(%1)"/>
      <w:numFmt w:val="lowerLetter"/>
      <w:start w:val="2"/>
    </w:lvl>
  </w:abstractNum>
  <w:abstractNum w:abstractNumId="148">
    <w:nsid w:val="73BBD7F8"/>
    <w:multiLevelType w:val="hybridMultilevel"/>
    <w:lvl w:ilvl="0">
      <w:lvlJc w:val="left"/>
      <w:lvlText w:val="%1."/>
      <w:numFmt w:val="decimal"/>
      <w:start w:val="1"/>
    </w:lvl>
  </w:abstractNum>
  <w:abstractNum w:abstractNumId="149">
    <w:nsid w:val="1876589D"/>
    <w:multiLevelType w:val="hybridMultilevel"/>
    <w:lvl w:ilvl="0">
      <w:lvlJc w:val="left"/>
      <w:lvlText w:val="(%1)"/>
      <w:numFmt w:val="lowerLetter"/>
      <w:start w:val="1"/>
    </w:lvl>
    <w:lvl w:ilvl="1">
      <w:lvlJc w:val="left"/>
      <w:lvlText w:val="(%2)"/>
      <w:numFmt w:val="lowerRoman"/>
      <w:start w:val="1"/>
    </w:lvl>
  </w:abstractNum>
  <w:abstractNum w:abstractNumId="150">
    <w:nsid w:val="327FAC77"/>
    <w:multiLevelType w:val="hybridMultilevel"/>
    <w:lvl w:ilvl="0">
      <w:lvlJc w:val="left"/>
      <w:lvlText w:val="(%1)"/>
      <w:numFmt w:val="lowerLetter"/>
      <w:start w:val="2"/>
    </w:lvl>
    <w:lvl w:ilvl="1">
      <w:lvlJc w:val="left"/>
      <w:lvlText w:val="(%2)"/>
      <w:numFmt w:val="lowerRoman"/>
      <w:start w:val="1"/>
    </w:lvl>
  </w:abstractNum>
  <w:abstractNum w:abstractNumId="151">
    <w:nsid w:val="5A606509"/>
    <w:multiLevelType w:val="hybridMultilevel"/>
    <w:lvl w:ilvl="0">
      <w:lvlJc w:val="left"/>
      <w:lvlText w:val="%1"/>
      <w:numFmt w:val="lowerLetter"/>
      <w:start w:val="1"/>
    </w:lvl>
    <w:lvl w:ilvl="1">
      <w:lvlJc w:val="left"/>
      <w:lvlText w:val="(%2)"/>
      <w:numFmt w:val="lowerLetter"/>
      <w:start w:val="61"/>
    </w:lvl>
  </w:abstractNum>
  <w:abstractNum w:abstractNumId="152">
    <w:nsid w:val="6F38E6D1"/>
    <w:multiLevelType w:val="hybridMultilevel"/>
    <w:lvl w:ilvl="0">
      <w:lvlJc w:val="left"/>
      <w:lvlText w:val="(%1)"/>
      <w:numFmt w:val="lowerLetter"/>
      <w:start w:val="3"/>
    </w:lvl>
    <w:lvl w:ilvl="1">
      <w:lvlJc w:val="left"/>
      <w:lvlText w:val="%2"/>
      <w:numFmt w:val="lowerLetter"/>
      <w:start w:val="1"/>
    </w:lvl>
  </w:abstractNum>
  <w:abstractNum w:abstractNumId="153">
    <w:nsid w:val="46111BA5"/>
    <w:multiLevelType w:val="hybridMultilevel"/>
    <w:lvl w:ilvl="0">
      <w:lvlJc w:val="left"/>
      <w:lvlText w:val="(%1)"/>
      <w:numFmt w:val="lowerLetter"/>
      <w:start w:val="1"/>
    </w:lvl>
  </w:abstractNum>
  <w:abstractNum w:abstractNumId="154">
    <w:nsid w:val="5E963896"/>
    <w:multiLevelType w:val="hybridMultilevel"/>
    <w:lvl w:ilvl="0">
      <w:lvlJc w:val="left"/>
      <w:lvlText w:val="(%1)"/>
      <w:numFmt w:val="lowerLetter"/>
      <w:start w:val="1"/>
    </w:lvl>
  </w:abstractNum>
  <w:abstractNum w:abstractNumId="155">
    <w:nsid w:val="775BA7C1"/>
    <w:multiLevelType w:val="hybridMultilevel"/>
    <w:lvl w:ilvl="0">
      <w:lvlJc w:val="left"/>
      <w:lvlText w:val="(%1)"/>
      <w:numFmt w:val="lowerLetter"/>
      <w:start w:val="2"/>
    </w:lvl>
  </w:abstractNum>
  <w:abstractNum w:abstractNumId="156">
    <w:nsid w:val="1DD6D6F4"/>
    <w:multiLevelType w:val="hybridMultilevel"/>
    <w:lvl w:ilvl="0">
      <w:lvlJc w:val="left"/>
      <w:lvlText w:val="(%1)"/>
      <w:numFmt w:val="lowerLetter"/>
      <w:start w:val="1"/>
    </w:lvl>
  </w:abstractNum>
  <w:abstractNum w:abstractNumId="157">
    <w:nsid w:val="769A091F"/>
    <w:multiLevelType w:val="hybridMultilevel"/>
    <w:lvl w:ilvl="0">
      <w:lvlJc w:val="left"/>
      <w:lvlText w:val="(%1)"/>
      <w:numFmt w:val="lowerLetter"/>
      <w:start w:val="1"/>
    </w:lvl>
  </w:abstractNum>
  <w:abstractNum w:abstractNumId="158">
    <w:nsid w:val="4695AE95"/>
    <w:multiLevelType w:val="hybridMultilevel"/>
    <w:lvl w:ilvl="0">
      <w:lvlJc w:val="left"/>
      <w:lvlText w:val="(%1)"/>
      <w:numFmt w:val="lowerLetter"/>
      <w:start w:val="3"/>
    </w:lvl>
  </w:abstractNum>
  <w:abstractNum w:abstractNumId="159">
    <w:nsid w:val="777A4EAA"/>
    <w:multiLevelType w:val="hybridMultilevel"/>
    <w:lvl w:ilvl="0">
      <w:lvlJc w:val="left"/>
      <w:lvlText w:val="(%1)"/>
      <w:numFmt w:val="lowerLetter"/>
      <w:start w:val="1"/>
    </w:lvl>
  </w:abstractNum>
  <w:abstractNum w:abstractNumId="160">
    <w:nsid w:val="3F48B982"/>
    <w:multiLevelType w:val="hybridMultilevel"/>
    <w:lvl w:ilvl="0">
      <w:lvlJc w:val="left"/>
      <w:lvlText w:val="(%1)"/>
      <w:numFmt w:val="lowerLetter"/>
      <w:start w:val="1"/>
    </w:lvl>
  </w:abstractNum>
  <w:abstractNum w:abstractNumId="161">
    <w:nsid w:val="46BA8FCA"/>
    <w:multiLevelType w:val="hybridMultilevel"/>
    <w:lvl w:ilvl="0">
      <w:lvlJc w:val="left"/>
      <w:lvlText w:val="(%1)"/>
      <w:numFmt w:val="lowerLetter"/>
      <w:start w:val="1"/>
    </w:lvl>
    <w:lvl w:ilvl="1">
      <w:lvlJc w:val="left"/>
      <w:lvlText w:val="(%2)"/>
      <w:numFmt w:val="lowerRoman"/>
      <w:start w:val="1"/>
    </w:lvl>
  </w:abstractNum>
  <w:abstractNum w:abstractNumId="162">
    <w:nsid w:val="7835626C"/>
    <w:multiLevelType w:val="hybridMultilevel"/>
    <w:lvl w:ilvl="0">
      <w:lvlJc w:val="left"/>
      <w:lvlText w:val="(%1)"/>
      <w:numFmt w:val="lowerLetter"/>
      <w:start w:val="4"/>
    </w:lvl>
    <w:lvl w:ilvl="1">
      <w:lvlJc w:val="left"/>
      <w:lvlText w:val="(%2)"/>
      <w:numFmt w:val="lowerRoman"/>
      <w:start w:val="1"/>
    </w:lvl>
  </w:abstractNum>
  <w:abstractNum w:abstractNumId="163">
    <w:nsid w:val="665ACA49"/>
    <w:multiLevelType w:val="hybridMultilevel"/>
    <w:lvl w:ilvl="0">
      <w:lvlJc w:val="left"/>
      <w:lvlText w:val="(%1)"/>
      <w:numFmt w:val="lowerLetter"/>
      <w:start w:val="8"/>
    </w:lvl>
  </w:abstractNum>
  <w:abstractNum w:abstractNumId="164">
    <w:nsid w:val="6835B2AE"/>
    <w:multiLevelType w:val="hybridMultilevel"/>
    <w:lvl w:ilvl="0">
      <w:lvlJc w:val="left"/>
      <w:lvlText w:val="(%1)"/>
      <w:numFmt w:val="lowerRoman"/>
      <w:start w:val="4"/>
    </w:lvl>
  </w:abstractNum>
  <w:abstractNum w:abstractNumId="165">
    <w:nsid w:val="4C187C90"/>
    <w:multiLevelType w:val="hybridMultilevel"/>
    <w:lvl w:ilvl="0">
      <w:lvlJc w:val="left"/>
      <w:lvlText w:val="%1"/>
      <w:numFmt w:val="lowerLetter"/>
      <w:start w:val="1"/>
    </w:lvl>
    <w:lvl w:ilvl="1">
      <w:lvlJc w:val="left"/>
      <w:lvlText w:val="(%2)"/>
      <w:numFmt w:val="lowerLetter"/>
      <w:start w:val="1"/>
    </w:lvl>
  </w:abstractNum>
  <w:abstractNum w:abstractNumId="166">
    <w:nsid w:val="541F28CD"/>
    <w:multiLevelType w:val="hybridMultilevel"/>
    <w:lvl w:ilvl="0">
      <w:lvlJc w:val="left"/>
      <w:lvlText w:val="(%1)"/>
      <w:numFmt w:val="lowerLetter"/>
      <w:start w:val="35"/>
    </w:lvl>
    <w:lvl w:ilvl="1">
      <w:lvlJc w:val="left"/>
      <w:lvlText w:val="%2"/>
      <w:numFmt w:val="lowerLetter"/>
      <w:start w:val="1"/>
    </w:lvl>
  </w:abstractNum>
  <w:abstractNum w:abstractNumId="167">
    <w:nsid w:val="7F65FD16"/>
    <w:multiLevelType w:val="hybridMultilevel"/>
    <w:lvl w:ilvl="0">
      <w:lvlJc w:val="left"/>
      <w:lvlText w:val="(%1)"/>
      <w:numFmt w:val="lowerLetter"/>
      <w:start w:val="2"/>
    </w:lvl>
    <w:lvl w:ilvl="1">
      <w:lvlJc w:val="left"/>
      <w:lvlText w:val="(%2)"/>
      <w:numFmt w:val="lowerRoman"/>
      <w:start w:val="1"/>
    </w:lvl>
  </w:abstractNum>
  <w:abstractNum w:abstractNumId="168">
    <w:nsid w:val="77C9FD68"/>
    <w:multiLevelType w:val="hybridMultilevel"/>
    <w:lvl w:ilvl="0">
      <w:lvlJc w:val="left"/>
      <w:lvlText w:val="(%1)"/>
      <w:numFmt w:val="lowerLetter"/>
      <w:start w:val="4"/>
    </w:lvl>
  </w:abstractNum>
  <w:abstractNum w:abstractNumId="169">
    <w:nsid w:val="298A92BA"/>
    <w:multiLevelType w:val="hybridMultilevel"/>
    <w:lvl w:ilvl="0">
      <w:lvlJc w:val="left"/>
      <w:lvlText w:val="(%1)"/>
      <w:numFmt w:val="lowerLetter"/>
      <w:start w:val="1"/>
    </w:lvl>
    <w:lvl w:ilvl="1">
      <w:lvlJc w:val="left"/>
      <w:lvlText w:val="(%2)"/>
      <w:numFmt w:val="lowerRoman"/>
      <w:start w:val="1"/>
    </w:lvl>
  </w:abstractNum>
  <w:abstractNum w:abstractNumId="170">
    <w:nsid w:val="6FE95EAC"/>
    <w:multiLevelType w:val="hybridMultilevel"/>
    <w:lvl w:ilvl="0">
      <w:lvlJc w:val="left"/>
      <w:lvlText w:val="(%1)"/>
      <w:numFmt w:val="lowerRoman"/>
      <w:start w:val="3"/>
    </w:lvl>
  </w:abstractNum>
  <w:abstractNum w:abstractNumId="171">
    <w:nsid w:val="4B697C7A"/>
    <w:multiLevelType w:val="hybridMultilevel"/>
    <w:lvl w:ilvl="0">
      <w:lvlJc w:val="left"/>
      <w:lvlText w:val="%1"/>
      <w:numFmt w:val="lowerLetter"/>
      <w:start w:val="1"/>
    </w:lvl>
    <w:lvl w:ilvl="1">
      <w:lvlJc w:val="left"/>
      <w:lvlText w:val="(%2)"/>
      <w:numFmt w:val="lowerRoman"/>
      <w:start w:val="4"/>
    </w:lvl>
  </w:abstractNum>
  <w:abstractNum w:abstractNumId="172">
    <w:nsid w:val="51A27AA6"/>
    <w:multiLevelType w:val="hybridMultilevel"/>
    <w:lvl w:ilvl="0">
      <w:lvlJc w:val="left"/>
      <w:lvlText w:val="(%1)"/>
      <w:numFmt w:val="lowerLetter"/>
      <w:start w:val="2"/>
    </w:lvl>
    <w:lvl w:ilvl="1">
      <w:lvlJc w:val="left"/>
      <w:lvlText w:val="%2"/>
      <w:numFmt w:val="lowerRoman"/>
      <w:start w:val="1"/>
    </w:lvl>
  </w:abstractNum>
  <w:abstractNum w:abstractNumId="173">
    <w:nsid w:val="613183F2"/>
    <w:multiLevelType w:val="hybridMultilevel"/>
    <w:lvl w:ilvl="0">
      <w:lvlJc w:val="left"/>
      <w:lvlText w:val="(%1)"/>
      <w:numFmt w:val="lowerLetter"/>
      <w:start w:val="1"/>
    </w:lvl>
  </w:abstractNum>
  <w:abstractNum w:abstractNumId="174">
    <w:nsid w:val="634102B4"/>
    <w:multiLevelType w:val="hybridMultilevel"/>
    <w:lvl w:ilvl="0">
      <w:lvlJc w:val="left"/>
      <w:lvlText w:val="(%1)"/>
      <w:numFmt w:val="lowerLetter"/>
      <w:start w:val="4"/>
    </w:lvl>
  </w:abstractNum>
  <w:abstractNum w:abstractNumId="175">
    <w:nsid w:val="65BF9DA8"/>
    <w:multiLevelType w:val="hybridMultilevel"/>
    <w:lvl w:ilvl="0">
      <w:lvlJc w:val="left"/>
      <w:lvlText w:val="(%1)"/>
      <w:numFmt w:val="lowerLetter"/>
      <w:start w:val="1"/>
    </w:lvl>
  </w:abstractNum>
  <w:abstractNum w:abstractNumId="176">
    <w:nsid w:val="21A2ECCA"/>
    <w:multiLevelType w:val="hybridMultilevel"/>
    <w:lvl w:ilvl="0">
      <w:lvlJc w:val="left"/>
      <w:lvlText w:val="(%1)"/>
      <w:numFmt w:val="lowerLetter"/>
      <w:start w:val="3"/>
    </w:lvl>
    <w:lvl w:ilvl="1">
      <w:lvlJc w:val="left"/>
      <w:lvlText w:val="(%2)"/>
      <w:numFmt w:val="lowerRoman"/>
      <w:start w:val="1"/>
    </w:lvl>
  </w:abstractNum>
  <w:abstractNum w:abstractNumId="177">
    <w:nsid w:val="4D5C4899"/>
    <w:multiLevelType w:val="hybridMultilevel"/>
    <w:lvl w:ilvl="0">
      <w:lvlJc w:val="left"/>
      <w:lvlText w:val="(%1)"/>
      <w:numFmt w:val="lowerLetter"/>
      <w:start w:val="1"/>
    </w:lvl>
  </w:abstractNum>
  <w:abstractNum w:abstractNumId="178">
    <w:nsid w:val="3C3B72B2"/>
    <w:multiLevelType w:val="hybridMultilevel"/>
    <w:lvl w:ilvl="0">
      <w:lvlJc w:val="left"/>
      <w:lvlText w:val="(%1)"/>
      <w:numFmt w:val="lowerLetter"/>
      <w:start w:val="1"/>
    </w:lvl>
  </w:abstractNum>
  <w:abstractNum w:abstractNumId="179">
    <w:nsid w:val="155EC4C2"/>
    <w:multiLevelType w:val="hybridMultilevel"/>
    <w:lvl w:ilvl="0">
      <w:lvlJc w:val="left"/>
      <w:lvlText w:val="%1"/>
      <w:numFmt w:val="lowerLetter"/>
      <w:start w:val="1"/>
    </w:lvl>
    <w:lvl w:ilvl="1">
      <w:lvlJc w:val="left"/>
      <w:lvlText w:val="(%2)"/>
      <w:numFmt w:val="lowerLetter"/>
      <w:start w:val="1"/>
    </w:lvl>
  </w:abstractNum>
  <w:abstractNum w:abstractNumId="180">
    <w:nsid w:val="65D2A137"/>
    <w:multiLevelType w:val="hybridMultilevel"/>
    <w:lvl w:ilvl="0">
      <w:lvlJc w:val="left"/>
      <w:lvlText w:val="(%1)"/>
      <w:numFmt w:val="lowerLetter"/>
      <w:start w:val="61"/>
    </w:lvl>
    <w:lvl w:ilvl="1">
      <w:lvlJc w:val="left"/>
      <w:lvlText w:val="(%2)"/>
      <w:numFmt w:val="lowerLetter"/>
      <w:start w:val="2"/>
    </w:lvl>
  </w:abstractNum>
  <w:abstractNum w:abstractNumId="181">
    <w:nsid w:val="6EBB1F2A"/>
    <w:multiLevelType w:val="hybridMultilevel"/>
    <w:lvl w:ilvl="0">
      <w:lvlJc w:val="left"/>
      <w:lvlText w:val="(%1)"/>
      <w:numFmt w:val="lowerLetter"/>
      <w:start w:val="1"/>
    </w:lvl>
    <w:lvl w:ilvl="1">
      <w:lvlJc w:val="left"/>
      <w:lvlText w:val="(%2)"/>
      <w:numFmt w:val="lowerLetter"/>
      <w:start w:val="9"/>
    </w:lvl>
  </w:abstractNum>
  <w:abstractNum w:abstractNumId="182">
    <w:nsid w:val="6FBF29CB"/>
    <w:multiLevelType w:val="hybridMultilevel"/>
    <w:lvl w:ilvl="0">
      <w:lvlJc w:val="left"/>
      <w:lvlText w:val="%1"/>
      <w:numFmt w:val="lowerLetter"/>
      <w:start w:val="1"/>
    </w:lvl>
    <w:lvl w:ilvl="1">
      <w:lvlJc w:val="left"/>
      <w:lvlText w:val="(%2)"/>
      <w:numFmt w:val="lowerRoman"/>
      <w:start w:val="3"/>
    </w:lvl>
  </w:abstractNum>
  <w:abstractNum w:abstractNumId="183">
    <w:nsid w:val="550B8808"/>
    <w:multiLevelType w:val="hybridMultilevel"/>
    <w:lvl w:ilvl="0">
      <w:lvlJc w:val="left"/>
      <w:lvlText w:val="(%1)"/>
      <w:numFmt w:val="lowerLetter"/>
      <w:start w:val="2"/>
    </w:lvl>
    <w:lvl w:ilvl="1">
      <w:lvlJc w:val="left"/>
      <w:lvlText w:val="%2"/>
      <w:numFmt w:val="lowerRoman"/>
      <w:start w:val="1"/>
    </w:lvl>
  </w:abstractNum>
  <w:abstractNum w:abstractNumId="184">
    <w:nsid w:val="34CC3ACF"/>
    <w:multiLevelType w:val="hybridMultilevel"/>
    <w:lvl w:ilvl="0">
      <w:lvlJc w:val="left"/>
      <w:lvlText w:val="(%1)"/>
      <w:numFmt w:val="lowerLetter"/>
      <w:start w:val="1"/>
    </w:lvl>
  </w:abstractNum>
  <w:abstractNum w:abstractNumId="185">
    <w:nsid w:val="4E556261"/>
    <w:multiLevelType w:val="hybridMultilevel"/>
    <w:lvl w:ilvl="0">
      <w:lvlJc w:val="left"/>
      <w:lvlText w:val="(%1)"/>
      <w:numFmt w:val="lowerLetter"/>
      <w:start w:val="2"/>
    </w:lvl>
  </w:abstractNum>
  <w:abstractNum w:abstractNumId="186">
    <w:nsid w:val="4C672FC9"/>
    <w:multiLevelType w:val="hybridMultilevel"/>
    <w:lvl w:ilvl="0">
      <w:lvlJc w:val="left"/>
      <w:lvlText w:val="(%1)"/>
      <w:numFmt w:val="lowerLetter"/>
      <w:start w:val="1"/>
    </w:lvl>
  </w:abstractNum>
  <w:abstractNum w:abstractNumId="187">
    <w:nsid w:val="52A311C3"/>
    <w:multiLevelType w:val="hybridMultilevel"/>
    <w:lvl w:ilvl="0">
      <w:lvlJc w:val="left"/>
      <w:lvlText w:val="(%1)"/>
      <w:numFmt w:val="lowerLetter"/>
      <w:start w:val="1"/>
    </w:lvl>
  </w:abstractNum>
  <w:abstractNum w:abstractNumId="188">
    <w:nsid w:val="44EF6B80"/>
    <w:multiLevelType w:val="hybridMultilevel"/>
    <w:lvl w:ilvl="0">
      <w:lvlJc w:val="left"/>
      <w:lvlText w:val="(%1)"/>
      <w:numFmt w:val="lowerLetter"/>
      <w:start w:val="2"/>
    </w:lvl>
  </w:abstractNum>
  <w:abstractNum w:abstractNumId="189">
    <w:nsid w:val="12FCDE5E"/>
    <w:multiLevelType w:val="hybridMultilevel"/>
    <w:lvl w:ilvl="0">
      <w:lvlJc w:val="left"/>
      <w:lvlText w:val="(%1)"/>
      <w:numFmt w:val="lowerLetter"/>
      <w:start w:val="5"/>
    </w:lvl>
  </w:abstractNum>
  <w:abstractNum w:abstractNumId="190">
    <w:nsid w:val="4A1D606E"/>
    <w:multiLevelType w:val="hybridMultilevel"/>
    <w:lvl w:ilvl="0">
      <w:lvlJc w:val="left"/>
      <w:lvlText w:val="(%1)"/>
      <w:numFmt w:val="decimal"/>
      <w:start w:val="2"/>
    </w:lvl>
  </w:abstractNum>
  <w:abstractNum w:abstractNumId="191">
    <w:nsid w:val="4382503"/>
    <w:multiLevelType w:val="hybridMultilevel"/>
    <w:lvl w:ilvl="0">
      <w:lvlJc w:val="left"/>
      <w:lvlText w:val="(%1)"/>
      <w:numFmt w:val="lowerLetter"/>
      <w:start w:val="1"/>
    </w:lvl>
    <w:lvl w:ilvl="1">
      <w:lvlJc w:val="left"/>
      <w:lvlText w:val="(%2)"/>
      <w:numFmt w:val="lowerRoman"/>
      <w:start w:val="1"/>
    </w:lvl>
  </w:abstractNum>
  <w:abstractNum w:abstractNumId="192">
    <w:nsid w:val="59B76E28"/>
    <w:multiLevelType w:val="hybridMultilevel"/>
    <w:lvl w:ilvl="0">
      <w:lvlJc w:val="left"/>
      <w:lvlText w:val="(%1)"/>
      <w:numFmt w:val="lowerLetter"/>
      <w:start w:val="2"/>
    </w:lvl>
  </w:abstractNum>
  <w:abstractNum w:abstractNumId="193">
    <w:nsid w:val="4252C2DA"/>
    <w:multiLevelType w:val="hybridMultilevel"/>
    <w:lvl w:ilvl="0">
      <w:lvlJc w:val="left"/>
      <w:lvlText w:val=","/>
      <w:numFmt w:val="bullet"/>
      <w:start w:val="1"/>
    </w:lvl>
  </w:abstractNum>
  <w:abstractNum w:abstractNumId="194">
    <w:nsid w:val="6A92EF4C"/>
    <w:multiLevelType w:val="hybridMultilevel"/>
    <w:lvl w:ilvl="0">
      <w:lvlJc w:val="left"/>
      <w:lvlText w:val=","/>
      <w:numFmt w:val="bullet"/>
      <w:start w:val="1"/>
    </w:lvl>
  </w:abstractNum>
  <w:abstractNum w:abstractNumId="195">
    <w:nsid w:val="41ED20D7"/>
    <w:multiLevelType w:val="hybridMultilevel"/>
    <w:lvl w:ilvl="0">
      <w:lvlJc w:val="left"/>
      <w:lvlText w:val="(%1)"/>
      <w:numFmt w:val="lowerRoman"/>
      <w:start w:val="2"/>
    </w:lvl>
  </w:abstractNum>
  <w:abstractNum w:abstractNumId="196">
    <w:nsid w:val="E6B3F6A"/>
    <w:multiLevelType w:val="hybridMultilevel"/>
    <w:lvl w:ilvl="0">
      <w:lvlJc w:val="left"/>
      <w:lvlText w:val="."/>
      <w:numFmt w:val="bullet"/>
      <w:start w:val="1"/>
    </w:lvl>
  </w:abstractNum>
  <w:abstractNum w:abstractNumId="197">
    <w:nsid w:val="3EB21819"/>
    <w:multiLevelType w:val="hybridMultilevel"/>
    <w:lvl w:ilvl="0">
      <w:lvlJc w:val="left"/>
      <w:lvlText w:val="%1."/>
      <w:numFmt w:val="decimal"/>
      <w:start w:val="1"/>
    </w:lvl>
  </w:abstractNum>
  <w:abstractNum w:abstractNumId="198">
    <w:nsid w:val="41531DED"/>
    <w:multiLevelType w:val="hybridMultilevel"/>
    <w:lvl w:ilvl="0">
      <w:lvlJc w:val="left"/>
      <w:lvlText w:val="(%1)"/>
      <w:numFmt w:val="lowerLetter"/>
      <w:start w:val="1"/>
    </w:lvl>
  </w:abstractNum>
  <w:abstractNum w:abstractNumId="199">
    <w:nsid w:val="6353CD2"/>
    <w:multiLevelType w:val="hybridMultilevel"/>
    <w:lvl w:ilvl="0">
      <w:lvlJc w:val="left"/>
      <w:lvlText w:val="%1"/>
      <w:numFmt w:val="decimal"/>
      <w:start w:val="1"/>
    </w:lvl>
    <w:lvl w:ilvl="1">
      <w:lvlJc w:val="left"/>
      <w:lvlText w:val="(%2)"/>
      <w:numFmt w:val="lowerLetter"/>
      <w:start w:val="7"/>
    </w:lvl>
  </w:abstractNum>
  <w:abstractNum w:abstractNumId="200">
    <w:nsid w:val="683CAAD3"/>
    <w:multiLevelType w:val="hybridMultilevel"/>
    <w:lvl w:ilvl="0">
      <w:lvlJc w:val="left"/>
      <w:lvlText w:val="%1."/>
      <w:numFmt w:val="decimal"/>
      <w:start w:val="3"/>
    </w:lvl>
    <w:lvl w:ilvl="1">
      <w:lvlJc w:val="left"/>
      <w:lvlText w:val="%2"/>
      <w:numFmt w:val="lowerLetter"/>
      <w:start w:val="1"/>
    </w:lvl>
  </w:abstractNum>
  <w:abstractNum w:abstractNumId="201">
    <w:nsid w:val="313C7C99"/>
    <w:multiLevelType w:val="hybridMultilevel"/>
    <w:lvl w:ilvl="0">
      <w:lvlJc w:val="left"/>
      <w:lvlText w:val="(%1)"/>
      <w:numFmt w:val="lowerRoman"/>
      <w:start w:val="1"/>
    </w:lvl>
  </w:abstractNum>
  <w:abstractNum w:abstractNumId="202">
    <w:nsid w:val="519EB94C"/>
    <w:multiLevelType w:val="hybridMultilevel"/>
    <w:lvl w:ilvl="0">
      <w:lvlJc w:val="left"/>
      <w:lvlText w:val="(%1)"/>
      <w:numFmt w:val="lowerLetter"/>
      <w:start w:val="1"/>
    </w:lvl>
  </w:abstractNum>
  <w:abstractNum w:abstractNumId="203">
    <w:nsid w:val="39DF2579"/>
    <w:multiLevelType w:val="hybridMultilevel"/>
    <w:lvl w:ilvl="0">
      <w:lvlJc w:val="left"/>
      <w:lvlText w:val="%1."/>
      <w:numFmt w:val="decimal"/>
      <w:start w:val="4"/>
    </w:lvl>
  </w:abstractNum>
  <w:abstractNum w:abstractNumId="204">
    <w:nsid w:val="126E008B"/>
    <w:multiLevelType w:val="hybridMultilevel"/>
    <w:lvl w:ilvl="0">
      <w:lvlJc w:val="left"/>
      <w:lvlText w:val="(%1)"/>
      <w:numFmt w:val="lowerRoman"/>
      <w:start w:val="1"/>
    </w:lvl>
  </w:abstractNum>
  <w:abstractNum w:abstractNumId="205">
    <w:nsid w:val="34DFBC00"/>
    <w:multiLevelType w:val="hybridMultilevel"/>
    <w:lvl w:ilvl="0">
      <w:lvlJc w:val="left"/>
      <w:lvlText w:val="%1."/>
      <w:numFmt w:val="decimal"/>
      <w:start w:val="5"/>
    </w:lvl>
  </w:abstractNum>
  <w:abstractNum w:abstractNumId="206">
    <w:nsid w:val="1F9EC322"/>
    <w:multiLevelType w:val="hybridMultilevel"/>
    <w:lvl w:ilvl="0">
      <w:lvlJc w:val="left"/>
      <w:lvlText w:val="%1."/>
      <w:numFmt w:val="decimal"/>
      <w:start w:val="6"/>
    </w:lvl>
  </w:abstractNum>
  <w:abstractNum w:abstractNumId="207">
    <w:nsid w:val="3410ED56"/>
    <w:multiLevelType w:val="hybridMultilevel"/>
    <w:lvl w:ilvl="0">
      <w:lvlJc w:val="left"/>
      <w:lvlText w:val="%1."/>
      <w:numFmt w:val="decimal"/>
      <w:start w:val="7"/>
    </w:lvl>
  </w:abstractNum>
  <w:abstractNum w:abstractNumId="208">
    <w:nsid w:val="23C049A"/>
    <w:multiLevelType w:val="hybridMultilevel"/>
    <w:lvl w:ilvl="0">
      <w:lvlJc w:val="left"/>
      <w:lvlText w:val="%1."/>
      <w:numFmt w:val="decimal"/>
      <w:start w:val="8"/>
    </w:lvl>
  </w:abstractNum>
  <w:abstractNum w:abstractNumId="209">
    <w:nsid w:val="5BDA35D4"/>
    <w:multiLevelType w:val="hybridMultilevel"/>
    <w:lvl w:ilvl="0">
      <w:lvlJc w:val="left"/>
      <w:lvlText w:val="%1."/>
      <w:numFmt w:val="decimal"/>
      <w:start w:val="9"/>
    </w:lvl>
  </w:abstractNum>
  <w:abstractNum w:abstractNumId="210">
    <w:nsid w:val="496FB218"/>
    <w:multiLevelType w:val="hybridMultilevel"/>
    <w:lvl w:ilvl="0">
      <w:lvlJc w:val="left"/>
      <w:lvlText w:val="(%1)"/>
      <w:numFmt w:val="lowerRoman"/>
      <w:start w:val="2"/>
    </w:lvl>
  </w:abstractNum>
  <w:abstractNum w:abstractNumId="211">
    <w:nsid w:val="680EA5D1"/>
    <w:multiLevelType w:val="hybridMultilevel"/>
    <w:lvl w:ilvl="0">
      <w:lvlJc w:val="left"/>
      <w:lvlText w:val="."/>
      <w:numFmt w:val="bullet"/>
      <w:start w:val="1"/>
    </w:lvl>
  </w:abstractNum>
  <w:abstractNum w:abstractNumId="212">
    <w:nsid w:val="4A9554FE"/>
    <w:multiLevelType w:val="hybridMultilevel"/>
    <w:lvl w:ilvl="0">
      <w:lvlJc w:val="left"/>
      <w:lvlText w:val="(%1)"/>
      <w:numFmt w:val="lowerLetter"/>
      <w:start w:val="1"/>
    </w:lvl>
  </w:abstractNum>
  <w:abstractNum w:abstractNumId="213">
    <w:nsid w:val="392EDBE4"/>
    <w:multiLevelType w:val="hybridMultilevel"/>
    <w:lvl w:ilvl="0">
      <w:lvlJc w:val="left"/>
      <w:lvlText w:val="(%1)"/>
      <w:numFmt w:val="lowerLetter"/>
      <w:start w:val="8"/>
    </w:lvl>
  </w:abstractNum>
  <w:abstractNum w:abstractNumId="214">
    <w:nsid w:val="3D1A2DD9"/>
    <w:multiLevelType w:val="hybridMultilevel"/>
    <w:lvl w:ilvl="0">
      <w:lvlJc w:val="left"/>
      <w:lvlText w:val="%1."/>
      <w:numFmt w:val="decimal"/>
      <w:start w:val="1"/>
    </w:lvl>
  </w:abstractNum>
  <w:abstractNum w:abstractNumId="215">
    <w:nsid w:val="7F618FCD"/>
    <w:multiLevelType w:val="hybridMultilevel"/>
    <w:lvl w:ilvl="0">
      <w:lvlJc w:val="left"/>
      <w:lvlText w:val="%1."/>
      <w:numFmt w:val="decimal"/>
      <w:start w:val="3"/>
    </w:lvl>
  </w:abstractNum>
  <w:abstractNum w:abstractNumId="216">
    <w:nsid w:val="7843E45"/>
    <w:multiLevelType w:val="hybridMultilevel"/>
    <w:lvl w:ilvl="0">
      <w:lvlJc w:val="left"/>
      <w:lvlText w:val="%1."/>
      <w:numFmt w:val="decimal"/>
      <w:start w:val="1"/>
    </w:lvl>
  </w:abstractNum>
  <w:abstractNum w:abstractNumId="217">
    <w:nsid w:val="9815DA3"/>
    <w:multiLevelType w:val="hybridMultilevel"/>
    <w:lvl w:ilvl="0">
      <w:lvlJc w:val="left"/>
      <w:lvlText w:val="%1."/>
      <w:numFmt w:val="decimal"/>
      <w:start w:val="3"/>
    </w:lvl>
  </w:abstractNum>
  <w:abstractNum w:abstractNumId="218">
    <w:nsid w:val="5204A191"/>
    <w:multiLevelType w:val="hybridMultilevel"/>
    <w:lvl w:ilvl="0">
      <w:lvlJc w:val="left"/>
      <w:lvlText w:val="%1."/>
      <w:numFmt w:val="decimal"/>
      <w:start w:val="4"/>
    </w:lvl>
  </w:abstractNum>
  <w:abstractNum w:abstractNumId="219">
    <w:nsid w:val="4C73A9C6"/>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abstractNum>
  <w:abstractNum w:abstractNumId="220">
    <w:nsid w:val="1C7E3C0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221">
    <w:nsid w:val="1C2201FF"/>
    <w:multiLevelType w:val="hybridMultilevel"/>
    <w:lvl w:ilvl="0">
      <w:lvlJc w:val="left"/>
      <w:lvlText w:val="%1"/>
      <w:numFmt w:val="lowerRoman"/>
      <w:start w:val="1"/>
    </w:lvl>
    <w:lvl w:ilvl="1">
      <w:lvlJc w:val="left"/>
      <w:lvlText w:val="%2."/>
      <w:numFmt w:val="decimal"/>
      <w:start w:val="8"/>
    </w:lvl>
  </w:abstractNum>
  <w:abstractNum w:abstractNumId="222">
    <w:nsid w:val="50ABCEC9"/>
    <w:multiLevelType w:val="hybridMultilevel"/>
    <w:lvl w:ilvl="0">
      <w:lvlJc w:val="left"/>
      <w:lvlText w:val="(%1)"/>
      <w:numFmt w:val="lowerRoman"/>
      <w:start w:val="8"/>
    </w:lvl>
    <w:lvl w:ilvl="1">
      <w:lvlJc w:val="left"/>
      <w:lvlText w:val="%2"/>
      <w:numFmt w:val="decimal"/>
      <w:start w:val="1"/>
    </w:lvl>
  </w:abstractNum>
  <w:abstractNum w:abstractNumId="223">
    <w:nsid w:val="7635AA2A"/>
    <w:multiLevelType w:val="hybridMultilevel"/>
    <w:lvl w:ilvl="0">
      <w:lvlJc w:val="left"/>
      <w:lvlText w:val="%1."/>
      <w:numFmt w:val="decimal"/>
      <w:start w:val="12"/>
    </w:lvl>
  </w:abstractNum>
  <w:abstractNum w:abstractNumId="224">
    <w:nsid w:val="5E74C4D9"/>
    <w:multiLevelType w:val="hybridMultilevel"/>
    <w:lvl w:ilvl="0">
      <w:lvlJc w:val="left"/>
      <w:lvlText w:val="%1."/>
      <w:numFmt w:val="decimal"/>
      <w:start w:val="1"/>
    </w:lvl>
    <w:lvl w:ilvl="1">
      <w:lvlJc w:val="left"/>
      <w:lvlText w:val="(%2)"/>
      <w:numFmt w:val="lowerLetter"/>
      <w:start w:val="1"/>
    </w:lvl>
  </w:abstractNum>
  <w:abstractNum w:abstractNumId="225">
    <w:nsid w:val="3B3EBE15"/>
    <w:multiLevelType w:val="hybridMultilevel"/>
    <w:lvl w:ilvl="0">
      <w:lvlJc w:val="left"/>
      <w:lvlText w:val="(%1)"/>
      <w:numFmt w:val="lowerLetter"/>
      <w:start w:val="3"/>
    </w:lvl>
  </w:abstractNum>
  <w:abstractNum w:abstractNumId="226">
    <w:nsid w:val="3822CB01"/>
    <w:multiLevelType w:val="hybridMultilevel"/>
    <w:lvl w:ilvl="0">
      <w:lvlJc w:val="left"/>
      <w:lvlText w:val="%1"/>
      <w:numFmt w:val="decimal"/>
      <w:start w:val="1"/>
    </w:lvl>
    <w:lvl w:ilvl="1">
      <w:lvlJc w:val="left"/>
      <w:lvlText w:val="(%2)"/>
      <w:numFmt w:val="lowerLetter"/>
      <w:start w:val="11"/>
    </w:lvl>
  </w:abstractNum>
  <w:abstractNum w:abstractNumId="227">
    <w:nsid w:val="6CE00443"/>
    <w:multiLevelType w:val="hybridMultilevel"/>
    <w:lvl w:ilvl="0">
      <w:lvlJc w:val="left"/>
      <w:lvlText w:val="%1."/>
      <w:numFmt w:val="decimal"/>
      <w:start w:val="2"/>
    </w:lvl>
    <w:lvl w:ilvl="1">
      <w:lvlJc w:val="left"/>
      <w:lvlText w:val="(%2)"/>
      <w:numFmt w:val="lowerLetter"/>
      <w:start w:val="1"/>
    </w:lvl>
  </w:abstractNum>
  <w:abstractNum w:abstractNumId="228">
    <w:nsid w:val="79F0D62F"/>
    <w:multiLevelType w:val="hybridMultilevel"/>
    <w:lvl w:ilvl="0">
      <w:lvlJc w:val="left"/>
      <w:lvlText w:val="%1"/>
      <w:numFmt w:val="decimal"/>
      <w:start w:val="1"/>
    </w:lvl>
    <w:lvl w:ilvl="1">
      <w:lvlJc w:val="left"/>
      <w:lvlText w:val="(%2)"/>
      <w:numFmt w:val="lowerLetter"/>
      <w:start w:val="4"/>
    </w:lvl>
  </w:abstractNum>
  <w:abstractNum w:abstractNumId="229">
    <w:nsid w:val="7975E8EE"/>
    <w:multiLevelType w:val="hybridMultilevel"/>
    <w:lvl w:ilvl="0">
      <w:lvlJc w:val="left"/>
      <w:lvlText w:val="%1."/>
      <w:numFmt w:val="decimal"/>
      <w:start w:val="3"/>
    </w:lvl>
    <w:lvl w:ilvl="1">
      <w:lvlJc w:val="left"/>
      <w:lvlText w:val="(%2)"/>
      <w:numFmt w:val="lowerLetter"/>
      <w:start w:val="1"/>
    </w:lvl>
  </w:abstractNum>
  <w:abstractNum w:abstractNumId="230">
    <w:nsid w:val="73154115"/>
    <w:multiLevelType w:val="hybridMultilevel"/>
    <w:lvl w:ilvl="0">
      <w:lvlJc w:val="left"/>
      <w:lvlText w:val="%1"/>
      <w:numFmt w:val="decimal"/>
      <w:start w:val="1"/>
    </w:lvl>
    <w:lvl w:ilvl="1">
      <w:lvlJc w:val="left"/>
      <w:lvlText w:val="(%2)"/>
      <w:numFmt w:val="lowerLetter"/>
      <w:start w:val="7"/>
    </w:lvl>
  </w:abstractNum>
  <w:abstractNum w:abstractNumId="231">
    <w:nsid w:val="622D8102"/>
    <w:multiLevelType w:val="hybridMultilevel"/>
    <w:lvl w:ilvl="0">
      <w:lvlJc w:val="left"/>
      <w:lvlText w:val="%1."/>
      <w:numFmt w:val="decimal"/>
      <w:start w:val="4"/>
    </w:lvl>
    <w:lvl w:ilvl="1">
      <w:lvlJc w:val="left"/>
      <w:lvlText w:val="(%2)"/>
      <w:numFmt w:val="lowerLetter"/>
      <w:start w:val="1"/>
    </w:lvl>
  </w:abstractNum>
  <w:abstractNum w:abstractNumId="232">
    <w:nsid w:val="2AB26587"/>
    <w:multiLevelType w:val="hybridMultilevel"/>
    <w:lvl w:ilvl="0">
      <w:lvlJc w:val="left"/>
      <w:lvlText w:val="(%1)"/>
      <w:numFmt w:val="lowerLetter"/>
      <w:start w:val="2"/>
    </w:lvl>
  </w:abstractNum>
  <w:abstractNum w:abstractNumId="233">
    <w:nsid w:val="44B3FA61"/>
    <w:multiLevelType w:val="hybridMultilevel"/>
    <w:lvl w:ilvl="0">
      <w:lvlJc w:val="left"/>
      <w:lvlText w:val="(%1)"/>
      <w:numFmt w:val="lowerLetter"/>
      <w:start w:val="6"/>
    </w:lvl>
  </w:abstractNum>
  <w:abstractNum w:abstractNumId="234">
    <w:nsid w:val="1C0CA67C"/>
    <w:multiLevelType w:val="hybridMultilevel"/>
    <w:lvl w:ilvl="0">
      <w:lvlJc w:val="left"/>
      <w:lvlText w:val="1"/>
      <w:numFmt w:val="bullet"/>
      <w:start w:val="1"/>
    </w:lvl>
  </w:abstractNum>
  <w:abstractNum w:abstractNumId="235">
    <w:nsid w:val="3D206613"/>
    <w:multiLevelType w:val="hybridMultilevel"/>
    <w:lvl w:ilvl="0">
      <w:lvlJc w:val="left"/>
      <w:lvlText w:val="(%1)"/>
      <w:numFmt w:val="lowerLetter"/>
      <w:start w:val="1"/>
    </w:lvl>
  </w:abstractNum>
  <w:abstractNum w:abstractNumId="236">
    <w:nsid w:val="7993B662"/>
    <w:multiLevelType w:val="hybridMultilevel"/>
    <w:lvl w:ilvl="0">
      <w:lvlJc w:val="left"/>
      <w:lvlText w:val="(%1)"/>
      <w:numFmt w:val="lowerLetter"/>
      <w:start w:val="1"/>
    </w:lvl>
  </w:abstractNum>
  <w:abstractNum w:abstractNumId="237">
    <w:nsid w:val="3BAB699E"/>
    <w:multiLevelType w:val="hybridMultilevel"/>
    <w:lvl w:ilvl="0">
      <w:lvlJc w:val="left"/>
      <w:lvlText w:val="(%1)"/>
      <w:numFmt w:val="lowerRoman"/>
      <w:start w:val="1"/>
    </w:lvl>
  </w:abstractNum>
  <w:abstractNum w:abstractNumId="238">
    <w:nsid w:val="71315369"/>
    <w:multiLevelType w:val="hybridMultilevel"/>
    <w:lvl w:ilvl="0">
      <w:lvlJc w:val="left"/>
      <w:lvlText w:val="(%1)"/>
      <w:numFmt w:val="lowerRoman"/>
      <w:start w:val="1"/>
    </w:lvl>
  </w:abstractNum>
  <w:abstractNum w:abstractNumId="239">
    <w:nsid w:val="7BCFBAFC"/>
    <w:multiLevelType w:val="hybridMultilevel"/>
    <w:lvl w:ilvl="0">
      <w:lvlJc w:val="left"/>
      <w:lvlText w:val="(%1)"/>
      <w:numFmt w:val="lowerRoman"/>
      <w:start w:val="2"/>
    </w:lvl>
    <w:lvl w:ilvl="1">
      <w:lvlJc w:val="left"/>
      <w:lvlText w:val="%2"/>
      <w:numFmt w:val="upperLetter"/>
      <w:start w:val="1"/>
    </w:lvl>
  </w:abstractNum>
  <w:abstractNum w:abstractNumId="240">
    <w:nsid w:val="17859F72"/>
    <w:multiLevelType w:val="hybridMultilevel"/>
    <w:lvl w:ilvl="0">
      <w:lvlJc w:val="left"/>
      <w:lvlText w:val="%1"/>
      <w:numFmt w:val="upperLetter"/>
      <w:start w:val="1"/>
    </w:lvl>
    <w:lvl w:ilvl="1">
      <w:lvlJc w:val="left"/>
      <w:lvlText w:val="(%2)"/>
      <w:numFmt w:val="lowerRoman"/>
      <w:start w:val="1"/>
    </w:lvl>
  </w:abstractNum>
  <w:abstractNum w:abstractNumId="241">
    <w:nsid w:val="3AA10581"/>
    <w:multiLevelType w:val="hybridMultilevel"/>
    <w:lvl w:ilvl="0">
      <w:lvlJc w:val="left"/>
      <w:lvlText w:val="%1."/>
      <w:numFmt w:val="upperLetter"/>
      <w:start w:val="3"/>
    </w:lvl>
    <w:lvl w:ilvl="1">
      <w:lvlJc w:val="left"/>
      <w:lvlText w:val="(%2)"/>
      <w:numFmt w:val="lowerRoman"/>
      <w:start w:val="1"/>
    </w:lvl>
  </w:abstractNum>
  <w:abstractNum w:abstractNumId="242">
    <w:nsid w:val="63DE60CD"/>
    <w:multiLevelType w:val="hybridMultilevel"/>
    <w:lvl w:ilvl="0">
      <w:lvlJc w:val="left"/>
      <w:lvlText w:val="(%1)"/>
      <w:numFmt w:val="lowerRoman"/>
      <w:start w:val="3"/>
    </w:lvl>
  </w:abstractNum>
  <w:abstractNum w:abstractNumId="243">
    <w:nsid w:val="621AF471"/>
    <w:multiLevelType w:val="hybridMultilevel"/>
    <w:lvl w:ilvl="0">
      <w:lvlJc w:val="left"/>
      <w:lvlText w:val="%1."/>
      <w:numFmt w:val="decimal"/>
      <w:start w:val="1"/>
    </w:lvl>
  </w:abstractNum>
  <w:abstractNum w:abstractNumId="244">
    <w:nsid w:val="73CFE165"/>
    <w:multiLevelType w:val="hybridMultilevel"/>
    <w:lvl w:ilvl="0">
      <w:lvlJc w:val="left"/>
      <w:lvlText w:val="(%1)"/>
      <w:numFmt w:val="lowerLetter"/>
      <w:start w:val="1"/>
    </w:lvl>
    <w:lvl w:ilvl="1">
      <w:lvlJc w:val="left"/>
      <w:lvlText w:val="(%2)"/>
      <w:numFmt w:val="lowerRoman"/>
      <w:start w:val="1"/>
    </w:lvl>
  </w:abstractNum>
  <w:abstractNum w:abstractNumId="245">
    <w:nsid w:val="20F88EA6"/>
    <w:multiLevelType w:val="hybridMultilevel"/>
    <w:lvl w:ilvl="0">
      <w:lvlJc w:val="left"/>
      <w:lvlText w:val="%1"/>
      <w:numFmt w:val="lowerLetter"/>
      <w:start w:val="1"/>
    </w:lvl>
    <w:lvl w:ilvl="1">
      <w:lvlJc w:val="left"/>
      <w:lvlText w:val="(%2)"/>
      <w:numFmt w:val="lowerRoman"/>
      <w:start w:val="3"/>
    </w:lvl>
  </w:abstractNum>
  <w:abstractNum w:abstractNumId="246">
    <w:nsid w:val="617C843E"/>
    <w:multiLevelType w:val="hybridMultilevel"/>
    <w:lvl w:ilvl="0">
      <w:lvlJc w:val="left"/>
      <w:lvlText w:val="(%1)"/>
      <w:numFmt w:val="lowerLetter"/>
      <w:start w:val="4"/>
    </w:lvl>
    <w:lvl w:ilvl="1">
      <w:lvlJc w:val="left"/>
      <w:lvlText w:val="%2"/>
      <w:numFmt w:val="lowerRoman"/>
      <w:start w:val="1"/>
    </w:lvl>
  </w:abstractNum>
  <w:abstractNum w:abstractNumId="247">
    <w:nsid w:val="7B541FAB"/>
    <w:multiLevelType w:val="hybridMultilevel"/>
    <w:lvl w:ilvl="0">
      <w:lvlJc w:val="left"/>
      <w:lvlText w:val="(%1)"/>
      <w:numFmt w:val="lowerLetter"/>
      <w:start w:val="10"/>
    </w:lvl>
  </w:abstractNum>
  <w:abstractNum w:abstractNumId="248">
    <w:nsid w:val="2A79EC49"/>
    <w:multiLevelType w:val="hybridMultilevel"/>
    <w:lvl w:ilvl="0">
      <w:lvlJc w:val="left"/>
      <w:lvlText w:val="(%1)"/>
      <w:numFmt w:val="lowerLetter"/>
      <w:start w:val="15"/>
    </w:lvl>
  </w:abstractNum>
  <w:abstractNum w:abstractNumId="249">
    <w:nsid w:val="338125CF"/>
    <w:multiLevelType w:val="hybridMultilevel"/>
    <w:lvl w:ilvl="0">
      <w:lvlJc w:val="left"/>
      <w:lvlText w:val="%1."/>
      <w:numFmt w:val="decimal"/>
      <w:start w:val="3"/>
    </w:lvl>
  </w:abstractNum>
  <w:abstractNum w:abstractNumId="250">
    <w:nsid w:val="47C7C971"/>
    <w:multiLevelType w:val="hybridMultilevel"/>
    <w:lvl w:ilvl="0">
      <w:lvlJc w:val="left"/>
      <w:lvlText w:val="%1."/>
      <w:numFmt w:val="decimal"/>
      <w:start w:val="6"/>
    </w:lvl>
  </w:abstractNum>
  <w:abstractNum w:abstractNumId="251">
    <w:nsid w:val="46F8284B"/>
    <w:multiLevelType w:val="hybridMultilevel"/>
    <w:lvl w:ilvl="0">
      <w:lvlJc w:val="left"/>
      <w:lvlText w:val="(%1)"/>
      <w:numFmt w:val="lowerLetter"/>
      <w:start w:val="1"/>
    </w:lvl>
  </w:abstractNum>
  <w:abstractNum w:abstractNumId="252">
    <w:nsid w:val="4FA327CE"/>
    <w:multiLevelType w:val="hybridMultilevel"/>
    <w:lvl w:ilvl="0">
      <w:lvlJc w:val="left"/>
      <w:lvlText w:val="%1."/>
      <w:numFmt w:val="decimal"/>
      <w:start w:val="9"/>
    </w:lvl>
  </w:abstractNum>
  <w:abstractNum w:abstractNumId="253">
    <w:nsid w:val="1873983A"/>
    <w:multiLevelType w:val="hybridMultilevel"/>
    <w:lvl w:ilvl="0">
      <w:lvlJc w:val="left"/>
      <w:lvlText w:val="(%1)"/>
      <w:numFmt w:val="lowerLetter"/>
      <w:start w:val="1"/>
    </w:lvl>
  </w:abstractNum>
  <w:abstractNum w:abstractNumId="254">
    <w:nsid w:val="3D2DD275"/>
    <w:multiLevelType w:val="hybridMultilevel"/>
    <w:lvl w:ilvl="0">
      <w:lvlJc w:val="left"/>
      <w:lvlText w:val="(%1)"/>
      <w:numFmt w:val="lowerLetter"/>
      <w:start w:val="2"/>
    </w:lvl>
  </w:abstractNum>
  <w:abstractNum w:abstractNumId="255">
    <w:nsid w:val="2E17ECA7"/>
    <w:multiLevelType w:val="hybridMultilevel"/>
    <w:lvl w:ilvl="0">
      <w:lvlJc w:val="left"/>
      <w:lvlText w:val="(%1)"/>
      <w:numFmt w:val="lowerLetter"/>
      <w:start w:val="1"/>
    </w:lvl>
  </w:abstractNum>
  <w:abstractNum w:abstractNumId="256">
    <w:nsid w:val="53B2564F"/>
    <w:multiLevelType w:val="hybridMultilevel"/>
    <w:lvl w:ilvl="0">
      <w:lvlJc w:val="left"/>
      <w:lvlText w:val="(%1)"/>
      <w:numFmt w:val="lowerLetter"/>
      <w:start w:val="1"/>
    </w:lvl>
  </w:abstractNum>
  <w:abstractNum w:abstractNumId="257">
    <w:nsid w:val="75509D76"/>
    <w:multiLevelType w:val="hybridMultilevel"/>
    <w:lvl w:ilvl="0">
      <w:lvlJc w:val="left"/>
      <w:lvlText w:val="(%1)"/>
      <w:numFmt w:val="lowerLetter"/>
      <w:start w:val="2"/>
    </w:lvl>
  </w:abstractNum>
  <w:abstractNum w:abstractNumId="258">
    <w:nsid w:val="1AF7F0EA"/>
    <w:multiLevelType w:val="hybridMultilevel"/>
    <w:lvl w:ilvl="0">
      <w:lvlJc w:val="left"/>
      <w:lvlText w:val="(%1)"/>
      <w:numFmt w:val="lowerLetter"/>
      <w:start w:val="1"/>
    </w:lvl>
  </w:abstractNum>
  <w:abstractNum w:abstractNumId="259">
    <w:nsid w:val="4DA32C7E"/>
    <w:multiLevelType w:val="hybridMultilevel"/>
    <w:lvl w:ilvl="0">
      <w:lvlJc w:val="left"/>
      <w:lvlText w:val="(%1)"/>
      <w:numFmt w:val="lowerLetter"/>
      <w:start w:val="3"/>
    </w:lvl>
  </w:abstractNum>
  <w:abstractNum w:abstractNumId="260">
    <w:nsid w:val="6EC68664"/>
    <w:multiLevelType w:val="hybridMultilevel"/>
    <w:lvl w:ilvl="0">
      <w:lvlJc w:val="left"/>
      <w:lvlText w:val="(%1)"/>
      <w:numFmt w:val="lowerLetter"/>
      <w:start w:val="1"/>
    </w:lvl>
  </w:abstractNum>
  <w:abstractNum w:abstractNumId="261">
    <w:nsid w:val="E0D31FF"/>
    <w:multiLevelType w:val="hybridMultilevel"/>
    <w:lvl w:ilvl="0">
      <w:lvlJc w:val="left"/>
      <w:lvlText w:val="(%1)"/>
      <w:numFmt w:val="lowerLetter"/>
      <w:start w:val="5"/>
    </w:lvl>
  </w:abstractNum>
  <w:abstractNum w:abstractNumId="262">
    <w:nsid w:val="2FD0AD81"/>
    <w:multiLevelType w:val="hybridMultilevel"/>
    <w:lvl w:ilvl="0">
      <w:lvlJc w:val="left"/>
      <w:lvlText w:val="(%1)"/>
      <w:numFmt w:val="lowerLetter"/>
      <w:start w:val="1"/>
    </w:lvl>
  </w:abstractNum>
  <w:abstractNum w:abstractNumId="263">
    <w:nsid w:val="1978EBEB"/>
    <w:multiLevelType w:val="hybridMultilevel"/>
    <w:lvl w:ilvl="0">
      <w:lvlJc w:val="left"/>
      <w:lvlText w:val="(%1)"/>
      <w:numFmt w:val="lowerLetter"/>
      <w:start w:val="5"/>
    </w:lvl>
  </w:abstractNum>
  <w:abstractNum w:abstractNumId="264">
    <w:nsid w:val="52C12C61"/>
    <w:multiLevelType w:val="hybridMultilevel"/>
    <w:lvl w:ilvl="0">
      <w:lvlJc w:val="left"/>
      <w:lvlText w:val="%1."/>
      <w:numFmt w:val="decimal"/>
      <w:start w:val="15"/>
    </w:lvl>
  </w:abstractNum>
  <w:abstractNum w:abstractNumId="265">
    <w:nsid w:val="4BDD53FD"/>
    <w:multiLevelType w:val="hybridMultilevel"/>
    <w:lvl w:ilvl="0">
      <w:lvlJc w:val="left"/>
      <w:lvlText w:val="(%1)"/>
      <w:numFmt w:val="lowerLetter"/>
      <w:start w:val="1"/>
    </w:lvl>
  </w:abstractNum>
  <w:abstractNum w:abstractNumId="266">
    <w:nsid w:val="569951FE"/>
    <w:multiLevelType w:val="hybridMultilevel"/>
    <w:lvl w:ilvl="0">
      <w:lvlJc w:val="left"/>
      <w:lvlText w:val="(%1)"/>
      <w:numFmt w:val="lowerLetter"/>
      <w:start w:val="2"/>
    </w:lvl>
  </w:abstractNum>
  <w:abstractNum w:abstractNumId="267">
    <w:nsid w:val="4C54E2C3"/>
    <w:multiLevelType w:val="hybridMultilevel"/>
    <w:lvl w:ilvl="0">
      <w:lvlJc w:val="left"/>
      <w:lvlText w:val="%1"/>
      <w:numFmt w:val="lowerLetter"/>
      <w:start w:val="1"/>
    </w:lvl>
    <w:lvl w:ilvl="1">
      <w:lvlJc w:val="left"/>
      <w:lvlText w:val="(%2)"/>
      <w:numFmt w:val="lowerLetter"/>
      <w:start w:val="6"/>
    </w:lvl>
  </w:abstractNum>
  <w:abstractNum w:abstractNumId="268">
    <w:nsid w:val="788BD9B"/>
    <w:multiLevelType w:val="hybridMultilevel"/>
    <w:lvl w:ilvl="0">
      <w:lvlJc w:val="left"/>
      <w:lvlText w:val="(%1)"/>
      <w:numFmt w:val="lowerLetter"/>
      <w:start w:val="35"/>
    </w:lvl>
    <w:lvl w:ilvl="1">
      <w:lvlJc w:val="left"/>
      <w:lvlText w:val="%2"/>
      <w:numFmt w:val="lowerLetter"/>
      <w:start w:val="1"/>
    </w:lvl>
  </w:abstractNum>
  <w:abstractNum w:abstractNumId="269">
    <w:nsid w:val="47CAA567"/>
    <w:multiLevelType w:val="hybridMultilevel"/>
    <w:lvl w:ilvl="0">
      <w:lvlJc w:val="left"/>
      <w:lvlText w:val="%1."/>
      <w:numFmt w:val="decimal"/>
      <w:start w:val="17"/>
    </w:lvl>
  </w:abstractNum>
  <w:abstractNum w:abstractNumId="270">
    <w:nsid w:val="48249DBF"/>
    <w:multiLevelType w:val="hybridMultilevel"/>
    <w:lvl w:ilvl="0">
      <w:lvlJc w:val="left"/>
      <w:lvlText w:val="(%1)"/>
      <w:numFmt w:val="lowerLetter"/>
      <w:start w:val="1"/>
    </w:lvl>
  </w:abstractNum>
  <w:abstractNum w:abstractNumId="271">
    <w:nsid w:val="1F0E5D0D"/>
    <w:multiLevelType w:val="hybridMultilevel"/>
    <w:lvl w:ilvl="0">
      <w:lvlJc w:val="left"/>
      <w:lvlText w:val="(%1)"/>
      <w:numFmt w:val="lowerLetter"/>
      <w:start w:val="3"/>
    </w:lvl>
  </w:abstractNum>
  <w:abstractNum w:abstractNumId="272">
    <w:nsid w:val="26BAAE9"/>
    <w:multiLevelType w:val="hybridMultilevel"/>
    <w:lvl w:ilvl="0">
      <w:lvlJc w:val="left"/>
      <w:lvlText w:val="%1."/>
      <w:numFmt w:val="decimal"/>
      <w:start w:val="20"/>
    </w:lvl>
  </w:abstractNum>
  <w:abstractNum w:abstractNumId="273">
    <w:nsid w:val="2C02FE8C"/>
    <w:multiLevelType w:val="hybridMultilevel"/>
    <w:lvl w:ilvl="0">
      <w:lvlJc w:val="left"/>
      <w:lvlText w:val="(%1)"/>
      <w:numFmt w:val="lowerLetter"/>
      <w:start w:val="1"/>
    </w:lvl>
  </w:abstractNum>
  <w:abstractNum w:abstractNumId="274">
    <w:nsid w:val="129517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2"/>
    </w:lvl>
  </w:abstractNum>
  <w:abstractNum w:abstractNumId="275">
    <w:nsid w:val="763B8C4E"/>
    <w:multiLevelType w:val="hybridMultilevel"/>
    <w:lvl w:ilvl="0">
      <w:lvlJc w:val="left"/>
      <w:lvlText w:val="(%1)"/>
      <w:numFmt w:val="lowerLetter"/>
      <w:start w:val="3"/>
    </w:lvl>
    <w:lvl w:ilvl="1">
      <w:lvlJc w:val="left"/>
      <w:lvlText w:val="%2."/>
      <w:numFmt w:val="decimal"/>
      <w:start w:val="23"/>
    </w:lvl>
    <w:lvl w:ilvl="2">
      <w:lvlJc w:val="left"/>
      <w:lvlText w:val="%3"/>
      <w:numFmt w:val="decimal"/>
      <w:start w:val="1"/>
    </w:lvl>
  </w:abstractNum>
  <w:abstractNum w:abstractNumId="276">
    <w:nsid w:val="4CFB8D32"/>
    <w:multiLevelType w:val="hybridMultilevel"/>
    <w:lvl w:ilvl="0">
      <w:lvlJc w:val="left"/>
      <w:lvlText w:val="%1."/>
      <w:numFmt w:val="decimal"/>
      <w:start w:val="27"/>
    </w:lvl>
  </w:abstractNum>
  <w:abstractNum w:abstractNumId="277">
    <w:nsid w:val="62A5D5BD"/>
    <w:multiLevelType w:val="hybridMultilevel"/>
    <w:lvl w:ilvl="0">
      <w:lvlJc w:val="left"/>
      <w:lvlText w:val="%1."/>
      <w:numFmt w:val="decimal"/>
      <w:start w:val="1"/>
    </w:lvl>
  </w:abstractNum>
  <w:abstractNum w:abstractNumId="278">
    <w:nsid w:val="718FABF9"/>
    <w:multiLevelType w:val="hybridMultilevel"/>
    <w:lvl w:ilvl="0">
      <w:lvlJc w:val="left"/>
      <w:lvlText w:val="%1."/>
      <w:numFmt w:val="decimal"/>
      <w:start w:val="4"/>
    </w:lvl>
    <w:lvl w:ilvl="1">
      <w:lvlJc w:val="left"/>
      <w:lvlText w:val="(%2)"/>
      <w:numFmt w:val="lowerLetter"/>
      <w:start w:val="1"/>
    </w:lvl>
  </w:abstractNum>
  <w:abstractNum w:abstractNumId="279">
    <w:nsid w:val="7775797C"/>
    <w:multiLevelType w:val="hybridMultilevel"/>
    <w:lvl w:ilvl="0">
      <w:lvlJc w:val="left"/>
      <w:lvlText w:val="%1."/>
      <w:numFmt w:val="decimal"/>
      <w:start w:val="8"/>
    </w:lvl>
  </w:abstractNum>
  <w:abstractNum w:abstractNumId="280">
    <w:nsid w:val="1626FB8C"/>
    <w:multiLevelType w:val="hybridMultilevel"/>
    <w:lvl w:ilvl="0">
      <w:lvlJc w:val="left"/>
      <w:lvlText w:val="%1."/>
      <w:numFmt w:val="decimal"/>
      <w:start w:val="1"/>
    </w:lvl>
  </w:abstractNum>
  <w:abstractNum w:abstractNumId="281">
    <w:nsid w:val="3957756A"/>
    <w:multiLevelType w:val="hybridMultilevel"/>
    <w:lvl w:ilvl="0">
      <w:lvlJc w:val="left"/>
      <w:lvlText w:val="%1."/>
      <w:numFmt w:val="decimal"/>
      <w:start w:val="2"/>
    </w:lvl>
  </w:abstractNum>
  <w:abstractNum w:abstractNumId="282">
    <w:nsid w:val="3E6DA1C7"/>
    <w:multiLevelType w:val="hybridMultilevel"/>
    <w:lvl w:ilvl="0">
      <w:lvlJc w:val="left"/>
      <w:lvlText w:val="%1."/>
      <w:numFmt w:val="decimal"/>
      <w:start w:val="3"/>
    </w:lvl>
  </w:abstractNum>
  <w:abstractNum w:abstractNumId="283">
    <w:nsid w:val="65CA235B"/>
    <w:multiLevelType w:val="hybridMultilevel"/>
    <w:lvl w:ilvl="0">
      <w:lvlJc w:val="left"/>
      <w:lvlText w:val="%1."/>
      <w:numFmt w:val="decimal"/>
      <w:start w:val="4"/>
    </w:lvl>
  </w:abstractNum>
  <w:abstractNum w:abstractNumId="284">
    <w:nsid w:val="51CB0DA4"/>
    <w:multiLevelType w:val="hybridMultilevel"/>
    <w:lvl w:ilvl="0">
      <w:lvlJc w:val="left"/>
      <w:lvlText w:val="%1."/>
      <w:numFmt w:val="decimal"/>
      <w:start w:val="6"/>
    </w:lvl>
  </w:abstractNum>
  <w:abstractNum w:abstractNumId="285">
    <w:nsid w:val="7B9B74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286">
    <w:nsid w:val="13E21002"/>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287">
    <w:nsid w:val="257D63F4"/>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288">
    <w:nsid w:val="70EC11B2"/>
    <w:multiLevelType w:val="hybridMultilevel"/>
    <w:lvl w:ilvl="0">
      <w:lvlJc w:val="left"/>
      <w:lvlText w:val="(%1)"/>
      <w:numFmt w:val="lowerLetter"/>
      <w:start w:val="2"/>
    </w:lvl>
  </w:abstractNum>
  <w:abstractNum w:abstractNumId="289">
    <w:nsid w:val="2EDA00ED"/>
    <w:multiLevelType w:val="hybridMultilevel"/>
    <w:lvl w:ilvl="0">
      <w:lvlJc w:val="left"/>
      <w:lvlText w:val="%1."/>
      <w:numFmt w:val="decimal"/>
      <w:start w:val="2"/>
    </w:lvl>
    <w:lvl w:ilvl="1">
      <w:lvlJc w:val="left"/>
      <w:lvlText w:val="(%2)"/>
      <w:numFmt w:val="lowerLetter"/>
      <w:start w:val="1"/>
    </w:lvl>
  </w:abstractNum>
  <w:abstractNum w:abstractNumId="290">
    <w:nsid w:val="73209072"/>
    <w:multiLevelType w:val="hybridMultilevel"/>
    <w:lvl w:ilvl="0">
      <w:lvlJc w:val="left"/>
      <w:lvlText w:val="%1"/>
      <w:numFmt w:val="lowerLetter"/>
      <w:start w:val="1"/>
    </w:lvl>
    <w:lvl w:ilvl="1">
      <w:lvlJc w:val="left"/>
      <w:lvlText w:val="(%2)"/>
      <w:numFmt w:val="lowerLetter"/>
      <w:start w:val="4"/>
    </w:lvl>
  </w:abstractNum>
  <w:abstractNum w:abstractNumId="291">
    <w:nsid w:val="5FB29816"/>
    <w:multiLevelType w:val="hybridMultilevel"/>
    <w:lvl w:ilvl="0">
      <w:lvlJc w:val="left"/>
      <w:lvlText w:val="(%1)"/>
      <w:numFmt w:val="lowerLetter"/>
      <w:start w:val="22"/>
    </w:lvl>
    <w:lvl w:ilvl="1">
      <w:lvlJc w:val="left"/>
      <w:lvlText w:val="(%2)"/>
      <w:numFmt w:val="lowerLetter"/>
      <w:start w:val="5"/>
    </w:lvl>
  </w:abstractNum>
  <w:abstractNum w:abstractNumId="292">
    <w:nsid w:val="3CE732EC"/>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293">
    <w:nsid w:val="22F13DF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4">
    <w:nsid w:val="792B8401"/>
    <w:multiLevelType w:val="hybridMultilevel"/>
    <w:lvl w:ilvl="0">
      <w:lvlJc w:val="left"/>
      <w:lvlText w:val="%1"/>
      <w:numFmt w:val="lowerLetter"/>
      <w:start w:val="1"/>
    </w:lvl>
    <w:lvl w:ilvl="1">
      <w:lvlJc w:val="left"/>
      <w:lvlText w:val="(%2)"/>
      <w:numFmt w:val="lowerLetter"/>
      <w:start w:val="4"/>
    </w:lvl>
  </w:abstractNum>
  <w:abstractNum w:abstractNumId="295">
    <w:nsid w:val="FA85F4D"/>
    <w:multiLevelType w:val="hybridMultilevel"/>
    <w:lvl w:ilvl="0">
      <w:lvlJc w:val="left"/>
      <w:lvlText w:val="(%1)"/>
      <w:numFmt w:val="lowerLetter"/>
      <w:start w:val="22"/>
    </w:lvl>
    <w:lvl w:ilvl="1">
      <w:lvlJc w:val="left"/>
      <w:lvlText w:val="(%2)"/>
      <w:numFmt w:val="lowerLetter"/>
      <w:start w:val="7"/>
    </w:lvl>
  </w:abstractNum>
  <w:abstractNum w:abstractNumId="296">
    <w:nsid w:val="6ECE91F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97">
    <w:nsid w:val="4FC4D600"/>
    <w:multiLevelType w:val="hybridMultilevel"/>
    <w:lvl w:ilvl="0">
      <w:lvlJc w:val="left"/>
      <w:lvlText w:val="%1"/>
      <w:numFmt w:val="lowerLetter"/>
      <w:start w:val="1"/>
    </w:lvl>
    <w:lvl w:ilvl="1">
      <w:lvlJc w:val="left"/>
      <w:lvlText w:val="(%2)"/>
      <w:numFmt w:val="lowerLetter"/>
      <w:start w:val="35"/>
    </w:lvl>
  </w:abstractNum>
  <w:abstractNum w:abstractNumId="298">
    <w:nsid w:val="5BFD4210"/>
    <w:multiLevelType w:val="hybridMultilevel"/>
    <w:lvl w:ilvl="0">
      <w:lvlJc w:val="left"/>
      <w:lvlText w:val="(%1)"/>
      <w:numFmt w:val="lowerLetter"/>
      <w:start w:val="2"/>
    </w:lvl>
    <w:lvl w:ilvl="1">
      <w:lvlJc w:val="left"/>
      <w:lvlText w:val="(%2)"/>
      <w:numFmt w:val="lowerLetter"/>
      <w:start w:val="9"/>
    </w:lvl>
  </w:abstractNum>
  <w:abstractNum w:abstractNumId="299">
    <w:nsid w:val="76574F8B"/>
    <w:multiLevelType w:val="hybridMultilevel"/>
    <w:lvl w:ilvl="0">
      <w:lvlJc w:val="left"/>
      <w:lvlText w:val="%1"/>
      <w:numFmt w:val="lowerLetter"/>
      <w:start w:val="1"/>
    </w:lvl>
    <w:lvl w:ilvl="1">
      <w:lvlJc w:val="left"/>
      <w:lvlText w:val="(%2)"/>
      <w:numFmt w:val="lowerRoman"/>
      <w:start w:val="2"/>
    </w:lvl>
  </w:abstractNum>
  <w:abstractNum w:abstractNumId="300">
    <w:nsid w:val="178F7B67"/>
    <w:multiLevelType w:val="hybridMultilevel"/>
    <w:lvl w:ilvl="0">
      <w:lvlJc w:val="left"/>
      <w:lvlText w:val="(%1)"/>
      <w:numFmt w:val="lowerLetter"/>
      <w:start w:val="3"/>
    </w:lvl>
    <w:lvl w:ilvl="1">
      <w:lvlJc w:val="left"/>
      <w:lvlText w:val="%2"/>
      <w:numFmt w:val="lowerRoman"/>
      <w:start w:val="1"/>
    </w:lvl>
  </w:abstractNum>
  <w:abstractNum w:abstractNumId="301">
    <w:nsid w:val="2421DFC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2">
    <w:nsid w:val="1565AC9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3">
    <w:nsid w:val="19FB265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4">
    <w:nsid w:val="5024DE5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05">
    <w:nsid w:val="168EFE1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06">
    <w:nsid w:val="1036B29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7">
    <w:nsid w:val="1D206B8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8">
    <w:nsid w:val="7934D3D4"/>
    <w:multiLevelType w:val="hybridMultilevel"/>
    <w:lvl w:ilvl="0">
      <w:lvlJc w:val="left"/>
      <w:lvlText w:val="%1."/>
      <w:numFmt w:val="decimal"/>
      <w:start w:val="11"/>
    </w:lvl>
    <w:lvl w:ilvl="1">
      <w:lvlJc w:val="left"/>
      <w:lvlText w:val="(%2)"/>
      <w:numFmt w:val="lowerLetter"/>
      <w:start w:val="1"/>
    </w:lvl>
  </w:abstractNum>
  <w:abstractNum w:abstractNumId="309">
    <w:nsid w:val="1C65E98"/>
    <w:multiLevelType w:val="hybridMultilevel"/>
    <w:lvl w:ilvl="0">
      <w:lvlJc w:val="left"/>
      <w:lvlText w:val="(%1)"/>
      <w:numFmt w:val="lowerLetter"/>
      <w:start w:val="2"/>
    </w:lvl>
  </w:abstractNum>
  <w:abstractNum w:abstractNumId="310">
    <w:nsid w:val="1495E50A"/>
    <w:multiLevelType w:val="hybridMultilevel"/>
    <w:lvl w:ilvl="0">
      <w:lvlJc w:val="left"/>
      <w:lvlText w:val="(%1)"/>
      <w:numFmt w:val="lowerLetter"/>
      <w:start w:val="7"/>
    </w:lvl>
  </w:abstractNum>
  <w:abstractNum w:abstractNumId="311">
    <w:nsid w:val="F5BCF61"/>
    <w:multiLevelType w:val="hybridMultilevel"/>
    <w:lvl w:ilvl="0">
      <w:lvlJc w:val="left"/>
      <w:lvlText w:val="(%1)"/>
      <w:numFmt w:val="lowerLetter"/>
      <w:start w:val="16"/>
    </w:lvl>
  </w:abstractNum>
  <w:abstractNum w:abstractNumId="312">
    <w:nsid w:val="3B1DD403"/>
    <w:multiLevelType w:val="hybridMultilevel"/>
    <w:lvl w:ilvl="0">
      <w:lvlJc w:val="left"/>
      <w:lvlText w:val="●"/>
      <w:numFmt w:val="bullet"/>
      <w:start w:val="1"/>
    </w:lvl>
  </w:abstractNum>
  <w:abstractNum w:abstractNumId="313">
    <w:nsid w:val="530386D1"/>
    <w:multiLevelType w:val="hybridMultilevel"/>
    <w:lvl w:ilvl="0">
      <w:lvlJc w:val="left"/>
      <w:lvlText w:val="●"/>
      <w:numFmt w:val="bullet"/>
      <w:start w:val="1"/>
    </w:lvl>
  </w:abstractNum>
  <w:abstractNum w:abstractNumId="314">
    <w:nsid w:val="7525F2BC"/>
    <w:multiLevelType w:val="hybridMultilevel"/>
    <w:lvl w:ilvl="0">
      <w:lvlJc w:val="left"/>
      <w:lvlText w:val="%1."/>
      <w:numFmt w:val="upperLetter"/>
      <w:start w:val="60"/>
    </w:lvl>
    <w:lvl w:ilvl="1">
      <w:lvlJc w:val="left"/>
      <w:lvlText w:val="●"/>
      <w:numFmt w:val="bullet"/>
      <w:start w:val="1"/>
    </w:lvl>
    <w:lvl w:ilvl="2">
      <w:lvlJc w:val="left"/>
      <w:lvlText w:val="●"/>
      <w:numFmt w:val="bullet"/>
      <w:start w:val="1"/>
    </w:lvl>
  </w:abstractNum>
  <w:abstractNum w:abstractNumId="315">
    <w:nsid w:val="CE8E1A7"/>
    <w:multiLevelType w:val="hybridMultilevel"/>
    <w:lvl w:ilvl="0">
      <w:lvlJc w:val="left"/>
      <w:lvlText w:val="●"/>
      <w:numFmt w:val="bullet"/>
      <w:start w:val="1"/>
    </w:lvl>
  </w:abstractNum>
  <w:abstractNum w:abstractNumId="316">
    <w:nsid w:val="4E9EFB0D"/>
    <w:multiLevelType w:val="hybridMultilevel"/>
    <w:lvl w:ilvl="0">
      <w:lvlJc w:val="left"/>
      <w:lvlText w:val="●"/>
      <w:numFmt w:val="bullet"/>
      <w:start w:val="1"/>
    </w:lvl>
  </w:abstractNum>
  <w:abstractNum w:abstractNumId="317">
    <w:nsid w:val="90802BE"/>
    <w:multiLevelType w:val="hybridMultilevel"/>
    <w:lvl w:ilvl="0">
      <w:lvlJc w:val="left"/>
      <w:lvlText w:val="●"/>
      <w:numFmt w:val="bullet"/>
      <w:start w:val="1"/>
    </w:lvl>
  </w:abstractNum>
  <w:abstractNum w:abstractNumId="318">
    <w:nsid w:val="3266459B"/>
    <w:multiLevelType w:val="hybridMultilevel"/>
    <w:lvl w:ilvl="0">
      <w:lvlJc w:val="left"/>
      <w:lvlText w:val="●"/>
      <w:numFmt w:val="bullet"/>
      <w:start w:val="1"/>
    </w:lvl>
  </w:abstractNum>
  <w:abstractNum w:abstractNumId="319">
    <w:nsid w:val="3F8B0CBF"/>
    <w:multiLevelType w:val="hybridMultilevel"/>
    <w:lvl w:ilvl="0">
      <w:lvlJc w:val="left"/>
      <w:lvlText w:val="%1"/>
      <w:numFmt w:val="upperLetter"/>
      <w:start w:val="1"/>
    </w:lvl>
    <w:lvl w:ilvl="1">
      <w:lvlJc w:val="left"/>
      <w:lvlText w:val="●"/>
      <w:numFmt w:val="bullet"/>
      <w:start w:val="1"/>
    </w:lvl>
  </w:abstractNum>
  <w:abstractNum w:abstractNumId="320">
    <w:nsid w:val="37E203AB"/>
    <w:multiLevelType w:val="hybridMultilevel"/>
    <w:lvl w:ilvl="0">
      <w:lvlJc w:val="left"/>
      <w:lvlText w:val="%1."/>
      <w:numFmt w:val="upperLetter"/>
      <w:start w:val="9"/>
    </w:lvl>
  </w:abstractNum>
  <w:abstractNum w:abstractNumId="321">
    <w:nsid w:val="2586D60E"/>
    <w:multiLevelType w:val="hybridMultilevel"/>
    <w:lvl w:ilvl="0">
      <w:lvlJc w:val="left"/>
      <w:lvlText w:val="%1."/>
      <w:numFmt w:val="upperLetter"/>
      <w:start w:val="35"/>
    </w:lvl>
  </w:abstractNum>
  <w:abstractNum w:abstractNumId="322">
    <w:nsid w:val="1F3DA4D5"/>
    <w:multiLevelType w:val="hybridMultilevel"/>
    <w:lvl w:ilvl="0">
      <w:lvlJc w:val="left"/>
      <w:lvlText w:val="%1."/>
      <w:numFmt w:val="upperLetter"/>
      <w:start w:val="1"/>
    </w:lvl>
  </w:abstractNum>
  <w:abstractNum w:abstractNumId="323">
    <w:nsid w:val="74C93698"/>
    <w:multiLevelType w:val="hybridMultilevel"/>
    <w:lvl w:ilvl="0">
      <w:lvlJc w:val="left"/>
      <w:lvlText w:val="%1."/>
      <w:numFmt w:val="upperLetter"/>
      <w:start w:val="2"/>
    </w:lvl>
  </w:abstractNum>
  <w:abstractNum w:abstractNumId="324">
    <w:nsid w:val="48781401"/>
    <w:multiLevelType w:val="hybridMultilevel"/>
    <w:lvl w:ilvl="0">
      <w:lvlJc w:val="left"/>
      <w:lvlText w:val="%1."/>
      <w:numFmt w:val="upperLetter"/>
      <w:start w:val="3"/>
    </w:lvl>
  </w:abstractNum>
  <w:abstractNum w:abstractNumId="325">
    <w:nsid w:val="186928D6"/>
    <w:multiLevelType w:val="hybridMultilevel"/>
    <w:lvl w:ilvl="0">
      <w:lvlJc w:val="left"/>
      <w:lvlText w:val="%1."/>
      <w:numFmt w:val="upperLetter"/>
      <w:start w:val="4"/>
    </w:lvl>
  </w:abstractNum>
  <w:abstractNum w:abstractNumId="326">
    <w:nsid w:val="47195E5"/>
    <w:multiLevelType w:val="hybridMultilevel"/>
    <w:lvl w:ilvl="0">
      <w:lvlJc w:val="left"/>
      <w:lvlText w:val="%1."/>
      <w:numFmt w:val="upperLetter"/>
      <w:start w:val="61"/>
    </w:lvl>
  </w:abstractNum>
  <w:abstractNum w:abstractNumId="327">
    <w:nsid w:val="3746A5F2"/>
    <w:multiLevelType w:val="hybridMultilevel"/>
    <w:lvl w:ilvl="0">
      <w:lvlJc w:val="left"/>
      <w:lvlText w:val="%1."/>
      <w:numFmt w:val="upperLetter"/>
      <w:start w:val="22"/>
    </w:lvl>
  </w:abstractNum>
  <w:abstractNum w:abstractNumId="328">
    <w:nsid w:val="682DFED6"/>
    <w:multiLevelType w:val="hybridMultilevel"/>
    <w:lvl w:ilvl="0">
      <w:lvlJc w:val="left"/>
      <w:lvlText w:val="%1."/>
      <w:numFmt w:val="upperLetter"/>
      <w:start w:val="1"/>
    </w:lvl>
    <w:lvl w:ilvl="1">
      <w:lvlJc w:val="left"/>
      <w:lvlText w:val="(%2)"/>
      <w:numFmt w:val="lowerRoman"/>
      <w:start w:val="1"/>
    </w:lvl>
  </w:abstractNum>
  <w:abstractNum w:abstractNumId="329">
    <w:nsid w:val="606ED7F6"/>
    <w:multiLevelType w:val="hybridMultilevel"/>
    <w:lvl w:ilvl="0">
      <w:lvlJc w:val="left"/>
      <w:lvlText w:val="(%1)"/>
      <w:numFmt w:val="lowerRoman"/>
      <w:start w:val="4"/>
    </w:lvl>
  </w:abstractNum>
  <w:abstractNum w:abstractNumId="330">
    <w:nsid w:val="2D9DF57D"/>
    <w:multiLevelType w:val="hybridMultilevel"/>
    <w:lvl w:ilvl="0">
      <w:lvlJc w:val="left"/>
      <w:lvlText w:val="(%1)"/>
      <w:numFmt w:val="lowerRoman"/>
      <w:start w:val="6"/>
    </w:lvl>
  </w:abstractNum>
  <w:abstractNum w:abstractNumId="331">
    <w:nsid w:val="7FBD7A3E"/>
    <w:multiLevelType w:val="hybridMultilevel"/>
    <w:lvl w:ilvl="0">
      <w:lvlJc w:val="left"/>
      <w:lvlText w:val="%1."/>
      <w:numFmt w:val="upperLetter"/>
      <w:start w:val="2"/>
    </w:lvl>
    <w:lvl w:ilvl="1">
      <w:lvlJc w:val="left"/>
      <w:lvlText w:val="(%2)"/>
      <w:numFmt w:val="lowerRoman"/>
      <w:start w:val="1"/>
    </w:lvl>
  </w:abstractNum>
  <w:abstractNum w:abstractNumId="332">
    <w:nsid w:val="490B7C5"/>
    <w:multiLevelType w:val="hybridMultilevel"/>
    <w:lvl w:ilvl="0">
      <w:lvlJc w:val="left"/>
      <w:lvlText w:val="%1."/>
      <w:numFmt w:val="upperLetter"/>
      <w:start w:val="3"/>
    </w:lvl>
    <w:lvl w:ilvl="1">
      <w:lvlJc w:val="left"/>
      <w:lvlText w:val="(%2)"/>
      <w:numFmt w:val="lowerRoman"/>
      <w:start w:val="1"/>
    </w:lvl>
  </w:abstractNum>
  <w:abstractNum w:abstractNumId="333">
    <w:nsid w:val="4303A216"/>
    <w:multiLevelType w:val="hybridMultilevel"/>
    <w:lvl w:ilvl="0">
      <w:lvlJc w:val="left"/>
      <w:lvlText w:val="%1"/>
      <w:numFmt w:val="upperLetter"/>
      <w:start w:val="1"/>
    </w:lvl>
    <w:lvl w:ilvl="1">
      <w:lvlJc w:val="left"/>
      <w:lvlText w:val="(%2)"/>
      <w:numFmt w:val="lowerRoman"/>
      <w:start w:val="3"/>
    </w:lvl>
  </w:abstractNum>
  <w:abstractNum w:abstractNumId="334">
    <w:nsid w:val="19B8A08E"/>
    <w:multiLevelType w:val="hybridMultilevel"/>
    <w:lvl w:ilvl="0">
      <w:lvlJc w:val="left"/>
      <w:lvlText w:val="%1."/>
      <w:numFmt w:val="upperLetter"/>
      <w:start w:val="5"/>
    </w:lvl>
    <w:lvl w:ilvl="1">
      <w:lvlJc w:val="left"/>
      <w:lvlText w:val="(%2)"/>
      <w:numFmt w:val="lowerRoman"/>
      <w:start w:val="1"/>
    </w:lvl>
  </w:abstractNum>
  <w:abstractNum w:abstractNumId="335">
    <w:nsid w:val="54B59621"/>
    <w:multiLevelType w:val="hybridMultilevel"/>
    <w:lvl w:ilvl="0">
      <w:lvlJc w:val="left"/>
      <w:lvlText w:val="%1."/>
      <w:numFmt w:val="upperLetter"/>
      <w:start w:val="9"/>
    </w:lvl>
  </w:abstractNum>
  <w:abstractNum w:abstractNumId="336">
    <w:nsid w:val="5992A02E"/>
    <w:multiLevelType w:val="hybridMultilevel"/>
    <w:lvl w:ilvl="0">
      <w:lvlJc w:val="left"/>
      <w:lvlText w:val="%1."/>
      <w:numFmt w:val="upperLetter"/>
      <w:start w:val="35"/>
    </w:lvl>
  </w:abstractNum>
  <w:abstractNum w:abstractNumId="337">
    <w:nsid w:val="29EF532D"/>
    <w:multiLevelType w:val="hybridMultilevel"/>
    <w:lvl w:ilvl="0">
      <w:lvlJc w:val="left"/>
      <w:lvlText w:val="%1."/>
      <w:numFmt w:val="upperLetter"/>
      <w:start w:val="1"/>
    </w:lvl>
  </w:abstractNum>
  <w:abstractNum w:abstractNumId="338">
    <w:nsid w:val="71D601AF"/>
    <w:multiLevelType w:val="hybridMultilevel"/>
    <w:lvl w:ilvl="0">
      <w:lvlJc w:val="left"/>
      <w:lvlText w:val="%1."/>
      <w:numFmt w:val="upperLetter"/>
      <w:start w:val="2"/>
    </w:lvl>
  </w:abstractNum>
  <w:abstractNum w:abstractNumId="339">
    <w:nsid w:val="52C77402"/>
    <w:multiLevelType w:val="hybridMultilevel"/>
    <w:lvl w:ilvl="0">
      <w:lvlJc w:val="left"/>
      <w:lvlText w:val="%1."/>
      <w:numFmt w:val="upperLetter"/>
      <w:start w:val="3"/>
    </w:lvl>
  </w:abstractNum>
  <w:abstractNum w:abstractNumId="340">
    <w:nsid w:val="2BB5B1C6"/>
    <w:multiLevelType w:val="hybridMultilevel"/>
    <w:lvl w:ilvl="0">
      <w:lvlJc w:val="left"/>
      <w:lvlText w:val="%1."/>
      <w:numFmt w:val="upperLetter"/>
      <w:start w:val="61"/>
    </w:lvl>
  </w:abstractNum>
  <w:abstractNum w:abstractNumId="341">
    <w:nsid w:val="66BE6B9"/>
    <w:multiLevelType w:val="hybridMultilevel"/>
    <w:lvl w:ilvl="0">
      <w:lvlJc w:val="left"/>
      <w:lvlText w:val="%1."/>
      <w:numFmt w:val="upperLetter"/>
      <w:start w:val="22"/>
    </w:lvl>
  </w:abstractNum>
  <w:abstractNum w:abstractNumId="342">
    <w:nsid w:val="62234363"/>
    <w:multiLevelType w:val="hybridMultilevel"/>
    <w:lvl w:ilvl="0">
      <w:lvlJc w:val="left"/>
      <w:lvlText w:val="(%1)"/>
      <w:numFmt w:val="lowerLetter"/>
      <w:start w:val="1"/>
    </w:lvl>
  </w:abstractNum>
  <w:abstractNum w:abstractNumId="343">
    <w:nsid w:val="66D385C9"/>
    <w:multiLevelType w:val="hybridMultilevel"/>
    <w:lvl w:ilvl="0">
      <w:lvlJc w:val="left"/>
      <w:lvlText w:val="(%1)"/>
      <w:numFmt w:val="lowerLetter"/>
      <w:start w:val="13"/>
    </w:lvl>
  </w:abstractNum>
  <w:abstractNum w:abstractNumId="344">
    <w:nsid w:val="596F6D8A"/>
    <w:multiLevelType w:val="hybridMultilevel"/>
    <w:lvl w:ilvl="0">
      <w:lvlJc w:val="left"/>
      <w:lvlText w:val="%1."/>
      <w:numFmt w:val="upperLetter"/>
      <w:start w:val="9"/>
    </w:lvl>
  </w:abstractNum>
  <w:abstractNum w:abstractNumId="345">
    <w:nsid w:val="5749361F"/>
    <w:multiLevelType w:val="hybridMultilevel"/>
    <w:lvl w:ilvl="0">
      <w:lvlJc w:val="left"/>
      <w:lvlText w:val="%1."/>
      <w:numFmt w:val="upperLetter"/>
      <w:start w:val="35"/>
    </w:lvl>
  </w:abstractNum>
  <w:abstractNum w:abstractNumId="346">
    <w:nsid w:val="73BC6770"/>
    <w:multiLevelType w:val="hybridMultilevel"/>
    <w:lvl w:ilvl="0">
      <w:lvlJc w:val="left"/>
      <w:lvlText w:val="%1."/>
      <w:numFmt w:val="upperLetter"/>
      <w:start w:val="1"/>
    </w:lvl>
  </w:abstractNum>
  <w:abstractNum w:abstractNumId="347">
    <w:nsid w:val="280E6897"/>
    <w:multiLevelType w:val="hybridMultilevel"/>
    <w:lvl w:ilvl="0">
      <w:lvlJc w:val="left"/>
      <w:lvlText w:val="%1."/>
      <w:numFmt w:val="upperLetter"/>
      <w:start w:val="2"/>
    </w:lvl>
  </w:abstractNum>
  <w:abstractNum w:abstractNumId="348">
    <w:nsid w:val="605138DE"/>
    <w:multiLevelType w:val="hybridMultilevel"/>
    <w:lvl w:ilvl="0">
      <w:lvlJc w:val="left"/>
      <w:lvlText w:val="%1."/>
      <w:numFmt w:val="upperLetter"/>
      <w:start w:val="3"/>
    </w:lvl>
  </w:abstractNum>
  <w:abstractNum w:abstractNumId="349">
    <w:nsid w:val="2622AD0C"/>
    <w:multiLevelType w:val="hybridMultilevel"/>
    <w:lvl w:ilvl="0">
      <w:lvlJc w:val="left"/>
      <w:lvlText w:val="%1."/>
      <w:numFmt w:val="upperLetter"/>
      <w:start w:val="61"/>
    </w:lvl>
  </w:abstractNum>
  <w:abstractNum w:abstractNumId="350">
    <w:nsid w:val="67997556"/>
    <w:multiLevelType w:val="hybridMultilevel"/>
    <w:lvl w:ilvl="0">
      <w:lvlJc w:val="left"/>
      <w:lvlText w:val="%1."/>
      <w:numFmt w:val="upperLetter"/>
      <w:start w:val="22"/>
    </w:lvl>
  </w:abstractNum>
  <w:abstractNum w:abstractNumId="351">
    <w:nsid w:val="18333C89"/>
    <w:multiLevelType w:val="hybridMultilevel"/>
    <w:lvl w:ilvl="0">
      <w:lvlJc w:val="left"/>
      <w:lvlText w:val="(%1)"/>
      <w:numFmt w:val="lowerLetter"/>
      <w:start w:val="1"/>
    </w:lvl>
  </w:abstractNum>
  <w:abstractNum w:abstractNumId="352">
    <w:nsid w:val="4BA9831A"/>
    <w:multiLevelType w:val="hybridMultilevel"/>
    <w:lvl w:ilvl="0">
      <w:lvlJc w:val="left"/>
      <w:lvlText w:val="(%1)"/>
      <w:numFmt w:val="lowerLetter"/>
      <w:start w:val="2"/>
    </w:lvl>
  </w:abstractNum>
  <w:abstractNum w:abstractNumId="353">
    <w:nsid w:val="6D71A2B"/>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jpeg"/><Relationship Id="rId405" Type="http://schemas.openxmlformats.org/officeDocument/2006/relationships/image" Target="media/image397.png"/><Relationship Id="rId406" Type="http://schemas.openxmlformats.org/officeDocument/2006/relationships/image" Target="media/image398.jpeg"/><Relationship Id="rId407" Type="http://schemas.openxmlformats.org/officeDocument/2006/relationships/image" Target="media/image399.png"/><Relationship Id="rId408" Type="http://schemas.openxmlformats.org/officeDocument/2006/relationships/image" Target="media/image400.jpe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248" Type="http://schemas.openxmlformats.org/officeDocument/2006/relationships/hyperlink" Target="http://www.sec.gov/Archives/edgar/data/1818331/000121390020022185/fs12020ex99-4_cmlifescienc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2020-08-24T09:29:27Z</dcterms:created>
  <dcterms:modified xsi:type="dcterms:W3CDTF">2020-08-24T09:29:27Z</dcterms:modified>
</cp:coreProperties>
</file>