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9.jpeg" ContentType="image/jpeg"/>
  <Override PartName="/word/media/image3.png" ContentType="image/png"/>
  <Override PartName="/word/media/image4.png" ContentType="image/png"/>
  <Override PartName="/word/media/image8.jpeg" ContentType="image/jpeg"/>
  <Override PartName="/word/media/image5.jpeg" ContentType="image/jpeg"/>
  <Override PartName="/word/media/image10.jpeg" ContentType="image/jpeg"/>
  <Override PartName="/word/media/image6.jpeg" ContentType="image/jpeg"/>
  <Override PartName="/word/media/image11.jpeg" ContentType="image/jpeg"/>
  <Override PartName="/word/media/image7.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12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00" w:after="283"/>
        <w:jc w:val="center"/>
        <w:rPr>
          <w:rFonts w:ascii="Times New Roman;sans-serif" w:hAnsi="Times New Roman;sans-serif"/>
          <w:b/>
          <w:color w:val="231F20"/>
          <w:sz w:val="20"/>
        </w:rPr>
      </w:pPr>
      <w:r>
        <w:rPr>
          <w:rFonts w:ascii="Times New Roman;sans-serif" w:hAnsi="Times New Roman;sans-serif"/>
          <w:b/>
          <w:color w:val="231F20"/>
          <w:sz w:val="20"/>
        </w:rPr>
        <w:t>CURRENT REPORT</w:t>
      </w:r>
    </w:p>
    <w:p>
      <w:pPr>
        <w:pStyle w:val="TextBody"/>
        <w:bidi w:val="0"/>
        <w:spacing w:lineRule="auto" w:line="288" w:before="0" w:after="120"/>
        <w:jc w:val="center"/>
        <w:rPr>
          <w:rFonts w:ascii="Times New Roman;sans-serif" w:hAnsi="Times New Roman;sans-serif"/>
          <w:b/>
          <w:color w:val="231F20"/>
          <w:sz w:val="20"/>
        </w:rPr>
      </w:pPr>
      <w:r>
        <w:rPr>
          <w:rFonts w:ascii="Times New Roman;sans-serif" w:hAnsi="Times New Roman;sans-serif"/>
          <w:b/>
          <w:color w:val="231F20"/>
          <w:sz w:val="20"/>
        </w:rPr>
        <w:t>Pursuant to Section 13 OR 15(d) of The Securities Exchange Act of 1934</w:t>
      </w:r>
    </w:p>
    <w:p>
      <w:pPr>
        <w:pStyle w:val="TextBody"/>
        <w:bidi w:val="0"/>
        <w:spacing w:lineRule="auto" w:line="288" w:before="0" w:after="120"/>
        <w:jc w:val="center"/>
        <w:rPr/>
      </w:pPr>
      <w:r>
        <w:rPr>
          <w:rFonts w:ascii="Times New Roman;sans-serif" w:hAnsi="Times New Roman;sans-serif"/>
          <w:b w:val="false"/>
          <w:color w:val="000000"/>
          <w:sz w:val="20"/>
        </w:rPr>
        <w:t xml:space="preserve">Date of Report (date of earliest event reported): </w:t>
      </w:r>
      <w:r>
        <w:rPr>
          <w:rFonts w:ascii="Times New Roman;sans-serif" w:hAnsi="Times New Roman;sans-serif"/>
          <w:b/>
          <w:color w:val="000000"/>
          <w:sz w:val="20"/>
        </w:rPr>
        <w:t xml:space="preserve">October 30, 2023 (October 27, 2023)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Commission file number 001-39482</w:t>
      </w:r>
    </w:p>
    <w:p>
      <w:pPr>
        <w:pStyle w:val="TextBody"/>
        <w:bidi w:val="0"/>
        <w:spacing w:before="0" w:after="0"/>
        <w:jc w:val="center"/>
        <w:rPr/>
      </w:pPr>
      <w:r>
        <w:rPr/>
        <w:drawing>
          <wp:inline distT="0" distB="0" distL="0" distR="0">
            <wp:extent cx="2371725" cy="819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71725" cy="819150"/>
                    </a:xfrm>
                    <a:prstGeom prst="rect">
                      <a:avLst/>
                    </a:prstGeom>
                  </pic:spPr>
                </pic:pic>
              </a:graphicData>
            </a:graphic>
          </wp:inline>
        </w:drawing>
      </w:r>
    </w:p>
    <w:p>
      <w:pPr>
        <w:pStyle w:val="TextBody"/>
        <w:bidi w:val="0"/>
        <w:spacing w:lineRule="auto" w:line="285" w:before="0" w:after="0"/>
        <w:jc w:val="center"/>
        <w:rPr/>
      </w:pPr>
      <w:r>
        <w:rPr>
          <w:rFonts w:ascii="Times New Roman;sans-serif" w:hAnsi="Times New Roman;sans-serif"/>
          <w:b/>
          <w:color w:val="000000"/>
          <w:sz w:val="32"/>
        </w:rPr>
        <w:t>GeneDx Holdings Corp.</w:t>
      </w:r>
      <w:r>
        <w:rPr>
          <w:color w:val="000000"/>
        </w:rPr>
        <w:t xml:space="preserve"> </w:t>
      </w:r>
    </w:p>
    <w:p>
      <w:pPr>
        <w:pStyle w:val="TextBody"/>
        <w:bidi w:val="0"/>
        <w:spacing w:lineRule="auto" w:line="345"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994" w:type="dxa"/>
        <w:jc w:val="center"/>
        <w:tblInd w:w="0" w:type="dxa"/>
        <w:tblLayout w:type="fixed"/>
        <w:tblCellMar>
          <w:top w:w="28" w:type="dxa"/>
          <w:left w:w="28" w:type="dxa"/>
          <w:bottom w:w="28" w:type="dxa"/>
          <w:right w:w="28" w:type="dxa"/>
        </w:tblCellMar>
      </w:tblPr>
      <w:tblGrid>
        <w:gridCol w:w="1795"/>
        <w:gridCol w:w="1577"/>
        <w:gridCol w:w="1593"/>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85-1966622</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 xml:space="preserve">333 Ludlow Street, North Tower; 6th Floor </w:t>
            </w:r>
          </w:p>
          <w:p>
            <w:pPr>
              <w:pStyle w:val="TableContents"/>
              <w:bidi w:val="0"/>
              <w:spacing w:lineRule="auto" w:line="268" w:before="0" w:after="0"/>
              <w:ind w:left="0" w:right="0" w:firstLine="60"/>
              <w:jc w:val="center"/>
              <w:rPr>
                <w:rFonts w:ascii="Times New Roman;sans-serif" w:hAnsi="Times New Roman;sans-serif"/>
                <w:b/>
                <w:color w:val="000000"/>
                <w:sz w:val="20"/>
              </w:rPr>
            </w:pPr>
            <w:r>
              <w:rPr>
                <w:rFonts w:ascii="Times New Roman;sans-serif" w:hAnsi="Times New Roman;sans-serif"/>
                <w:b/>
                <w:color w:val="000000"/>
                <w:sz w:val="20"/>
              </w:rPr>
              <w:t>Stamford, Connecticut 06902</w:t>
            </w:r>
          </w:p>
        </w:tc>
      </w:tr>
      <w:tr>
        <w:trPr/>
        <w:tc>
          <w:tcPr>
            <w:tcW w:w="7994" w:type="dxa"/>
            <w:gridSpan w:val="6"/>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tc>
      </w:tr>
    </w:tbl>
    <w:p>
      <w:pPr>
        <w:pStyle w:val="TextBody"/>
        <w:bidi w:val="0"/>
        <w:spacing w:lineRule="auto" w:line="345" w:before="0" w:after="0"/>
        <w:jc w:val="center"/>
        <w:rPr/>
      </w:pPr>
      <w:r>
        <w:rPr>
          <w:rFonts w:ascii="Times New Roman;sans-serif" w:hAnsi="Times New Roman;sans-serif"/>
          <w:b w:val="false"/>
          <w:color w:val="000000"/>
          <w:sz w:val="20"/>
        </w:rPr>
        <w:t xml:space="preserve">Registrant's telephone number, including area code: </w:t>
      </w:r>
      <w:r>
        <w:rPr>
          <w:rFonts w:ascii="Times New Roman;sans-serif" w:hAnsi="Times New Roman;sans-serif"/>
          <w:b/>
          <w:color w:val="000000"/>
          <w:sz w:val="20"/>
        </w:rPr>
        <w:t xml:space="preserve">(800) 298-6470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120"/>
        <w:jc w:val="left"/>
        <w:rPr>
          <w:color w:val="000000"/>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lineRule="auto" w:line="288" w:before="0" w:after="1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lineRule="auto" w:line="288" w:before="0" w:after="1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Securities registered pursuant to Section 12(b) of the Act: </w:t>
      </w:r>
    </w:p>
    <w:tbl>
      <w:tblPr>
        <w:tblW w:w="10205" w:type="dxa"/>
        <w:jc w:val="center"/>
        <w:tblInd w:w="0" w:type="dxa"/>
        <w:tblLayout w:type="fixed"/>
        <w:tblCellMar>
          <w:top w:w="28" w:type="dxa"/>
          <w:left w:w="28" w:type="dxa"/>
          <w:bottom w:w="28" w:type="dxa"/>
          <w:right w:w="28" w:type="dxa"/>
        </w:tblCellMar>
      </w:tblPr>
      <w:tblGrid>
        <w:gridCol w:w="2080"/>
        <w:gridCol w:w="1721"/>
        <w:gridCol w:w="1742"/>
        <w:gridCol w:w="109"/>
        <w:gridCol w:w="109"/>
        <w:gridCol w:w="109"/>
        <w:gridCol w:w="439"/>
        <w:gridCol w:w="411"/>
        <w:gridCol w:w="412"/>
        <w:gridCol w:w="109"/>
        <w:gridCol w:w="109"/>
        <w:gridCol w:w="109"/>
        <w:gridCol w:w="801"/>
        <w:gridCol w:w="801"/>
        <w:gridCol w:w="1144"/>
      </w:tblGrid>
      <w:tr>
        <w:trPr/>
        <w:tc>
          <w:tcPr>
            <w:tcW w:w="2080"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5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r>
        <w:trPr/>
        <w:tc>
          <w:tcPr>
            <w:tcW w:w="55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one share of Class A common stock, each at an exercise price of $379.50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WGSWW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12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Item 1.01 Entry into a Material Definitive Agreement.</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Entry into Perceptive Term Loan Facility</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27, 2023 (the “Closing Date”), GeneDx Holdings Corp. (the “Company”) entered into a Credit Agreement and Guaranty (the “Credit Agreement”) with Perceptive Credit Holdings IV, LP, as lender and administrative agent (“Perceptive”), which provides for a senior secured delayed draw term loan facility in an aggregate principal amount of up to $75.0 million (the “Perceptive Term Loan Facility”). An initial tranche of $50.0 million (the “Tranche A Loan”) was funded under the Perceptive Term Loan Facility on the Closing Date. In addition to the Tranche A Loan, the Perceptive Term Loan Facility includes an additional tranche of $25.0 million (the “Tranche B Loan,” and together with the Tranche A Loan, the “Term Loans”), which will be accessible by the Company so long as it satisfies certain customary conditions precedent, including a specified revenue milestone (the funding date of the Tranche B Loan, the “Tranche B Borrowing Date”). The Perceptive Term Loan Facility has a maturity date of October 27, 2028 (the “Maturity Date”) and provides for an interest-only period during the term of the loan with principal due at the Maturity Date. The Company’s net proceeds from the Tranche A Loan were approximately $49 million, after deducting estimated debt issuance costs, fees and expenses.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Perceptive Term Loan Facility will accrue interest at an annual rate equal to the sum of (a) Term SOFR (as defined in the Credit Agreement) and (b) an applicable margin of 7.5% (the “Applicable Margin”). Accrued interest on the Term Loans is payable monthly in arrears. Upon an Event of Default (as defined in the Credit Agreement), the Applicable Margin will automatically increase by an additional 4% per annum.</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Amortization and Prepayment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Maturity Date, there will be no scheduled principal payments under the Perceptive Term Loan Facility. On the Maturity Date, the Company is required to pay Perceptive the aggregate outstanding principal amount of the Term Loans and all accrued and unpaid interest thereon. The Term Loans may be prepaid at any time, subject to a prepayment premium equal to 0% to 10% of the aggregate outstanding principal amount being prepaid, depending on the date of prepayment.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Security Instruments and Warrant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Credit Agreement, the Company also entered into a Security Agreement (the “Security Agreement”), dated as of the Closing Date, with Perceptive, pursuant to which all of its obligations under the Credit Agreement are secured by a first lien perfected security interest on substantially all of its existing and after-acquired assets, subject to customary exceptions.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on the Closing Date, as consideration for the Credit Agreement, the Company issued to Perceptive a warrant (the “Warrant”) to purchase up to 1,200,000 shares (the “Warrant Shares”) of its Class A common stock. 800,000 Warrant Shares (the “Initial Warrant Shares”) vested and became exercisable on the Closing Date and 400,000 Warrant Shares (the “Additional Warrant Shares”) will vest and become exercisable on the Tranche B Borrowing Date. The per share exercise price for the Initial Warrant Shares is $3.1752 (the “Initial Warrant Exercise Price”), which is equal to the 10-day volume weighted average price (the “10-day VWAP”) of the Company’s Class A common stock at the end of the business day immediately prior to the Closing Date, and the per share exercise price for the Additional Warrant Shares will be equal to the lower of (a) the Initial Warrant Exercise Price or (b) the 10-day VWAP ending on the end of the business day immediately preceding the Tranche B Borrowing Date. The Warrant will be exercisable, in whole or in part, until the 10th anniversary of the applicable vesting date.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sale of the Warrant has not been, and the sale of the Warrant Shares issuable upon exercise of the Warrant will not be, registered under the Securities Act of 1933, as amended (the “Securities Act”). The Warrant was, and the Warrant Shares issuable upon exercise of the Warrant will be, sold in reliance upon the exemption from registration under Section 4(a)(2) of the Securities Act. The Warrant and the Warrant Shares may not be offered or sold absent registration under or exemption from the Securities Act and any applicable state securities laws. Perceptive represented in the Warrant, among other things, that it is an “accredited investor” within the meaning of Regulation D promulgated under the Securities Act, and that the acquisition of the Warrant is for investment in its own account and not with a view to the public sale or distribution within the meaning of the Securities Act. Pursuant to the Warrant, the Company has granted Perceptive certain customary piggy-back and demand registration rights in respect of the Warrant Shares.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Representations, Warranties, Covenants, and Events of Default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Intellectual Property (each as defined in the Credit Agreement) and other rights, interests or assets (whether tangible or intangible) reasonably necessary for the operations of its business. The negative covenants restrict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limit the Company’s ability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the Company’s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aggregate Unrestricted Cash (as defined in the Credit Agreement) of $5.0 million and (ii) as of the last day of each fiscal quarter commencing on the fiscal quarter ending December 31, 2023, maintain Core Product Revenue (as defined in the Credit Agreement) that is not less than the amounts specified in the Credit Agreement. </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The occurrence of an Event of Default could result in, among other things, the declaration that all outstanding principal and interest under the Perceptive Term Loan Facility are immediately due and payable in whole or in part.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summaries of the Credit Agreement, the Security Agreement and the Warrant (collectively, the “Credit Facility Agreements”) are not complete and are qualified in their entirety by reference to the full text of each of the Credit Agreement, the Security Agreement and the Warrant, copies of which are filed as exhibits 10.1, 10.2 and 4.1 to this Current Report on Form 8-K.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shd w:fill="FFFFFF" w:val="clear"/>
        </w:rPr>
        <w:t>Item 1.02 Termination of a Material Definitive Agreement.</w:t>
      </w:r>
      <w:r>
        <w:rPr>
          <w:color w:val="000000"/>
        </w:rPr>
        <w:t xml:space="preserve"> </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Termination of SVB Loan and Security Agreement</w:t>
      </w:r>
    </w:p>
    <w:p>
      <w:pPr>
        <w:pStyle w:val="TextBody"/>
        <w:bidi w:val="0"/>
        <w:spacing w:lineRule="auto" w:line="288" w:before="0" w:after="200"/>
        <w:jc w:val="both"/>
        <w:rPr/>
      </w:pPr>
      <w:r>
        <w:rPr>
          <w:rFonts w:ascii="Times New Roman;sans-serif" w:hAnsi="Times New Roman;sans-serif"/>
          <w:b w:val="false"/>
          <w:color w:val="000000"/>
          <w:sz w:val="20"/>
          <w:shd w:fill="FFFFFF" w:val="clear"/>
        </w:rPr>
        <w:t>In connection with the entry into the Credit Agreement, the Company’s Loan and Security Agreement, dated as of November 15, 2021 (“SVB Loan and Security Agreement”), with Silicon Valley Bank (“SVB”) was terminated, effective as of the Closing Date, and SVB’s security interest in the Company’s assets and property was released.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2.02 Results of Operations and Financial Condition. </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On October 30, 2023, the Company issued a press release (the “Press Release”) announcing the Company’s financial results for the nine months ended September 30, 2023. The Company will hold a conference call to discuss its financial results for the nine months ended September 30, 2023 on October 30, 2023 at 4:30 p.m. ET. Copies of the Press Release and Earnings Presentation are furnished as Exhibits 99.1 and 99.2, respectively, to this Current Report on Form 8-K.</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furnished with this Item 2.02, including Exhibits 99.1 and 99.2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2.03 Creation of a Direct Financial Obligation or an Obligation under an Off-Balance Sheet Arrangement of a Registrant. </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2.03 relating to the Perceptive Term Loan Facility is set forth under Item 1.01 of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Item 3.02 Unregistered Sale of Equity Securities. </w:t>
      </w:r>
    </w:p>
    <w:p>
      <w:pPr>
        <w:pStyle w:val="TextBody"/>
        <w:bidi w:val="0"/>
        <w:spacing w:lineRule="auto" w:line="288" w:before="0" w:after="20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information required by this Item 3.02 relating to the Warrant and the Warrant Shares is set forth under Item 1.01 of this Current Report on Form 8-K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(d) Exhibits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2"/>
        <w:gridCol w:w="318"/>
        <w:gridCol w:w="319"/>
        <w:gridCol w:w="2695"/>
        <w:gridCol w:w="2686"/>
        <w:gridCol w:w="3825"/>
      </w:tblGrid>
      <w:tr>
        <w:trPr/>
        <w:tc>
          <w:tcPr>
            <w:tcW w:w="36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695" w:type="dxa"/>
            <w:tcBorders/>
            <w:vAlign w:val="center"/>
          </w:tcPr>
          <w:p>
            <w:pPr>
              <w:pStyle w:val="TableContents"/>
              <w:bidi w:val="0"/>
              <w:spacing w:before="0" w:after="283"/>
              <w:jc w:val="left"/>
              <w:rPr>
                <w:sz w:val="4"/>
                <w:szCs w:val="4"/>
              </w:rPr>
            </w:pPr>
            <w:r>
              <w:rPr>
                <w:sz w:val="4"/>
                <w:szCs w:val="4"/>
              </w:rPr>
            </w:r>
          </w:p>
        </w:tc>
        <w:tc>
          <w:tcPr>
            <w:tcW w:w="2686"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999" w:type="dxa"/>
            <w:gridSpan w:val="3"/>
            <w:tcBorders/>
            <w:tcMar>
              <w:top w:w="0" w:type="dxa"/>
              <w:left w:w="0" w:type="dxa"/>
              <w:bottom w:w="0" w:type="dxa"/>
              <w:right w:w="0" w:type="dxa"/>
            </w:tcMar>
            <w:vAlign w:val="center"/>
          </w:tcPr>
          <w:p>
            <w:pPr>
              <w:pStyle w:val="TableContents"/>
              <w:bidi w:val="0"/>
              <w:spacing w:lineRule="auto" w:line="333" w:before="53"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92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9206"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genedx-publiccompanywarran.htm">
              <w:r>
                <w:rPr>
                  <w:rStyle w:val="InternetLink"/>
                  <w:rFonts w:ascii="Times New Roman;sans-serif" w:hAnsi="Times New Roman;sans-serif"/>
                  <w:b w:val="false"/>
                  <w:color w:val="0000FF"/>
                  <w:sz w:val="20"/>
                  <w:u w:val="single"/>
                </w:rPr>
                <w:t>Warrant to Purchase Stock, dated October 27, 2023, by and among the Company and Perceptive Credit Holdings IV, LP.</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206"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genedx-creditagreementex101.htm">
              <w:r>
                <w:rPr>
                  <w:rStyle w:val="InternetLink"/>
                  <w:rFonts w:ascii="Times New Roman;sans-serif" w:hAnsi="Times New Roman;sans-serif"/>
                  <w:b w:val="false"/>
                  <w:color w:val="0000FF"/>
                  <w:sz w:val="20"/>
                  <w:u w:val="single"/>
                </w:rPr>
                <w:t>Credit Agreement and Guaranty, dated October 27, 2023, by and among the Company and Perceptive Credit Holdings IV, LP.</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9206"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genedx-securityagreementex.htm">
              <w:r>
                <w:rPr>
                  <w:rStyle w:val="InternetLink"/>
                  <w:rFonts w:ascii="Times New Roman;sans-serif" w:hAnsi="Times New Roman;sans-serif"/>
                  <w:b w:val="false"/>
                  <w:color w:val="0000FF"/>
                  <w:sz w:val="20"/>
                  <w:u w:val="single"/>
                </w:rPr>
                <w:t>Security Agreement, dated October 27, 2023, by and among the Company and Perceptive Credit Holdings IV, LP.</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9206"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q32023pressrelease.htm">
              <w:r>
                <w:rPr>
                  <w:rStyle w:val="InternetLink"/>
                  <w:rFonts w:ascii="Times New Roman;sans-serif" w:hAnsi="Times New Roman;sans-serif"/>
                  <w:b w:val="false"/>
                  <w:color w:val="0000FF"/>
                  <w:sz w:val="20"/>
                  <w:u w:val="single"/>
                </w:rPr>
                <w:t>Press Release, dated October 30, 2023.</w:t>
              </w:r>
            </w:hyperlink>
          </w:p>
        </w:tc>
      </w:tr>
      <w:tr>
        <w:trPr/>
        <w:tc>
          <w:tcPr>
            <w:tcW w:w="9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99.2</w:t>
            </w:r>
          </w:p>
        </w:tc>
        <w:tc>
          <w:tcPr>
            <w:tcW w:w="9206" w:type="dxa"/>
            <w:gridSpan w:val="3"/>
            <w:tcBorders/>
            <w:tcMar>
              <w:top w:w="0" w:type="dxa"/>
              <w:left w:w="0" w:type="dxa"/>
              <w:bottom w:w="0" w:type="dxa"/>
              <w:right w:w="0" w:type="dxa"/>
            </w:tcMar>
            <w:vAlign w:val="center"/>
          </w:tcPr>
          <w:p>
            <w:pPr>
              <w:pStyle w:val="TableContents"/>
              <w:bidi w:val="0"/>
              <w:spacing w:lineRule="auto" w:line="333" w:before="0" w:after="0"/>
              <w:jc w:val="left"/>
              <w:rPr/>
            </w:pPr>
            <w:hyperlink w:anchor="wgsq32023earningsslidesf.htm">
              <w:r>
                <w:rPr>
                  <w:rStyle w:val="InternetLink"/>
                  <w:rFonts w:ascii="Times New Roman;sans-serif" w:hAnsi="Times New Roman;sans-serif"/>
                  <w:b w:val="false"/>
                  <w:color w:val="0000FF"/>
                  <w:sz w:val="20"/>
                  <w:u w:val="single"/>
                </w:rPr>
                <w:t>Earning Presentation, dated October 30,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5504" w:type="dxa"/>
        <w:jc w:val="left"/>
        <w:tblInd w:w="0" w:type="dxa"/>
        <w:tblLayout w:type="fixed"/>
        <w:tblCellMar>
          <w:top w:w="28" w:type="dxa"/>
          <w:left w:w="28" w:type="dxa"/>
          <w:bottom w:w="28" w:type="dxa"/>
          <w:right w:w="28" w:type="dxa"/>
        </w:tblCellMar>
      </w:tblPr>
      <w:tblGrid>
        <w:gridCol w:w="331"/>
        <w:gridCol w:w="291"/>
        <w:gridCol w:w="293"/>
        <w:gridCol w:w="504"/>
        <w:gridCol w:w="504"/>
        <w:gridCol w:w="506"/>
        <w:gridCol w:w="335"/>
        <w:gridCol w:w="335"/>
        <w:gridCol w:w="335"/>
        <w:gridCol w:w="600"/>
        <w:gridCol w:w="600"/>
        <w:gridCol w:w="87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GeneDx Holdings Corp.</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30, 2023</w:t>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Katherine Stueland</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Katherine Stueland</w:t>
            </w:r>
          </w:p>
        </w:tc>
      </w:tr>
      <w:tr>
        <w:trPr/>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76" w:after="283"/>
        <w:jc w:val="right"/>
        <w:rPr>
          <w:rFonts w:ascii="Times New Roman;sans-serif" w:hAnsi="Times New Roman;sans-serif"/>
          <w:b/>
          <w:color w:val="000000"/>
          <w:sz w:val="24"/>
        </w:rPr>
      </w:pPr>
      <w:r>
        <w:rPr>
          <w:rFonts w:ascii="Times New Roman;sans-serif" w:hAnsi="Times New Roman;sans-serif"/>
          <w:b/>
          <w:color w:val="000000"/>
          <w:sz w:val="24"/>
        </w:rPr>
        <w:t>EXHIBIT 4.1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219" w:after="283"/>
        <w:jc w:val="center"/>
        <w:rPr>
          <w:rFonts w:ascii="Times New Roman;sans-serif" w:hAnsi="Times New Roman;sans-serif"/>
          <w:b/>
          <w:color w:val="000000"/>
          <w:sz w:val="24"/>
        </w:rPr>
      </w:pPr>
      <w:r>
        <w:rPr>
          <w:rFonts w:ascii="Times New Roman;sans-serif" w:hAnsi="Times New Roman;sans-serif"/>
          <w:b/>
          <w:color w:val="000000"/>
          <w:sz w:val="24"/>
        </w:rPr>
        <w:t>WARRANT CERTIFICATE</w:t>
      </w:r>
    </w:p>
    <w:p>
      <w:pPr>
        <w:pStyle w:val="TextBody"/>
        <w:bidi w:val="0"/>
        <w:spacing w:lineRule="auto" w:line="280" w:before="233" w:after="283"/>
        <w:ind w:left="0" w:right="0" w:firstLine="1113"/>
        <w:jc w:val="left"/>
        <w:rPr>
          <w:rFonts w:ascii="Times New Roman;sans-serif" w:hAnsi="Times New Roman;sans-serif"/>
          <w:b w:val="false"/>
          <w:color w:val="000000"/>
          <w:sz w:val="24"/>
        </w:rPr>
      </w:pPr>
      <w:r>
        <w:rPr>
          <w:rFonts w:ascii="Times New Roman;sans-serif" w:hAnsi="Times New Roman;sans-serif"/>
          <w:b w:val="false"/>
          <w:color w:val="000000"/>
          <w:sz w:val="24"/>
        </w:rPr>
        <w:t>THIS WARRANT CERTIFICATE AND THE SECURITIES ISSUABLE UPON EXERCISE OF THIS WARRANT CERTIFICATE HAVE NOT BEEN REGISTERED UNDER</w:t>
      </w:r>
    </w:p>
    <w:p>
      <w:pPr>
        <w:pStyle w:val="TextBody"/>
        <w:bidi w:val="0"/>
        <w:spacing w:lineRule="auto" w:line="240" w:before="0" w:after="0"/>
        <w:ind w:left="0" w:right="0" w:hanging="1"/>
        <w:jc w:val="center"/>
        <w:rPr/>
      </w:pPr>
      <w:r>
        <w:rPr>
          <w:rFonts w:ascii="Times New Roman;sans-serif" w:hAnsi="Times New Roman;sans-serif"/>
          <w:b w:val="false"/>
          <w:color w:val="000000"/>
          <w:sz w:val="24"/>
        </w:rPr>
        <w:t>THE SECURITIES ACT OF 1933, AS AMENDED (THE “</w:t>
      </w:r>
      <w:r>
        <w:rPr>
          <w:rFonts w:ascii="Times New Roman;sans-serif" w:hAnsi="Times New Roman;sans-serif"/>
          <w:b/>
          <w:i/>
          <w:color w:val="000000"/>
          <w:sz w:val="24"/>
        </w:rPr>
        <w:t>SECURITIES ACT</w:t>
      </w:r>
      <w:r>
        <w:rPr>
          <w:color w:val="000000"/>
        </w:rPr>
        <w:t>”</w:t>
      </w:r>
      <w:r>
        <w:rPr>
          <w:rFonts w:ascii="Times New Roman;sans-serif" w:hAnsi="Times New Roman;sans-serif"/>
          <w:b w:val="false"/>
          <w:color w:val="000000"/>
          <w:sz w:val="24"/>
        </w:rPr>
        <w:t>), OR QUALIFIED UNDER ANY STATE OR FOREIGN SECURITIES LAWS AND MAY NOT BE OFFERED FOR SALE, SOLD, PLEDGED, HYPOTHECATED OR OTHERWISE TRANSFERRED OR ASSIGNED UNLESS (I) A REGISTRATION STATEMENT COVERING SUCH SECURITIES IS EFFECTIVE UNDER THE SECURITIES ACT AND IS QUALIFIED UNDER APPLICABLE STATE AND FOREIGN LAW OR (II) THE TRANSACTION IS EXEMPT FROM THE REGISTRATION AND PROSPECTUS DELIVERY REQUIREMENTS UNDER THE SECURITIES ACT AND THE QUALIFICATION REQUIREMENTS UNDER APPLICABLE STATE AND FOREIGN LAW.</w:t>
      </w:r>
    </w:p>
    <w:p>
      <w:pPr>
        <w:pStyle w:val="TextBody"/>
        <w:bidi w:val="0"/>
        <w:spacing w:lineRule="auto" w:line="518" w:before="242" w:after="283"/>
        <w:jc w:val="left"/>
        <w:rPr>
          <w:rFonts w:ascii="Times New Roman;sans-serif" w:hAnsi="Times New Roman;sans-serif"/>
          <w:b w:val="false"/>
          <w:color w:val="000000"/>
          <w:sz w:val="24"/>
        </w:rPr>
      </w:pPr>
      <w:r>
        <w:rPr>
          <w:rFonts w:ascii="Times New Roman;sans-serif" w:hAnsi="Times New Roman;sans-serif"/>
          <w:b w:val="false"/>
          <w:color w:val="000000"/>
          <w:sz w:val="24"/>
        </w:rPr>
        <w:t>Warrant Shares Issuable:    Up to 1,200,000 Shares of Class A Common Stock Warrant Certificate No.:        001</w:t>
      </w:r>
    </w:p>
    <w:p>
      <w:pPr>
        <w:pStyle w:val="TextBody"/>
        <w:bidi w:val="0"/>
        <w:spacing w:lineRule="auto" w:line="240" w:before="5" w:after="283"/>
        <w:jc w:val="left"/>
        <w:rPr/>
      </w:pPr>
      <w:r>
        <w:rPr>
          <w:rFonts w:ascii="Times New Roman;sans-serif" w:hAnsi="Times New Roman;sans-serif"/>
          <w:b w:val="false"/>
          <w:color w:val="000000"/>
          <w:sz w:val="24"/>
        </w:rPr>
        <w:t>Issue Date:    October 27, 2023 (the “</w:t>
      </w:r>
      <w:r>
        <w:rPr>
          <w:rFonts w:ascii="Times New Roman;sans-serif" w:hAnsi="Times New Roman;sans-serif"/>
          <w:b/>
          <w:i/>
          <w:color w:val="000000"/>
          <w:sz w:val="24"/>
        </w:rPr>
        <w:t>Issue Date</w:t>
      </w:r>
      <w:r>
        <w:rPr>
          <w:color w:val="000000"/>
        </w:rPr>
        <w:t>”</w:t>
      </w:r>
      <w:r>
        <w:rPr>
          <w:rFonts w:ascii="Times New Roman;sans-serif" w:hAnsi="Times New Roman;sans-serif"/>
          <w:b w:val="false"/>
          <w:color w:val="000000"/>
          <w:sz w:val="24"/>
        </w:rPr>
        <w:t>)</w:t>
      </w:r>
    </w:p>
    <w:p>
      <w:pPr>
        <w:pStyle w:val="TextBody"/>
        <w:bidi w:val="0"/>
        <w:spacing w:lineRule="auto" w:line="280" w:before="233" w:after="283"/>
        <w:ind w:left="0" w:right="0" w:firstLine="720"/>
        <w:jc w:val="left"/>
        <w:rPr/>
      </w:pPr>
      <w:r>
        <w:rPr>
          <w:rFonts w:ascii="Times New Roman;sans-serif" w:hAnsi="Times New Roman;sans-serif"/>
          <w:b w:val="false"/>
          <w:color w:val="000000"/>
          <w:sz w:val="24"/>
        </w:rPr>
        <w:t>FOR VALUE RECEIVED, GENEDX HOLDINGS CORP.,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hereby certifies that Perceptive Credit Holdings IV, LP or any of its registered assigns (collectively, the “</w:t>
      </w:r>
      <w:r>
        <w:rPr>
          <w:rFonts w:ascii="Times New Roman;sans-serif" w:hAnsi="Times New Roman;sans-serif"/>
          <w:b/>
          <w:i/>
          <w:color w:val="000000"/>
          <w:sz w:val="24"/>
        </w:rPr>
        <w:t>Holder</w:t>
      </w:r>
      <w:r>
        <w:rPr>
          <w:color w:val="000000"/>
        </w:rPr>
        <w:t>”</w:t>
      </w:r>
      <w:r>
        <w:rPr>
          <w:rFonts w:ascii="Times New Roman;sans-serif" w:hAnsi="Times New Roman;sans-serif"/>
          <w:b w:val="false"/>
          <w:color w:val="000000"/>
          <w:sz w:val="24"/>
        </w:rPr>
        <w:t xml:space="preserve">) is entitled to purchase from the Company up to 1,200,000 duly authorized, validly issued, fully paid and nonassessable shares of the Company’s Class A Common Stock at the applicable per share Exercise Price (defined below), all subject to the terms, conditions and adjustments set forth below in this Warrant Certificate. Certain capitalized terms used herein are defined in </w:t>
      </w:r>
      <w:hyperlink w:anchor="i49bad134ac3540a68bc9fca46e959d6c_1">
        <w:r>
          <w:rPr>
            <w:rStyle w:val="InternetLink"/>
            <w:rFonts w:ascii="Times New Roman;sans-serif" w:hAnsi="Times New Roman;sans-serif"/>
            <w:b/>
            <w:strike w:val="false"/>
            <w:dstrike w:val="false"/>
            <w:color w:val="000000"/>
            <w:sz w:val="24"/>
            <w:u w:val="none"/>
            <w:effect w:val="none"/>
          </w:rPr>
          <w:t>Section 1</w:t>
        </w:r>
      </w:hyperlink>
      <w:hyperlink w:anchor="i49bad134ac3540a68bc9fca46e959d6c_1">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lineRule="auto" w:line="240" w:before="233" w:after="283"/>
        <w:ind w:left="0" w:right="0" w:firstLine="720"/>
        <w:jc w:val="left"/>
        <w:rPr/>
      </w:pPr>
      <w:r>
        <w:rPr>
          <w:rFonts w:ascii="Times New Roman;sans-serif" w:hAnsi="Times New Roman;sans-serif"/>
          <w:b w:val="false"/>
          <w:color w:val="000000"/>
          <w:sz w:val="24"/>
        </w:rPr>
        <w:t>This Warrant Certificate has been issued pursuant to the terms of the Credit and Guaranty Agreement, dated as of October 27, 2023 (as amended or otherwise modified from time to time, the “</w:t>
      </w:r>
      <w:r>
        <w:rPr>
          <w:rFonts w:ascii="Times New Roman;sans-serif" w:hAnsi="Times New Roman;sans-serif"/>
          <w:b/>
          <w:i/>
          <w:color w:val="000000"/>
          <w:sz w:val="24"/>
        </w:rPr>
        <w:t>Credit Agreement</w:t>
      </w:r>
      <w:r>
        <w:rPr>
          <w:color w:val="000000"/>
        </w:rPr>
        <w:t>”</w:t>
      </w:r>
      <w:r>
        <w:rPr>
          <w:rFonts w:ascii="Times New Roman;sans-serif" w:hAnsi="Times New Roman;sans-serif"/>
          <w:b w:val="false"/>
          <w:color w:val="000000"/>
          <w:sz w:val="24"/>
        </w:rPr>
        <w:t>), among the Company, as the borrower, the guarantors party thereto and Perceptive Credit Opportunities Fund IV, LP, as the lender.</w:t>
      </w:r>
    </w:p>
    <w:p>
      <w:pPr>
        <w:pStyle w:val="TextBody"/>
        <w:bidi w:val="0"/>
        <w:spacing w:before="3" w:after="283"/>
        <w:jc w:val="left"/>
        <w:rPr/>
      </w:pPr>
      <w:r>
        <w:rPr/>
      </w:r>
    </w:p>
    <w:p>
      <w:pPr>
        <w:pStyle w:val="TextBody"/>
        <w:bidi w:val="0"/>
        <w:spacing w:lineRule="auto" w:line="518" w:before="0" w:after="0"/>
        <w:ind w:left="0" w:right="0" w:hanging="720"/>
        <w:jc w:val="left"/>
        <w:rPr/>
      </w:pPr>
      <w:r>
        <w:rPr>
          <w:rFonts w:ascii="Times New Roman;sans-serif" w:hAnsi="Times New Roman;sans-serif"/>
          <w:b/>
          <w:color w:val="000000"/>
          <w:sz w:val="24"/>
        </w:rPr>
        <w:t>Section 1.    Definitions</w:t>
      </w:r>
      <w:r>
        <w:rPr>
          <w:rFonts w:ascii="Times New Roman;sans-serif" w:hAnsi="Times New Roman;sans-serif"/>
          <w:b w:val="false"/>
          <w:color w:val="000000"/>
          <w:sz w:val="24"/>
        </w:rPr>
        <w:t>. The following terms when used herein have the following meanings: “</w:t>
      </w:r>
      <w:r>
        <w:rPr>
          <w:rFonts w:ascii="Times New Roman;sans-serif" w:hAnsi="Times New Roman;sans-serif"/>
          <w:b/>
          <w:i/>
          <w:color w:val="000000"/>
          <w:sz w:val="24"/>
        </w:rPr>
        <w:t>Acquisition</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3(m)(i)</w:t>
        </w:r>
      </w:hyperlink>
      <w:r>
        <w:rPr>
          <w:rFonts w:ascii="Times New Roman;sans-serif" w:hAnsi="Times New Roman;sans-serif"/>
          <w:b w:val="false"/>
          <w:color w:val="000000"/>
          <w:sz w:val="24"/>
        </w:rPr>
        <w:t>.</w:t>
      </w:r>
    </w:p>
    <w:p>
      <w:pPr>
        <w:pStyle w:val="TextBody"/>
        <w:bidi w:val="0"/>
        <w:spacing w:lineRule="auto" w:line="240" w:before="6" w:after="283"/>
        <w:jc w:val="left"/>
        <w:rPr/>
      </w:pPr>
      <w:r>
        <w:rPr>
          <w:color w:val="000000"/>
        </w:rPr>
        <w:t>“</w:t>
      </w:r>
      <w:r>
        <w:rPr>
          <w:rFonts w:ascii="Times New Roman;sans-serif" w:hAnsi="Times New Roman;sans-serif"/>
          <w:b/>
          <w:i/>
          <w:color w:val="000000"/>
          <w:sz w:val="24"/>
        </w:rPr>
        <w:t>ACT</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12(a)(i)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lineRule="auto" w:line="280" w:before="233" w:after="283"/>
        <w:ind w:left="0" w:right="0" w:firstLine="720"/>
        <w:jc w:val="left"/>
        <w:rPr/>
      </w:pPr>
      <w:r>
        <w:rPr>
          <w:color w:val="000000"/>
        </w:rPr>
        <w:t>“</w:t>
      </w:r>
      <w:r>
        <w:rPr>
          <w:rFonts w:ascii="Times New Roman;sans-serif" w:hAnsi="Times New Roman;sans-serif"/>
          <w:b/>
          <w:i/>
          <w:color w:val="000000"/>
          <w:sz w:val="24"/>
        </w:rPr>
        <w:t>Aggregate Exercise Price</w:t>
      </w:r>
      <w:r>
        <w:rPr>
          <w:color w:val="000000"/>
        </w:rPr>
        <w:t xml:space="preserve">” </w:t>
      </w:r>
      <w:r>
        <w:rPr>
          <w:rFonts w:ascii="Times New Roman;sans-serif" w:hAnsi="Times New Roman;sans-serif"/>
          <w:b w:val="false"/>
          <w:color w:val="000000"/>
          <w:sz w:val="24"/>
        </w:rPr>
        <w:t xml:space="preserve">means, with respect to any exercise of this Warrant Certificate for Warrant Shares, an amount equal to the product of (i) the number of Warrant Shares in respect of which this Warrant Certificate is then being exercised pursuant to </w:t>
      </w:r>
      <w:hyperlink w:anchor="i49bad134ac3540a68bc9fca46e959d6c_13">
        <w:r>
          <w:rPr>
            <w:rStyle w:val="InternetLink"/>
            <w:rFonts w:ascii="Times New Roman;sans-serif" w:hAnsi="Times New Roman;sans-serif"/>
            <w:b/>
            <w:strike w:val="false"/>
            <w:dstrike w:val="false"/>
            <w:color w:val="000000"/>
            <w:sz w:val="24"/>
            <w:u w:val="none"/>
            <w:effect w:val="none"/>
          </w:rPr>
          <w:t>Section 3</w:t>
        </w:r>
      </w:hyperlink>
      <w:r>
        <w:rPr>
          <w:rFonts w:ascii="Times New Roman;sans-serif" w:hAnsi="Times New Roman;sans-serif"/>
          <w:b/>
          <w:color w:val="000000"/>
          <w:sz w:val="24"/>
        </w:rPr>
        <w:t xml:space="preserve"> </w:t>
      </w:r>
      <w:r>
        <w:rPr>
          <w:rFonts w:ascii="Times New Roman;sans-serif" w:hAnsi="Times New Roman;sans-serif"/>
          <w:b w:val="false"/>
          <w:color w:val="000000"/>
          <w:sz w:val="24"/>
        </w:rPr>
        <w:t>multiplied by (ii) the applicable Exercise Price.</w:t>
      </w:r>
    </w:p>
    <w:p>
      <w:pPr>
        <w:pStyle w:val="TextBody"/>
        <w:bidi w:val="0"/>
        <w:spacing w:lineRule="auto" w:line="240" w:before="234" w:after="283"/>
        <w:jc w:val="left"/>
        <w:rPr/>
      </w:pPr>
      <w:r>
        <w:rPr>
          <w:color w:val="000000"/>
        </w:rPr>
        <w:t>“</w:t>
      </w:r>
      <w:r>
        <w:rPr>
          <w:rFonts w:ascii="Times New Roman;sans-serif" w:hAnsi="Times New Roman;sans-serif"/>
          <w:b/>
          <w:i/>
          <w:color w:val="000000"/>
          <w:sz w:val="24"/>
        </w:rPr>
        <w:t>Anticipated Sale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3(j)</w:t>
        </w:r>
      </w:hyperlink>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 xml:space="preserve">Beneficial Ownership Limitation”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3(n).</w:t>
        </w:r>
      </w:hyperlink>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518" w:before="61" w:after="283"/>
        <w:jc w:val="both"/>
        <w:rPr/>
      </w:pPr>
      <w:r>
        <w:rPr>
          <w:color w:val="000000"/>
        </w:rPr>
        <w:t>“</w:t>
      </w:r>
      <w:r>
        <w:rPr>
          <w:rFonts w:ascii="Times New Roman;sans-serif" w:hAnsi="Times New Roman;sans-serif"/>
          <w:b/>
          <w:i/>
          <w:color w:val="000000"/>
          <w:sz w:val="24"/>
        </w:rPr>
        <w:t>Bloomberg</w:t>
      </w:r>
      <w:r>
        <w:rPr>
          <w:color w:val="000000"/>
        </w:rPr>
        <w:t xml:space="preserve">” </w:t>
      </w:r>
      <w:r>
        <w:rPr>
          <w:rFonts w:ascii="Times New Roman;sans-serif" w:hAnsi="Times New Roman;sans-serif"/>
          <w:b w:val="false"/>
          <w:color w:val="000000"/>
          <w:sz w:val="24"/>
        </w:rPr>
        <w:t>has the meaning set forth within the definition of VWAP. “</w:t>
      </w:r>
      <w:r>
        <w:rPr>
          <w:rFonts w:ascii="Times New Roman;sans-serif" w:hAnsi="Times New Roman;sans-serif"/>
          <w:b/>
          <w:i/>
          <w:color w:val="000000"/>
          <w:sz w:val="24"/>
        </w:rPr>
        <w:t>Board</w:t>
      </w:r>
      <w:r>
        <w:rPr>
          <w:color w:val="000000"/>
        </w:rPr>
        <w:t xml:space="preserve">” </w:t>
      </w:r>
      <w:r>
        <w:rPr>
          <w:rFonts w:ascii="Times New Roman;sans-serif" w:hAnsi="Times New Roman;sans-serif"/>
          <w:b w:val="false"/>
          <w:color w:val="000000"/>
          <w:sz w:val="24"/>
        </w:rPr>
        <w:t>means the board of directors of the Company.</w:t>
      </w:r>
    </w:p>
    <w:p>
      <w:pPr>
        <w:pStyle w:val="TextBody"/>
        <w:bidi w:val="0"/>
        <w:spacing w:lineRule="auto" w:line="280" w:before="1" w:after="283"/>
        <w:ind w:left="0" w:right="0" w:firstLine="720"/>
        <w:jc w:val="both"/>
        <w:rPr/>
      </w:pPr>
      <w:r>
        <w:rPr>
          <w:color w:val="000000"/>
        </w:rPr>
        <w:t>“</w:t>
      </w:r>
      <w:r>
        <w:rPr>
          <w:rFonts w:ascii="Times New Roman;sans-serif" w:hAnsi="Times New Roman;sans-serif"/>
          <w:b/>
          <w:i/>
          <w:color w:val="000000"/>
          <w:sz w:val="24"/>
        </w:rPr>
        <w:t>Business Day</w:t>
      </w:r>
      <w:r>
        <w:rPr>
          <w:color w:val="000000"/>
        </w:rPr>
        <w:t xml:space="preserve">” </w:t>
      </w:r>
      <w:r>
        <w:rPr>
          <w:rFonts w:ascii="Times New Roman;sans-serif" w:hAnsi="Times New Roman;sans-serif"/>
          <w:b w:val="false"/>
          <w:color w:val="000000"/>
          <w:sz w:val="24"/>
        </w:rPr>
        <w:t>means any day, except a Saturday, Sunday or legal holiday, on which banking institutions in the city of New York, New York are authorized or obligated by law or executive order to close.</w:t>
      </w:r>
    </w:p>
    <w:p>
      <w:pPr>
        <w:pStyle w:val="TextBody"/>
        <w:bidi w:val="0"/>
        <w:spacing w:before="4" w:after="283"/>
        <w:jc w:val="left"/>
        <w:rPr/>
      </w:pPr>
      <w:r>
        <w:rPr/>
      </w:r>
    </w:p>
    <w:p>
      <w:pPr>
        <w:pStyle w:val="TextBody"/>
        <w:bidi w:val="0"/>
        <w:spacing w:lineRule="auto" w:line="523" w:before="0" w:after="0"/>
        <w:jc w:val="both"/>
        <w:rPr/>
      </w:pPr>
      <w:r>
        <w:rPr>
          <w:color w:val="000000"/>
        </w:rPr>
        <w:t>“</w:t>
      </w:r>
      <w:r>
        <w:rPr>
          <w:rFonts w:ascii="Times New Roman;sans-serif" w:hAnsi="Times New Roman;sans-serif"/>
          <w:b/>
          <w:i/>
          <w:color w:val="000000"/>
          <w:sz w:val="24"/>
        </w:rPr>
        <w:t>Cash Acquisition</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3(m)(ii)</w:t>
        </w:r>
      </w:hyperlink>
      <w:r>
        <w:rPr>
          <w:rFonts w:ascii="Times New Roman;sans-serif" w:hAnsi="Times New Roman;sans-serif"/>
          <w:b w:val="false"/>
          <w:color w:val="000000"/>
          <w:sz w:val="24"/>
        </w:rPr>
        <w:t>. “</w:t>
      </w:r>
      <w:r>
        <w:rPr>
          <w:rFonts w:ascii="Times New Roman;sans-serif" w:hAnsi="Times New Roman;sans-serif"/>
          <w:b/>
          <w:i/>
          <w:color w:val="000000"/>
          <w:sz w:val="24"/>
        </w:rPr>
        <w:t>Cashless Exercise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3(b)</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lineRule="auto" w:line="280" w:before="0" w:after="0"/>
        <w:ind w:left="0" w:right="0" w:firstLine="720"/>
        <w:jc w:val="left"/>
        <w:rPr/>
      </w:pPr>
      <w:r>
        <w:rPr>
          <w:color w:val="000000"/>
        </w:rPr>
        <w:t>“</w:t>
      </w:r>
      <w:r>
        <w:rPr>
          <w:rFonts w:ascii="Times New Roman;sans-serif" w:hAnsi="Times New Roman;sans-serif"/>
          <w:b/>
          <w:i/>
          <w:color w:val="000000"/>
          <w:sz w:val="24"/>
        </w:rPr>
        <w:t>Charter</w:t>
      </w:r>
      <w:r>
        <w:rPr>
          <w:color w:val="000000"/>
        </w:rPr>
        <w:t xml:space="preserve">” </w:t>
      </w:r>
      <w:r>
        <w:rPr>
          <w:rFonts w:ascii="Times New Roman;sans-serif" w:hAnsi="Times New Roman;sans-serif"/>
          <w:b w:val="false"/>
          <w:color w:val="000000"/>
          <w:sz w:val="24"/>
        </w:rPr>
        <w:t>means the Company’s Third Amended and Restated Certificate of Incorporation filed with the Secretary of State of the State of Delaware on July 22, 2021 (as the same may be amended).</w:t>
      </w:r>
    </w:p>
    <w:p>
      <w:pPr>
        <w:pStyle w:val="TextBody"/>
        <w:bidi w:val="0"/>
        <w:spacing w:lineRule="auto" w:line="280" w:before="224" w:after="283"/>
        <w:ind w:left="0" w:right="0" w:firstLine="720"/>
        <w:jc w:val="left"/>
        <w:rPr/>
      </w:pPr>
      <w:r>
        <w:rPr>
          <w:color w:val="000000"/>
        </w:rPr>
        <w:t>“</w:t>
      </w:r>
      <w:r>
        <w:rPr>
          <w:rFonts w:ascii="Times New Roman;sans-serif" w:hAnsi="Times New Roman;sans-serif"/>
          <w:b/>
          <w:i/>
          <w:color w:val="000000"/>
          <w:sz w:val="24"/>
        </w:rPr>
        <w:t>Class A Common Stock</w:t>
      </w:r>
      <w:r>
        <w:rPr>
          <w:color w:val="000000"/>
        </w:rPr>
        <w:t xml:space="preserve">” </w:t>
      </w:r>
      <w:r>
        <w:rPr>
          <w:rFonts w:ascii="Times New Roman;sans-serif" w:hAnsi="Times New Roman;sans-serif"/>
          <w:b w:val="false"/>
          <w:color w:val="000000"/>
          <w:sz w:val="24"/>
        </w:rPr>
        <w:t>or “</w:t>
      </w:r>
      <w:r>
        <w:rPr>
          <w:rFonts w:ascii="Times New Roman;sans-serif" w:hAnsi="Times New Roman;sans-serif"/>
          <w:b/>
          <w:i/>
          <w:color w:val="000000"/>
          <w:sz w:val="24"/>
        </w:rPr>
        <w:t>Common Stock</w:t>
      </w:r>
      <w:r>
        <w:rPr>
          <w:color w:val="000000"/>
        </w:rPr>
        <w:t xml:space="preserve">” </w:t>
      </w:r>
      <w:r>
        <w:rPr>
          <w:rFonts w:ascii="Times New Roman;sans-serif" w:hAnsi="Times New Roman;sans-serif"/>
          <w:b w:val="false"/>
          <w:color w:val="000000"/>
          <w:sz w:val="24"/>
        </w:rPr>
        <w:t>means the Class A common stock, par value $0.0001 per share, of the Company, and any capital stock into which such Common Stock shall have been converted, exchanged or reclassified following the date hereof.</w:t>
      </w:r>
    </w:p>
    <w:p>
      <w:pPr>
        <w:pStyle w:val="TextBody"/>
        <w:bidi w:val="0"/>
        <w:spacing w:before="4"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Company</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before="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Credit Agreement</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lineRule="auto" w:line="285" w:before="233" w:after="283"/>
        <w:ind w:left="0" w:right="0" w:firstLine="720"/>
        <w:jc w:val="left"/>
        <w:rPr/>
      </w:pPr>
      <w:r>
        <w:rPr>
          <w:color w:val="000000"/>
        </w:rPr>
        <w:t>“</w:t>
      </w:r>
      <w:r>
        <w:rPr>
          <w:rFonts w:ascii="Times New Roman;sans-serif" w:hAnsi="Times New Roman;sans-serif"/>
          <w:b/>
          <w:i/>
          <w:color w:val="000000"/>
          <w:sz w:val="24"/>
        </w:rPr>
        <w:t xml:space="preserve">Delivery Deadline” </w:t>
      </w:r>
      <w:r>
        <w:rPr>
          <w:rFonts w:ascii="Times New Roman;sans-serif" w:hAnsi="Times New Roman;sans-serif"/>
          <w:b w:val="false"/>
          <w:color w:val="000000"/>
          <w:sz w:val="24"/>
        </w:rPr>
        <w:t>means two (2) Business Days after delivery of an Exercise Certificate in respect of such exercise.</w:t>
      </w:r>
    </w:p>
    <w:p>
      <w:pPr>
        <w:pStyle w:val="TextBody"/>
        <w:bidi w:val="0"/>
        <w:spacing w:lineRule="auto" w:line="285" w:before="223" w:after="283"/>
        <w:ind w:left="0" w:right="0" w:firstLine="720"/>
        <w:jc w:val="left"/>
        <w:rPr/>
      </w:pPr>
      <w:r>
        <w:rPr>
          <w:color w:val="000000"/>
        </w:rPr>
        <w:t>“</w:t>
      </w:r>
      <w:r>
        <w:rPr>
          <w:rFonts w:ascii="Times New Roman;sans-serif" w:hAnsi="Times New Roman;sans-serif"/>
          <w:b/>
          <w:i/>
          <w:color w:val="000000"/>
          <w:sz w:val="24"/>
        </w:rPr>
        <w:t>Delivery Failure</w:t>
      </w:r>
      <w:r>
        <w:rPr>
          <w:color w:val="000000"/>
        </w:rPr>
        <w:t xml:space="preserve">” </w:t>
      </w:r>
      <w:r>
        <w:rPr>
          <w:rFonts w:ascii="Times New Roman;sans-serif" w:hAnsi="Times New Roman;sans-serif"/>
          <w:b w:val="false"/>
          <w:color w:val="000000"/>
          <w:sz w:val="24"/>
        </w:rPr>
        <w:t>means the failure by the Company, for any reason, to deliver Warrant Shares to the Holder or its designee on or prior to the Delivery Deadline.</w:t>
      </w:r>
    </w:p>
    <w:p>
      <w:pPr>
        <w:pStyle w:val="TextBody"/>
        <w:bidi w:val="0"/>
        <w:spacing w:lineRule="auto" w:line="523" w:before="228" w:after="283"/>
        <w:jc w:val="left"/>
        <w:rPr/>
      </w:pPr>
      <w:r>
        <w:rPr>
          <w:color w:val="000000"/>
        </w:rPr>
        <w:t>“</w:t>
      </w:r>
      <w:r>
        <w:rPr>
          <w:rFonts w:ascii="Times New Roman;sans-serif" w:hAnsi="Times New Roman;sans-serif"/>
          <w:b/>
          <w:i/>
          <w:color w:val="000000"/>
          <w:sz w:val="24"/>
        </w:rPr>
        <w:t>Demand Registration</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6(b)</w:t>
        </w:r>
      </w:hyperlink>
      <w:r>
        <w:rPr>
          <w:rFonts w:ascii="Times New Roman;sans-serif" w:hAnsi="Times New Roman;sans-serif"/>
          <w:b w:val="false"/>
          <w:color w:val="000000"/>
          <w:sz w:val="24"/>
        </w:rPr>
        <w:t>. “</w:t>
      </w:r>
      <w:r>
        <w:rPr>
          <w:rFonts w:ascii="Times New Roman;sans-serif" w:hAnsi="Times New Roman;sans-serif"/>
          <w:b/>
          <w:i/>
          <w:color w:val="000000"/>
          <w:sz w:val="24"/>
        </w:rPr>
        <w:t>DTC</w:t>
      </w:r>
      <w:r>
        <w:rPr>
          <w:color w:val="000000"/>
        </w:rPr>
        <w:t xml:space="preserve">” </w:t>
      </w:r>
      <w:r>
        <w:rPr>
          <w:rFonts w:ascii="Times New Roman;sans-serif" w:hAnsi="Times New Roman;sans-serif"/>
          <w:b w:val="false"/>
          <w:color w:val="000000"/>
          <w:sz w:val="24"/>
        </w:rPr>
        <w:t>means the Depository Trust Company.</w:t>
      </w:r>
    </w:p>
    <w:p>
      <w:pPr>
        <w:pStyle w:val="TextBody"/>
        <w:bidi w:val="0"/>
        <w:spacing w:lineRule="auto" w:line="271" w:before="0" w:after="0"/>
        <w:jc w:val="left"/>
        <w:rPr/>
      </w:pPr>
      <w:r>
        <w:rPr>
          <w:color w:val="000000"/>
        </w:rPr>
        <w:t>“</w:t>
      </w:r>
      <w:r>
        <w:rPr>
          <w:rFonts w:ascii="Times New Roman;sans-serif" w:hAnsi="Times New Roman;sans-serif"/>
          <w:b/>
          <w:i/>
          <w:color w:val="000000"/>
          <w:sz w:val="24"/>
        </w:rPr>
        <w:t>DWAC</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3(i)</w:t>
        </w:r>
      </w:hyperlink>
      <w:r>
        <w:rPr>
          <w:rFonts w:ascii="Times New Roman;sans-serif" w:hAnsi="Times New Roman;sans-serif"/>
          <w:b w:val="false"/>
          <w:color w:val="000000"/>
          <w:sz w:val="24"/>
        </w:rPr>
        <w:t>.</w:t>
      </w:r>
    </w:p>
    <w:p>
      <w:pPr>
        <w:pStyle w:val="TextBody"/>
        <w:bidi w:val="0"/>
        <w:spacing w:before="8" w:after="283"/>
        <w:jc w:val="left"/>
        <w:rPr/>
      </w:pPr>
      <w:r>
        <w:rPr/>
      </w:r>
    </w:p>
    <w:p>
      <w:pPr>
        <w:pStyle w:val="TextBody"/>
        <w:bidi w:val="0"/>
        <w:spacing w:lineRule="auto" w:line="561" w:before="0" w:after="0"/>
        <w:jc w:val="left"/>
        <w:rPr/>
      </w:pPr>
      <w:r>
        <w:rPr>
          <w:color w:val="000000"/>
        </w:rPr>
        <w:t>“</w:t>
      </w:r>
      <w:r>
        <w:rPr>
          <w:rFonts w:ascii="Times New Roman;sans-serif" w:hAnsi="Times New Roman;sans-serif"/>
          <w:b/>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 “</w:t>
      </w:r>
      <w:r>
        <w:rPr>
          <w:rFonts w:ascii="Times New Roman;sans-serif" w:hAnsi="Times New Roman;sans-serif"/>
          <w:b/>
          <w:i/>
          <w:color w:val="000000"/>
          <w:sz w:val="24"/>
        </w:rPr>
        <w:t>Exercise Certificate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3(a)(i)</w:t>
        </w:r>
      </w:hyperlink>
      <w:r>
        <w:rPr>
          <w:rFonts w:ascii="Times New Roman;sans-serif" w:hAnsi="Times New Roman;sans-serif"/>
          <w:b w:val="false"/>
          <w:color w:val="000000"/>
          <w:sz w:val="24"/>
        </w:rPr>
        <w:t>.</w:t>
      </w:r>
    </w:p>
    <w:p>
      <w:pPr>
        <w:pStyle w:val="TextBody"/>
        <w:bidi w:val="0"/>
        <w:spacing w:lineRule="auto" w:line="228" w:before="0" w:after="0"/>
        <w:jc w:val="both"/>
        <w:rPr/>
      </w:pPr>
      <w:r>
        <w:rPr>
          <w:color w:val="000000"/>
        </w:rPr>
        <w:t>“</w:t>
      </w:r>
      <w:r>
        <w:rPr>
          <w:rFonts w:ascii="Times New Roman;sans-serif" w:hAnsi="Times New Roman;sans-serif"/>
          <w:b/>
          <w:i/>
          <w:color w:val="000000"/>
          <w:sz w:val="24"/>
        </w:rPr>
        <w:t>Exercise Date</w:t>
      </w:r>
      <w:r>
        <w:rPr>
          <w:color w:val="000000"/>
        </w:rPr>
        <w:t xml:space="preserve">” </w:t>
      </w:r>
      <w:r>
        <w:rPr>
          <w:rFonts w:ascii="Times New Roman;sans-serif" w:hAnsi="Times New Roman;sans-serif"/>
          <w:b w:val="false"/>
          <w:color w:val="000000"/>
          <w:sz w:val="24"/>
        </w:rPr>
        <w:t>means, for any given exercise of this Warrant Certificate, whether in</w:t>
      </w:r>
    </w:p>
    <w:p>
      <w:pPr>
        <w:pStyle w:val="TextBody"/>
        <w:bidi w:val="0"/>
        <w:spacing w:lineRule="auto" w:line="240" w:before="3" w:after="283"/>
        <w:jc w:val="both"/>
        <w:rPr/>
      </w:pPr>
      <w:r>
        <w:rPr>
          <w:rFonts w:ascii="Times New Roman;sans-serif" w:hAnsi="Times New Roman;sans-serif"/>
          <w:b w:val="false"/>
          <w:color w:val="000000"/>
          <w:sz w:val="24"/>
        </w:rPr>
        <w:t xml:space="preserve">whole or in part, the date on which the conditions to such exercise as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w:t>
        </w:r>
      </w:hyperlink>
      <w:r>
        <w:rPr>
          <w:rFonts w:ascii="Times New Roman;sans-serif" w:hAnsi="Times New Roman;sans-serif"/>
          <w:b/>
          <w:color w:val="000000"/>
          <w:sz w:val="24"/>
        </w:rPr>
        <w:t xml:space="preserve"> </w:t>
      </w:r>
      <w:r>
        <w:rPr>
          <w:rFonts w:ascii="Times New Roman;sans-serif" w:hAnsi="Times New Roman;sans-serif"/>
          <w:b w:val="false"/>
          <w:color w:val="000000"/>
          <w:sz w:val="24"/>
        </w:rPr>
        <w:t>shall have been satisfied at or prior to 5:00 p.m., Eastern time, on a Business Day, including, without limitation, the receipt by the Company of the Exercise Certificate and the applicable Aggregate Exercise Price.</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Exercise Period</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0">
        <w:r>
          <w:rPr>
            <w:rStyle w:val="InternetLink"/>
            <w:rFonts w:ascii="Times New Roman;sans-serif" w:hAnsi="Times New Roman;sans-serif"/>
            <w:b/>
            <w:strike w:val="false"/>
            <w:dstrike w:val="false"/>
            <w:color w:val="000000"/>
            <w:sz w:val="24"/>
            <w:u w:val="none"/>
            <w:effect w:val="none"/>
          </w:rPr>
          <w:t>Section 2</w:t>
        </w:r>
      </w:hyperlink>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81050"/>
                <wp:effectExtent l="0" t="0" r="0" b="0"/>
                <wp:wrapNone/>
                <wp:docPr id="8" name="Frame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76" w:after="283"/>
        <w:ind w:left="0" w:right="0" w:firstLine="720"/>
        <w:jc w:val="left"/>
        <w:rPr/>
      </w:pPr>
      <w:r>
        <w:rPr>
          <w:color w:val="000000"/>
        </w:rPr>
        <w:t>“</w:t>
      </w:r>
      <w:r>
        <w:rPr>
          <w:rFonts w:ascii="Times New Roman;sans-serif" w:hAnsi="Times New Roman;sans-serif"/>
          <w:b/>
          <w:i/>
          <w:color w:val="000000"/>
          <w:sz w:val="24"/>
        </w:rPr>
        <w:t>Exercise Price</w:t>
      </w:r>
      <w:r>
        <w:rPr>
          <w:color w:val="000000"/>
        </w:rPr>
        <w:t xml:space="preserve">” </w:t>
      </w:r>
      <w:r>
        <w:rPr>
          <w:rFonts w:ascii="Times New Roman;sans-serif" w:hAnsi="Times New Roman;sans-serif"/>
          <w:b w:val="false"/>
          <w:color w:val="000000"/>
          <w:sz w:val="24"/>
        </w:rPr>
        <w:t>means, as applicable, the Initial Warrant Exercise Price or the Tranche Exercise B Price.</w:t>
      </w:r>
    </w:p>
    <w:p>
      <w:pPr>
        <w:pStyle w:val="TextBody"/>
        <w:bidi w:val="0"/>
        <w:spacing w:before="7" w:after="283"/>
        <w:jc w:val="left"/>
        <w:rPr/>
      </w:pPr>
      <w:r>
        <w:rPr/>
      </w:r>
    </w:p>
    <w:p>
      <w:pPr>
        <w:pStyle w:val="TextBody"/>
        <w:bidi w:val="0"/>
        <w:spacing w:lineRule="auto" w:line="276" w:before="0" w:after="0"/>
        <w:ind w:left="0" w:right="0" w:firstLine="720"/>
        <w:jc w:val="left"/>
        <w:rPr/>
      </w:pPr>
      <w:r>
        <w:rPr>
          <w:color w:val="000000"/>
        </w:rPr>
        <w:t>“</w:t>
      </w:r>
      <w:r>
        <w:rPr>
          <w:rFonts w:ascii="Times New Roman;sans-serif" w:hAnsi="Times New Roman;sans-serif"/>
          <w:b/>
          <w:i/>
          <w:color w:val="000000"/>
          <w:sz w:val="24"/>
        </w:rPr>
        <w:t>Fair Market Value</w:t>
      </w:r>
      <w:r>
        <w:rPr>
          <w:color w:val="000000"/>
        </w:rPr>
        <w:t xml:space="preserve">” </w:t>
      </w:r>
      <w:r>
        <w:rPr>
          <w:rFonts w:ascii="Times New Roman;sans-serif" w:hAnsi="Times New Roman;sans-serif"/>
          <w:b w:val="false"/>
          <w:color w:val="000000"/>
          <w:sz w:val="24"/>
        </w:rPr>
        <w:t>means, if the Company’s equity securities are listed on a Trading Market, as of any particular Trading Day, (i) the VWAP of such equity securities for such day or</w:t>
      </w:r>
    </w:p>
    <w:p>
      <w:pPr>
        <w:pStyle w:val="TextBody"/>
        <w:bidi w:val="0"/>
        <w:spacing w:lineRule="auto" w:line="240"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(ii) if there have been no sales on any Trading Market on any such day, the average of the highest bid and lowest asked prices for the Company’s equity securities on all applicable Trading Markets at the end of such day. If the Company’s equity securities are not listed, quoted or otherwise available for trading, the “Fair Market Value” of the applicable class of equity securities shall be the fair market value, per share, of such equity securities as determined jointly by the Board and the Holder.</w:t>
      </w:r>
    </w:p>
    <w:p>
      <w:pPr>
        <w:pStyle w:val="TextBody"/>
        <w:bidi w:val="0"/>
        <w:spacing w:before="3"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FAST</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3(i)</w:t>
        </w:r>
      </w:hyperlink>
      <w:r>
        <w:rPr>
          <w:rFonts w:ascii="Times New Roman;sans-serif" w:hAnsi="Times New Roman;sans-serif"/>
          <w:b w:val="false"/>
          <w:color w:val="000000"/>
          <w:sz w:val="24"/>
        </w:rPr>
        <w:t>.</w:t>
      </w:r>
    </w:p>
    <w:p>
      <w:pPr>
        <w:pStyle w:val="TextBody"/>
        <w:bidi w:val="0"/>
        <w:spacing w:lineRule="auto" w:line="240" w:before="233" w:after="283"/>
        <w:jc w:val="left"/>
        <w:rPr/>
      </w:pPr>
      <w:r>
        <w:rPr>
          <w:color w:val="000000"/>
        </w:rPr>
        <w:t>“</w:t>
      </w:r>
      <w:r>
        <w:rPr>
          <w:rFonts w:ascii="Times New Roman;sans-serif" w:hAnsi="Times New Roman;sans-serif"/>
          <w:b/>
          <w:i/>
          <w:color w:val="000000"/>
          <w:sz w:val="24"/>
        </w:rPr>
        <w:t>Fundamental Change</w:t>
      </w:r>
      <w:r>
        <w:rPr>
          <w:color w:val="000000"/>
        </w:rPr>
        <w:t xml:space="preserve">” </w:t>
      </w:r>
      <w:r>
        <w:rPr>
          <w:rFonts w:ascii="Times New Roman;sans-serif" w:hAnsi="Times New Roman;sans-serif"/>
          <w:b w:val="false"/>
          <w:color w:val="000000"/>
          <w:sz w:val="24"/>
        </w:rPr>
        <w:t>means any event or circumstance that constitutes or results in</w:t>
      </w:r>
    </w:p>
    <w:p>
      <w:pPr>
        <w:pStyle w:val="TextBody"/>
        <w:bidi w:val="0"/>
        <w:spacing w:lineRule="auto" w:line="276"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(i) a Change in Control, as defined in the Credit Agreement (as in effect as of the date hereof) or</w:t>
      </w:r>
    </w:p>
    <w:p>
      <w:pPr>
        <w:pStyle w:val="TextBody"/>
        <w:bidi w:val="0"/>
        <w:spacing w:lineRule="auto" w:line="28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the liquidation, bankruptcy, dissolution or winding-up (or the occurrence of any analogous proceeding) of the Company.</w:t>
      </w:r>
    </w:p>
    <w:p>
      <w:pPr>
        <w:pStyle w:val="TextBody"/>
        <w:bidi w:val="0"/>
        <w:spacing w:lineRule="auto" w:line="240" w:before="227" w:after="283"/>
        <w:jc w:val="left"/>
        <w:rPr/>
      </w:pPr>
      <w:r>
        <w:rPr>
          <w:color w:val="000000"/>
        </w:rPr>
        <w:t>“</w:t>
      </w:r>
      <w:r>
        <w:rPr>
          <w:rFonts w:ascii="Times New Roman;sans-serif" w:hAnsi="Times New Roman;sans-serif"/>
          <w:b/>
          <w:i/>
          <w:color w:val="000000"/>
          <w:sz w:val="24"/>
        </w:rPr>
        <w:t>Holder</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before="1" w:after="283"/>
        <w:jc w:val="left"/>
        <w:rPr/>
      </w:pPr>
      <w:r>
        <w:rPr/>
      </w:r>
    </w:p>
    <w:p>
      <w:pPr>
        <w:pStyle w:val="TextBody"/>
        <w:bidi w:val="0"/>
        <w:spacing w:lineRule="auto" w:line="520" w:before="0" w:after="0"/>
        <w:jc w:val="left"/>
        <w:rPr/>
      </w:pPr>
      <w:r>
        <w:rPr>
          <w:color w:val="000000"/>
        </w:rPr>
        <w:t>“</w:t>
      </w:r>
      <w:r>
        <w:rPr>
          <w:rFonts w:ascii="Times New Roman;sans-serif" w:hAnsi="Times New Roman;sans-serif"/>
          <w:b/>
          <w:i/>
          <w:color w:val="000000"/>
          <w:sz w:val="24"/>
        </w:rPr>
        <w:t>Initial Warrant Exercise Price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2(a)(i)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w:t>
      </w:r>
      <w:r>
        <w:rPr>
          <w:rFonts w:ascii="Times New Roman;sans-serif" w:hAnsi="Times New Roman;sans-serif"/>
          <w:b/>
          <w:i/>
          <w:color w:val="000000"/>
          <w:sz w:val="24"/>
        </w:rPr>
        <w:t>Initial Warrant Shares</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2(a)(i)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w:t>
      </w:r>
      <w:r>
        <w:rPr>
          <w:rFonts w:ascii="Times New Roman;sans-serif" w:hAnsi="Times New Roman;sans-serif"/>
          <w:b/>
          <w:i/>
          <w:color w:val="000000"/>
          <w:sz w:val="24"/>
        </w:rPr>
        <w:t>Initial Vesting Date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2(a)(i)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lineRule="auto" w:line="273" w:before="0" w:after="0"/>
        <w:jc w:val="left"/>
        <w:rPr/>
      </w:pPr>
      <w:r>
        <w:rPr>
          <w:color w:val="000000"/>
        </w:rPr>
        <w:t>“</w:t>
      </w:r>
      <w:r>
        <w:rPr>
          <w:rFonts w:ascii="Times New Roman;sans-serif" w:hAnsi="Times New Roman;sans-serif"/>
          <w:b/>
          <w:i/>
          <w:color w:val="000000"/>
          <w:sz w:val="24"/>
        </w:rPr>
        <w:t>Issue Date</w:t>
      </w:r>
      <w:r>
        <w:rPr>
          <w:color w:val="000000"/>
        </w:rPr>
        <w:t xml:space="preserve">” </w:t>
      </w:r>
      <w:r>
        <w:rPr>
          <w:rFonts w:ascii="Times New Roman;sans-serif" w:hAnsi="Times New Roman;sans-serif"/>
          <w:b w:val="false"/>
          <w:color w:val="000000"/>
          <w:sz w:val="24"/>
        </w:rPr>
        <w:t>has the meaning set forth in the preamble.</w:t>
      </w:r>
    </w:p>
    <w:p>
      <w:pPr>
        <w:pStyle w:val="TextBody"/>
        <w:bidi w:val="0"/>
        <w:spacing w:before="8"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4"/>
        </w:rPr>
        <w:t>Liquidity Event</w:t>
      </w:r>
      <w:r>
        <w:rPr>
          <w:color w:val="000000"/>
        </w:rPr>
        <w:t xml:space="preserve">” </w:t>
      </w:r>
      <w:r>
        <w:rPr>
          <w:rFonts w:ascii="Times New Roman;sans-serif" w:hAnsi="Times New Roman;sans-serif"/>
          <w:b w:val="false"/>
          <w:color w:val="000000"/>
          <w:sz w:val="24"/>
        </w:rPr>
        <w:t>means: (a) a merger or consolidation in which the Company is a constituent party or a subsidiary of the Company is a constituent party and the Company issues shares of its capital stock pursuant to such merger or consolidation, except for (i) any such merger or consolidation with an entity that is an affiliate of the Company or an affiliate of any stockholder of the Company or (ii) any such merger or consolidation involving the Company or a subsidiary in which the shares of capital stock of the Company outstanding immediately prior to such merger or consolidation continue to represent, or are converted into or exchanged for shares of capital stock that represent, immediately following such merger or consolidation, at least a majority, by voting power, of the capital stock of (1) the surviving or resulting corporation; or (2) if the surviving or resulting corporation is a wholly owned subsidiary of another corporation immediately following such merger or consolidation, the parent corporation of such surviving or resulting corporation; (b) the sale, lease, transfer, exclusive license or other disposition, in a single transaction or series of related transactions, by the Company or any subsidiary of the Company to an independent third party that is not an affiliate of the Company or an affiliate of any stockholder of the Company of all or substantially all the assets of the Company and its subsidiaries taken as a whole or the sale or disposition (whether by merger, consolidation or otherwise) of one or more subsidiaries of the Company if substantially all of the assets of the Company and its subsidiaries taken as a whole are held by such subsidiary or subsidiaries, except where such sale, lease, transfer, exclusive license or other disposition is to a wholly owned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81050"/>
                <wp:effectExtent l="0" t="0" r="0" b="0"/>
                <wp:wrapNone/>
                <wp:docPr id="9" name="Frame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subsidiary of the Company; or (c) the liquidation, dissolution or winding up of the Company, whether voluntary or involuntary.</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Nasdaq</w:t>
      </w:r>
      <w:r>
        <w:rPr>
          <w:color w:val="000000"/>
        </w:rPr>
        <w:t xml:space="preserve">” </w:t>
      </w:r>
      <w:r>
        <w:rPr>
          <w:rFonts w:ascii="Times New Roman;sans-serif" w:hAnsi="Times New Roman;sans-serif"/>
          <w:b w:val="false"/>
          <w:color w:val="000000"/>
          <w:sz w:val="24"/>
        </w:rPr>
        <w:t>means The Nasdaq Stock Market, Inc.</w:t>
      </w:r>
    </w:p>
    <w:p>
      <w:pPr>
        <w:pStyle w:val="TextBody"/>
        <w:bidi w:val="0"/>
        <w:spacing w:lineRule="auto" w:line="285" w:before="233" w:after="283"/>
        <w:ind w:left="0" w:right="0" w:firstLine="720"/>
        <w:jc w:val="left"/>
        <w:rPr/>
      </w:pPr>
      <w:r>
        <w:rPr>
          <w:color w:val="000000"/>
        </w:rPr>
        <w:t>“</w:t>
      </w:r>
      <w:r>
        <w:rPr>
          <w:rFonts w:ascii="Times New Roman;sans-serif" w:hAnsi="Times New Roman;sans-serif"/>
          <w:b/>
          <w:i/>
          <w:color w:val="000000"/>
          <w:sz w:val="24"/>
        </w:rPr>
        <w:t>OTC Bulletin Board</w:t>
      </w:r>
      <w:r>
        <w:rPr>
          <w:color w:val="000000"/>
        </w:rPr>
        <w:t xml:space="preserve">” </w:t>
      </w:r>
      <w:r>
        <w:rPr>
          <w:rFonts w:ascii="Times New Roman;sans-serif" w:hAnsi="Times New Roman;sans-serif"/>
          <w:b w:val="false"/>
          <w:color w:val="000000"/>
          <w:sz w:val="24"/>
        </w:rPr>
        <w:t>means the National Association of Securities Dealers, Inc. OTC Bulletin Board.</w:t>
      </w:r>
    </w:p>
    <w:p>
      <w:pPr>
        <w:pStyle w:val="TextBody"/>
        <w:bidi w:val="0"/>
        <w:spacing w:lineRule="auto" w:line="280" w:before="223" w:after="283"/>
        <w:ind w:left="0" w:right="0" w:firstLine="720"/>
        <w:jc w:val="left"/>
        <w:rPr/>
      </w:pPr>
      <w:r>
        <w:rPr>
          <w:color w:val="000000"/>
        </w:rPr>
        <w:t>“</w:t>
      </w:r>
      <w:r>
        <w:rPr>
          <w:rFonts w:ascii="Times New Roman;sans-serif" w:hAnsi="Times New Roman;sans-serif"/>
          <w:b/>
          <w:i/>
          <w:color w:val="000000"/>
          <w:sz w:val="24"/>
        </w:rPr>
        <w:t>Person</w:t>
      </w:r>
      <w:r>
        <w:rPr>
          <w:color w:val="000000"/>
        </w:rPr>
        <w:t xml:space="preserve">” </w:t>
      </w:r>
      <w:r>
        <w:rPr>
          <w:rFonts w:ascii="Times New Roman;sans-serif" w:hAnsi="Times New Roman;sans-serif"/>
          <w:b w:val="false"/>
          <w:color w:val="000000"/>
          <w:sz w:val="24"/>
        </w:rPr>
        <w:t>means any individual, sole proprietorship, partnership, limited liability company, corporation, joint venture, trust, incorporated organization or government or department or agency thereof.</w:t>
      </w:r>
    </w:p>
    <w:p>
      <w:pPr>
        <w:pStyle w:val="TextBody"/>
        <w:bidi w:val="0"/>
        <w:spacing w:before="4"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4"/>
        </w:rPr>
        <w:t>Prospectus</w:t>
      </w:r>
      <w:r>
        <w:rPr>
          <w:color w:val="000000"/>
        </w:rPr>
        <w:t xml:space="preserve">” </w:t>
      </w:r>
      <w:r>
        <w:rPr>
          <w:rFonts w:ascii="Times New Roman;sans-serif" w:hAnsi="Times New Roman;sans-serif"/>
          <w:b w:val="false"/>
          <w:color w:val="000000"/>
          <w:sz w:val="24"/>
        </w:rPr>
        <w:t>means the prospectus or prospectuses included in any Registration Statement, as amended or supplemented by any prospectus supplement with respect to the terms of the offering of any portion of the Registrable Securities covered by such Registration Statement and by all other amendments and supplements to the prospectus, including post- effective amendments and all material incorporated by reference in such prospectus or prospectuses.</w:t>
      </w:r>
    </w:p>
    <w:p>
      <w:pPr>
        <w:pStyle w:val="TextBody"/>
        <w:bidi w:val="0"/>
        <w:spacing w:before="4" w:after="283"/>
        <w:jc w:val="left"/>
        <w:rPr/>
      </w:pPr>
      <w:r>
        <w:rPr/>
      </w:r>
    </w:p>
    <w:p>
      <w:pPr>
        <w:pStyle w:val="TextBody"/>
        <w:bidi w:val="0"/>
        <w:spacing w:lineRule="auto" w:line="518" w:before="0" w:after="0"/>
        <w:jc w:val="left"/>
        <w:rPr/>
      </w:pPr>
      <w:r>
        <w:rPr>
          <w:color w:val="000000"/>
        </w:rPr>
        <w:t>“</w:t>
      </w:r>
      <w:r>
        <w:rPr>
          <w:rFonts w:ascii="Times New Roman;sans-serif" w:hAnsi="Times New Roman;sans-serif"/>
          <w:b/>
          <w:i/>
          <w:color w:val="000000"/>
          <w:sz w:val="24"/>
        </w:rPr>
        <w:t>Purchase Rights</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5</w:t>
        </w:r>
      </w:hyperlink>
      <w:r>
        <w:rPr>
          <w:rFonts w:ascii="Times New Roman;sans-serif" w:hAnsi="Times New Roman;sans-serif"/>
          <w:b w:val="false"/>
          <w:color w:val="000000"/>
          <w:sz w:val="24"/>
        </w:rPr>
        <w:t>. “</w:t>
      </w:r>
      <w:r>
        <w:rPr>
          <w:rFonts w:ascii="Times New Roman;sans-serif" w:hAnsi="Times New Roman;sans-serif"/>
          <w:b/>
          <w:i/>
          <w:color w:val="000000"/>
          <w:sz w:val="24"/>
        </w:rPr>
        <w:t>Put Notice</w:t>
      </w:r>
      <w:r>
        <w:rPr>
          <w:color w:val="000000"/>
        </w:rPr>
        <w:t xml:space="preserve">” </w:t>
      </w:r>
      <w:r>
        <w:rPr>
          <w:rFonts w:ascii="Times New Roman;sans-serif" w:hAnsi="Times New Roman;sans-serif"/>
          <w:b w:val="false"/>
          <w:color w:val="000000"/>
          <w:sz w:val="24"/>
        </w:rPr>
        <w:t xml:space="preserve">has the meaning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3(o)</w:t>
        </w:r>
      </w:hyperlink>
      <w:r>
        <w:rPr>
          <w:rFonts w:ascii="Times New Roman;sans-serif" w:hAnsi="Times New Roman;sans-serif"/>
          <w:b w:val="false"/>
          <w:color w:val="000000"/>
          <w:sz w:val="24"/>
        </w:rPr>
        <w:t>.</w:t>
      </w:r>
    </w:p>
    <w:p>
      <w:pPr>
        <w:pStyle w:val="TextBody"/>
        <w:bidi w:val="0"/>
        <w:spacing w:lineRule="auto" w:line="240" w:before="5" w:after="283"/>
        <w:jc w:val="left"/>
        <w:rPr/>
      </w:pPr>
      <w:r>
        <w:rPr>
          <w:color w:val="000000"/>
        </w:rPr>
        <w:t>“</w:t>
      </w:r>
      <w:r>
        <w:rPr>
          <w:rFonts w:ascii="Times New Roman;sans-serif" w:hAnsi="Times New Roman;sans-serif"/>
          <w:b/>
          <w:i/>
          <w:color w:val="000000"/>
          <w:sz w:val="24"/>
        </w:rPr>
        <w:t>Put Right</w:t>
      </w:r>
      <w:r>
        <w:rPr>
          <w:color w:val="000000"/>
        </w:rPr>
        <w:t xml:space="preserve">” </w:t>
      </w:r>
      <w:r>
        <w:rPr>
          <w:rFonts w:ascii="Times New Roman;sans-serif" w:hAnsi="Times New Roman;sans-serif"/>
          <w:b w:val="false"/>
          <w:color w:val="000000"/>
          <w:sz w:val="24"/>
        </w:rPr>
        <w:t xml:space="preserve">has the meaning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3(o)</w:t>
        </w:r>
      </w:hyperlink>
      <w:r>
        <w:rPr>
          <w:rFonts w:ascii="Times New Roman;sans-serif" w:hAnsi="Times New Roman;sans-serif"/>
          <w:b w:val="false"/>
          <w:color w:val="000000"/>
          <w:sz w:val="24"/>
        </w:rPr>
        <w:t>.</w:t>
      </w:r>
    </w:p>
    <w:p>
      <w:pPr>
        <w:pStyle w:val="TextBody"/>
        <w:bidi w:val="0"/>
        <w:spacing w:lineRule="auto" w:line="240" w:before="233" w:after="283"/>
        <w:ind w:left="0" w:right="0" w:firstLine="720"/>
        <w:jc w:val="left"/>
        <w:rPr/>
      </w:pPr>
      <w:r>
        <w:rPr>
          <w:color w:val="000000"/>
        </w:rPr>
        <w:t>“</w:t>
      </w:r>
      <w:r>
        <w:rPr>
          <w:rFonts w:ascii="Times New Roman;sans-serif" w:hAnsi="Times New Roman;sans-serif"/>
          <w:b/>
          <w:i/>
          <w:color w:val="000000"/>
          <w:sz w:val="24"/>
        </w:rPr>
        <w:t>Registrable Securities</w:t>
      </w:r>
      <w:r>
        <w:rPr>
          <w:color w:val="000000"/>
        </w:rPr>
        <w:t xml:space="preserve">” </w:t>
      </w:r>
      <w:r>
        <w:rPr>
          <w:rFonts w:ascii="Times New Roman;sans-serif" w:hAnsi="Times New Roman;sans-serif"/>
          <w:b w:val="false"/>
          <w:color w:val="000000"/>
          <w:sz w:val="24"/>
        </w:rPr>
        <w:t>shall mean the Warrant Shares issuable upon the exercise of this Warrant Certificate; provided, however, that, as to any particular Registrable Security, such securities shall cease to be Registrable Securities when: (i) a Registration Statement with respect to the sale of such securities shall have become effective under the Securities Act and such securities shall have been sold, transferred, disposed of or exchanged in accordance with such Registration Statement; (ii) new certificates for such securities not bearing a legend restricting further transfer shall have been delivered by the Company and subsequent public distribution of such securities shall not require registration under the Securities Act; (iii) all such securities held by the holder thereof could be sold pursuant to SEC Rule 144 without restriction on volume or manner of sale in any three-month period; or (iv) such securities have been sold to, or through, a broker, dealer or underwriter in a public distribution or other public securities transaction. The parties hereto agree that, as such term is used in this Warrant Certificate, the Warrant Shares shall be deemed to be Registrable Securities for the purposes of the registration rights set forth herein at all times that the Holder has the right to acquire or obtain from the Company the Warrant Shares, whether or not such acquisition has actually been effected.</w:t>
      </w:r>
    </w:p>
    <w:p>
      <w:pPr>
        <w:pStyle w:val="TextBody"/>
        <w:bidi w:val="0"/>
        <w:spacing w:before="1" w:after="283"/>
        <w:jc w:val="left"/>
        <w:rPr/>
      </w:pPr>
      <w:r>
        <w:rPr/>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4"/>
        </w:rPr>
        <w:t>Registration Statement</w:t>
      </w:r>
      <w:r>
        <w:rPr>
          <w:color w:val="000000"/>
        </w:rPr>
        <w:t xml:space="preserve">” </w:t>
      </w:r>
      <w:r>
        <w:rPr>
          <w:rFonts w:ascii="Times New Roman;sans-serif" w:hAnsi="Times New Roman;sans-serif"/>
          <w:b w:val="false"/>
          <w:color w:val="000000"/>
          <w:sz w:val="24"/>
        </w:rPr>
        <w:t>means any registration statement of the Company which covers any of the Registrable Securities, including the Prospectus, amendments and supplements to such Registration Statement, including post-effective amendments, all exhibits and all materials incorporated by reference in such Registration Statement.</w:t>
      </w:r>
    </w:p>
    <w:p>
      <w:pPr>
        <w:pStyle w:val="TextBody"/>
        <w:bidi w:val="0"/>
        <w:spacing w:before="3" w:after="283"/>
        <w:jc w:val="left"/>
        <w:rPr/>
      </w:pPr>
      <w:r>
        <w:rPr/>
      </w:r>
    </w:p>
    <w:p>
      <w:pPr>
        <w:pStyle w:val="TextBody"/>
        <w:bidi w:val="0"/>
        <w:spacing w:lineRule="auto" w:line="240" w:before="1" w:after="283"/>
        <w:jc w:val="left"/>
        <w:rPr/>
      </w:pPr>
      <w:r>
        <w:rPr>
          <w:color w:val="000000"/>
        </w:rPr>
        <w:t>“</w:t>
      </w:r>
      <w:r>
        <w:rPr>
          <w:rFonts w:ascii="Times New Roman;sans-serif" w:hAnsi="Times New Roman;sans-serif"/>
          <w:b/>
          <w:i/>
          <w:color w:val="000000"/>
          <w:sz w:val="24"/>
        </w:rPr>
        <w:t>SEC</w:t>
      </w:r>
      <w:r>
        <w:rPr>
          <w:color w:val="000000"/>
        </w:rPr>
        <w:t xml:space="preserve">” </w:t>
      </w:r>
      <w:r>
        <w:rPr>
          <w:rFonts w:ascii="Times New Roman;sans-serif" w:hAnsi="Times New Roman;sans-serif"/>
          <w:b w:val="false"/>
          <w:color w:val="000000"/>
          <w:sz w:val="24"/>
        </w:rPr>
        <w:t>means the Securities and Exchange Commission or any successor thereto.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81050"/>
                <wp:effectExtent l="0" t="0" r="0" b="0"/>
                <wp:wrapNone/>
                <wp:docPr id="10" name="Frame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left"/>
        <w:rPr/>
      </w:pPr>
      <w:r>
        <w:rPr>
          <w:color w:val="000000"/>
        </w:rPr>
        <w:t>“</w:t>
      </w:r>
      <w:r>
        <w:rPr>
          <w:rFonts w:ascii="Times New Roman;sans-serif" w:hAnsi="Times New Roman;sans-serif"/>
          <w:b/>
          <w:i/>
          <w:color w:val="000000"/>
          <w:sz w:val="24"/>
        </w:rPr>
        <w:t>Securities Act</w:t>
      </w:r>
      <w:r>
        <w:rPr>
          <w:color w:val="000000"/>
        </w:rPr>
        <w:t xml:space="preserve">” </w:t>
      </w:r>
      <w:r>
        <w:rPr>
          <w:rFonts w:ascii="Times New Roman;sans-serif" w:hAnsi="Times New Roman;sans-serif"/>
          <w:b w:val="false"/>
          <w:color w:val="000000"/>
          <w:sz w:val="24"/>
        </w:rPr>
        <w:t>means the Securities Act of 1933, as amended.</w:t>
      </w:r>
    </w:p>
    <w:p>
      <w:pPr>
        <w:pStyle w:val="TextBody"/>
        <w:bidi w:val="0"/>
        <w:spacing w:lineRule="auto" w:line="592" w:before="4" w:after="283"/>
        <w:jc w:val="left"/>
        <w:rPr/>
      </w:pPr>
      <w:r>
        <w:rPr>
          <w:color w:val="000000"/>
        </w:rPr>
        <w:t>“</w:t>
      </w:r>
      <w:r>
        <w:rPr>
          <w:rFonts w:ascii="Times New Roman;sans-serif" w:hAnsi="Times New Roman;sans-serif"/>
          <w:b/>
          <w:i/>
          <w:color w:val="000000"/>
          <w:sz w:val="24"/>
        </w:rPr>
        <w:t>Trading Day</w:t>
      </w:r>
      <w:r>
        <w:rPr>
          <w:color w:val="000000"/>
        </w:rPr>
        <w:t xml:space="preserve">” </w:t>
      </w:r>
      <w:r>
        <w:rPr>
          <w:rFonts w:ascii="Times New Roman;sans-serif" w:hAnsi="Times New Roman;sans-serif"/>
          <w:b w:val="false"/>
          <w:color w:val="000000"/>
          <w:sz w:val="24"/>
        </w:rPr>
        <w:t>means a day on which the principal Trading Market is open for trading. “</w:t>
      </w:r>
      <w:r>
        <w:rPr>
          <w:rFonts w:ascii="Times New Roman;sans-serif" w:hAnsi="Times New Roman;sans-serif"/>
          <w:b/>
          <w:i/>
          <w:color w:val="000000"/>
          <w:sz w:val="24"/>
        </w:rPr>
        <w:t>Trading Market</w:t>
      </w:r>
      <w:r>
        <w:rPr>
          <w:color w:val="000000"/>
        </w:rPr>
        <w:t xml:space="preserve">” </w:t>
      </w:r>
      <w:r>
        <w:rPr>
          <w:rFonts w:ascii="Times New Roman;sans-serif" w:hAnsi="Times New Roman;sans-serif"/>
          <w:b w:val="false"/>
          <w:color w:val="000000"/>
          <w:sz w:val="24"/>
        </w:rPr>
        <w:t>means Nasdaq or, if the Company’s equity securities are not listed on</w:t>
      </w:r>
    </w:p>
    <w:p>
      <w:pPr>
        <w:pStyle w:val="TextBody"/>
        <w:bidi w:val="0"/>
        <w:spacing w:lineRule="auto" w:line="285"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Nasdaq, such other principal US or foreign exchange or market (including the OTC Bulletin Board) on which the Company’s equity securities are quoted or available for trading.</w:t>
      </w:r>
    </w:p>
    <w:p>
      <w:pPr>
        <w:pStyle w:val="TextBody"/>
        <w:bidi w:val="0"/>
        <w:spacing w:lineRule="auto" w:line="520" w:before="228" w:after="283"/>
        <w:jc w:val="left"/>
        <w:rPr/>
      </w:pPr>
      <w:r>
        <w:rPr>
          <w:color w:val="000000"/>
        </w:rPr>
        <w:t>“</w:t>
      </w:r>
      <w:r>
        <w:rPr>
          <w:rFonts w:ascii="Times New Roman;sans-serif" w:hAnsi="Times New Roman;sans-serif"/>
          <w:b/>
          <w:i/>
          <w:color w:val="000000"/>
          <w:sz w:val="24"/>
        </w:rPr>
        <w:t>Tranche B Exercise Price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2(a)(ii)</w:t>
        </w:r>
      </w:hyperlink>
      <w:r>
        <w:rPr>
          <w:rFonts w:ascii="Times New Roman;sans-serif" w:hAnsi="Times New Roman;sans-serif"/>
          <w:b w:val="false"/>
          <w:color w:val="000000"/>
          <w:sz w:val="24"/>
        </w:rPr>
        <w:t>. “</w:t>
      </w:r>
      <w:r>
        <w:rPr>
          <w:rFonts w:ascii="Times New Roman;sans-serif" w:hAnsi="Times New Roman;sans-serif"/>
          <w:b/>
          <w:i/>
          <w:color w:val="000000"/>
          <w:sz w:val="24"/>
        </w:rPr>
        <w:t>Tranche B Warrant Shares</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2(a)(ii)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w:t>
      </w:r>
      <w:r>
        <w:rPr>
          <w:rFonts w:ascii="Times New Roman;sans-serif" w:hAnsi="Times New Roman;sans-serif"/>
          <w:b/>
          <w:i/>
          <w:color w:val="000000"/>
          <w:sz w:val="24"/>
        </w:rPr>
        <w:t>Tranche B Vesting Date</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2(a)(ii)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w:t>
      </w:r>
      <w:r>
        <w:rPr>
          <w:rFonts w:ascii="Times New Roman;sans-serif" w:hAnsi="Times New Roman;sans-serif"/>
          <w:b/>
          <w:i/>
          <w:color w:val="000000"/>
          <w:sz w:val="24"/>
        </w:rPr>
        <w:t>Transfer Agent</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3(c)(ii)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w:t>
      </w:r>
      <w:r>
        <w:rPr>
          <w:rFonts w:ascii="Times New Roman;sans-serif" w:hAnsi="Times New Roman;sans-serif"/>
          <w:b/>
          <w:i/>
          <w:color w:val="000000"/>
          <w:sz w:val="24"/>
        </w:rPr>
        <w:t>Unlegended Shares</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12(a)(iii)</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w:t>
      </w:r>
      <w:r>
        <w:rPr>
          <w:rFonts w:ascii="Times New Roman;sans-serif" w:hAnsi="Times New Roman;sans-serif"/>
          <w:b/>
          <w:i/>
          <w:color w:val="000000"/>
          <w:sz w:val="24"/>
        </w:rPr>
        <w:t>Unrestricted Conditions</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12(a)(ii)</w:t>
        </w:r>
      </w:hyperlink>
      <w:r>
        <w:rPr>
          <w:rFonts w:ascii="Times New Roman;sans-serif" w:hAnsi="Times New Roman;sans-serif"/>
          <w:b w:val="false"/>
          <w:color w:val="000000"/>
          <w:sz w:val="24"/>
        </w:rPr>
        <w:t>.</w:t>
      </w:r>
    </w:p>
    <w:p>
      <w:pPr>
        <w:pStyle w:val="TextBody"/>
        <w:bidi w:val="0"/>
        <w:spacing w:lineRule="auto" w:line="240" w:before="0" w:after="0"/>
        <w:ind w:left="0" w:right="0" w:firstLine="720"/>
        <w:jc w:val="left"/>
        <w:rPr/>
      </w:pPr>
      <w:r>
        <w:rPr>
          <w:color w:val="000000"/>
        </w:rPr>
        <w:t>“</w:t>
      </w:r>
      <w:r>
        <w:rPr>
          <w:rFonts w:ascii="Times New Roman;sans-serif" w:hAnsi="Times New Roman;sans-serif"/>
          <w:b/>
          <w:i/>
          <w:color w:val="000000"/>
          <w:sz w:val="24"/>
        </w:rPr>
        <w:t>VWAP</w:t>
      </w:r>
      <w:r>
        <w:rPr>
          <w:color w:val="000000"/>
        </w:rPr>
        <w:t xml:space="preserve">” </w:t>
      </w:r>
      <w:r>
        <w:rPr>
          <w:rFonts w:ascii="Times New Roman;sans-serif" w:hAnsi="Times New Roman;sans-serif"/>
          <w:b w:val="false"/>
          <w:color w:val="000000"/>
          <w:sz w:val="24"/>
        </w:rPr>
        <w:t>means, for any security as of any day or period of days (as the case may be), the volume weighted average sale price on Nasdaq as reported by, or based upon data reported by Bloomberg Financial Markets or an equivalent, reliable reporting service reasonably acceptable to the Holder and the Company (collectively, “</w:t>
      </w:r>
      <w:r>
        <w:rPr>
          <w:rFonts w:ascii="Times New Roman;sans-serif" w:hAnsi="Times New Roman;sans-serif"/>
          <w:b/>
          <w:i/>
          <w:color w:val="000000"/>
          <w:sz w:val="24"/>
        </w:rPr>
        <w:t>Bloomberg</w:t>
      </w:r>
      <w:r>
        <w:rPr>
          <w:color w:val="000000"/>
        </w:rPr>
        <w:t>”</w:t>
      </w:r>
      <w:r>
        <w:rPr>
          <w:rFonts w:ascii="Times New Roman;sans-serif" w:hAnsi="Times New Roman;sans-serif"/>
          <w:b w:val="false"/>
          <w:color w:val="000000"/>
          <w:sz w:val="24"/>
        </w:rPr>
        <w:t xml:space="preserve">) or, if Nasdaq is not the principal trading market for such security, the volume weighted average sale price of such security on the principal securities exchange or trading market where such security is listed or traded as reported by Bloomberg or, if no volume weighted average sale price is reported for such security by Bloomberg, then the last closing trade price of such security as reported by Bloomberg, or, if no last closing trade price is reported for such security by Bloomberg, the average of the bid prices of any market makers for such security that are listed in the over the counter market by the Financial Industry Regulatory Authority, Inc. or on the OTC Bulletin Board (or any successor) or in the “pink sheets” (or any successor) by the OTC Markets Group, Inc.;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if VWAP cannot be calculated for such security on such date in the manner provided above, the VWAP shall be the fair market value as mutually determined by the Company and the Holder.</w:t>
      </w:r>
    </w:p>
    <w:p>
      <w:pPr>
        <w:pStyle w:val="TextBody"/>
        <w:bidi w:val="0"/>
        <w:spacing w:before="5" w:after="283"/>
        <w:jc w:val="left"/>
        <w:rPr/>
      </w:pPr>
      <w:r>
        <w:rPr/>
      </w:r>
    </w:p>
    <w:p>
      <w:pPr>
        <w:pStyle w:val="TextBody"/>
        <w:bidi w:val="0"/>
        <w:spacing w:lineRule="auto" w:line="280" w:before="0" w:after="0"/>
        <w:ind w:left="0" w:right="0" w:firstLine="720"/>
        <w:jc w:val="both"/>
        <w:rPr/>
      </w:pPr>
      <w:r>
        <w:rPr>
          <w:color w:val="000000"/>
        </w:rPr>
        <w:t>“</w:t>
      </w:r>
      <w:r>
        <w:rPr>
          <w:rFonts w:ascii="Times New Roman;sans-serif" w:hAnsi="Times New Roman;sans-serif"/>
          <w:b/>
          <w:i/>
          <w:color w:val="000000"/>
          <w:sz w:val="24"/>
        </w:rPr>
        <w:t>Warrant</w:t>
      </w:r>
      <w:r>
        <w:rPr>
          <w:color w:val="000000"/>
        </w:rPr>
        <w:t xml:space="preserve">” </w:t>
      </w:r>
      <w:r>
        <w:rPr>
          <w:rFonts w:ascii="Times New Roman;sans-serif" w:hAnsi="Times New Roman;sans-serif"/>
          <w:b w:val="false"/>
          <w:color w:val="000000"/>
          <w:sz w:val="24"/>
        </w:rPr>
        <w:t xml:space="preserve">or </w:t>
      </w:r>
      <w:r>
        <w:rPr>
          <w:color w:val="000000"/>
        </w:rPr>
        <w:t>“</w:t>
      </w:r>
      <w:r>
        <w:rPr>
          <w:rFonts w:ascii="Times New Roman;sans-serif" w:hAnsi="Times New Roman;sans-serif"/>
          <w:b/>
          <w:i/>
          <w:color w:val="000000"/>
          <w:sz w:val="24"/>
        </w:rPr>
        <w:t>Warrant Certificate</w:t>
      </w:r>
      <w:r>
        <w:rPr>
          <w:color w:val="000000"/>
        </w:rPr>
        <w:t xml:space="preserve">” </w:t>
      </w:r>
      <w:r>
        <w:rPr>
          <w:rFonts w:ascii="Times New Roman;sans-serif" w:hAnsi="Times New Roman;sans-serif"/>
          <w:b w:val="false"/>
          <w:color w:val="000000"/>
          <w:sz w:val="24"/>
        </w:rPr>
        <w:t>means this Warrant Certificate and all subsequent warrant certificates issued upon division, combination or transfer of, or in substitution for, this Warrant Certificate.</w:t>
      </w:r>
    </w:p>
    <w:p>
      <w:pPr>
        <w:pStyle w:val="TextBody"/>
        <w:bidi w:val="0"/>
        <w:spacing w:before="9"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i/>
          <w:color w:val="000000"/>
          <w:sz w:val="24"/>
        </w:rPr>
        <w:t>Warrant Register</w:t>
      </w:r>
      <w:r>
        <w:rPr>
          <w:color w:val="000000"/>
        </w:rPr>
        <w:t xml:space="preserve">” </w:t>
      </w:r>
      <w:r>
        <w:rPr>
          <w:rFonts w:ascii="Times New Roman;sans-serif" w:hAnsi="Times New Roman;sans-serif"/>
          <w:b w:val="false"/>
          <w:color w:val="000000"/>
          <w:sz w:val="24"/>
        </w:rPr>
        <w:t xml:space="preserve">has the meaning set forth in </w:t>
      </w:r>
      <w:hyperlink w:anchor="i49bad134ac3540a68bc9fca46e959d6c_13">
        <w:r>
          <w:rPr>
            <w:rStyle w:val="InternetLink"/>
            <w:rFonts w:ascii="Times New Roman;sans-serif" w:hAnsi="Times New Roman;sans-serif"/>
            <w:b/>
            <w:strike w:val="false"/>
            <w:dstrike w:val="false"/>
            <w:color w:val="000000"/>
            <w:sz w:val="24"/>
            <w:u w:val="none"/>
            <w:effect w:val="none"/>
          </w:rPr>
          <w:t>Section 7</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lineRule="auto" w:line="280" w:before="233" w:after="283"/>
        <w:ind w:left="0" w:right="0" w:firstLine="720"/>
        <w:jc w:val="left"/>
        <w:rPr/>
      </w:pPr>
      <w:r>
        <w:rPr>
          <w:color w:val="000000"/>
        </w:rPr>
        <w:t>“</w:t>
      </w:r>
      <w:r>
        <w:rPr>
          <w:rFonts w:ascii="Times New Roman;sans-serif" w:hAnsi="Times New Roman;sans-serif"/>
          <w:b/>
          <w:i/>
          <w:color w:val="000000"/>
          <w:sz w:val="24"/>
        </w:rPr>
        <w:t>Warrant Shares</w:t>
      </w:r>
      <w:r>
        <w:rPr>
          <w:color w:val="000000"/>
        </w:rPr>
        <w:t xml:space="preserve">” </w:t>
      </w:r>
      <w:r>
        <w:rPr>
          <w:rFonts w:ascii="Times New Roman;sans-serif" w:hAnsi="Times New Roman;sans-serif"/>
          <w:b w:val="false"/>
          <w:color w:val="000000"/>
          <w:sz w:val="24"/>
        </w:rPr>
        <w:t>means the shares of Class A Common Stock or other capital stock of the Company then purchasable upon exercise of this Warrant Certificate in accordance with the terms of this Warrant Certificate, comprising the Initial Warrant Shares and the Tranche B Warrant Shares.</w:t>
      </w:r>
    </w:p>
    <w:p>
      <w:pPr>
        <w:pStyle w:val="TextBody"/>
        <w:bidi w:val="0"/>
        <w:spacing w:before="4"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2.    Vesting; Term of Warrant Certificate</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81050"/>
                <wp:effectExtent l="0" t="0" r="0" b="0"/>
                <wp:wrapNone/>
                <wp:docPr id="11" name="Frame1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76"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Vesting</w:t>
      </w:r>
      <w:r>
        <w:rPr>
          <w:rFonts w:ascii="Times New Roman;sans-serif" w:hAnsi="Times New Roman;sans-serif"/>
          <w:b w:val="false"/>
          <w:color w:val="000000"/>
          <w:sz w:val="24"/>
        </w:rPr>
        <w:t>. The Warrant Shares that are subject to this Warrant Certificate shall vest and become exercisable in accordance with the following terms:</w:t>
      </w:r>
    </w:p>
    <w:p>
      <w:pPr>
        <w:pStyle w:val="TextBody"/>
        <w:bidi w:val="0"/>
        <w:spacing w:before="5"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(i)On the date hereof (the “</w:t>
      </w:r>
      <w:r>
        <w:rPr>
          <w:rFonts w:ascii="Times New Roman;sans-serif" w:hAnsi="Times New Roman;sans-serif"/>
          <w:b/>
          <w:color w:val="000000"/>
          <w:sz w:val="24"/>
        </w:rPr>
        <w:t>Initial Vesting Date</w:t>
      </w:r>
      <w:r>
        <w:rPr>
          <w:color w:val="000000"/>
        </w:rPr>
        <w:t>”</w:t>
      </w:r>
      <w:r>
        <w:rPr>
          <w:rFonts w:ascii="Times New Roman;sans-serif" w:hAnsi="Times New Roman;sans-serif"/>
          <w:b w:val="false"/>
          <w:color w:val="000000"/>
          <w:sz w:val="24"/>
        </w:rPr>
        <w:t>), 800,000 Warrant Shares shall become vested and exercisable (such Warrant Shares, the “</w:t>
      </w:r>
      <w:r>
        <w:rPr>
          <w:rFonts w:ascii="Times New Roman;sans-serif" w:hAnsi="Times New Roman;sans-serif"/>
          <w:b/>
          <w:color w:val="000000"/>
          <w:sz w:val="24"/>
        </w:rPr>
        <w:t>Initial Warrant Shares</w:t>
      </w:r>
      <w:r>
        <w:rPr>
          <w:color w:val="000000"/>
        </w:rPr>
        <w:t>”</w:t>
      </w:r>
      <w:r>
        <w:rPr>
          <w:rFonts w:ascii="Times New Roman;sans-serif" w:hAnsi="Times New Roman;sans-serif"/>
          <w:b w:val="false"/>
          <w:color w:val="000000"/>
          <w:sz w:val="24"/>
        </w:rPr>
        <w:t>) and shall be exercisable at an Exercise Price equal to $3.1752 (the “</w:t>
      </w:r>
      <w:r>
        <w:rPr>
          <w:rFonts w:ascii="Times New Roman;sans-serif" w:hAnsi="Times New Roman;sans-serif"/>
          <w:b/>
          <w:color w:val="000000"/>
          <w:sz w:val="24"/>
        </w:rPr>
        <w:t>Initial Warrant Exercise Price</w:t>
      </w:r>
      <w:r>
        <w:rPr>
          <w:color w:val="000000"/>
        </w:rPr>
        <w:t>”</w:t>
      </w:r>
      <w:r>
        <w:rPr>
          <w:rFonts w:ascii="Times New Roman;sans-serif" w:hAnsi="Times New Roman;sans-serif"/>
          <w:b w:val="false"/>
          <w:color w:val="000000"/>
          <w:sz w:val="24"/>
        </w:rPr>
        <w:t>)</w:t>
      </w:r>
      <w:r>
        <w:rPr>
          <w:rFonts w:ascii="Times New Roman;sans-serif" w:hAnsi="Times New Roman;sans-serif"/>
          <w:b w:val="false"/>
          <w:color w:val="000000"/>
          <w:sz w:val="23"/>
        </w:rPr>
        <w:t>.</w:t>
      </w:r>
    </w:p>
    <w:p>
      <w:pPr>
        <w:pStyle w:val="TextBody"/>
        <w:bidi w:val="0"/>
        <w:spacing w:before="1" w:after="283"/>
        <w:jc w:val="left"/>
        <w:rPr/>
      </w:pPr>
      <w:r>
        <w:rPr/>
      </w:r>
    </w:p>
    <w:p>
      <w:pPr>
        <w:pStyle w:val="TextBody"/>
        <w:bidi w:val="0"/>
        <w:spacing w:lineRule="auto" w:line="240" w:before="90" w:after="283"/>
        <w:ind w:left="0" w:right="0" w:firstLine="1440"/>
        <w:jc w:val="left"/>
        <w:rPr/>
      </w:pPr>
      <w:r>
        <w:rPr>
          <w:rFonts w:ascii="Times New Roman;sans-serif" w:hAnsi="Times New Roman;sans-serif"/>
          <w:b w:val="false"/>
          <w:color w:val="000000"/>
          <w:sz w:val="24"/>
        </w:rPr>
        <w:t>(ii)On the Tranche B Term Loan Borrowing Date (as defined in the Credit Agreement) (the “</w:t>
      </w:r>
      <w:r>
        <w:rPr>
          <w:rFonts w:ascii="Times New Roman;sans-serif" w:hAnsi="Times New Roman;sans-serif"/>
          <w:b/>
          <w:color w:val="000000"/>
          <w:sz w:val="24"/>
        </w:rPr>
        <w:t>Tranche B Vesting Date</w:t>
      </w:r>
      <w:r>
        <w:rPr>
          <w:color w:val="000000"/>
        </w:rPr>
        <w:t>”</w:t>
      </w:r>
      <w:r>
        <w:rPr>
          <w:rFonts w:ascii="Times New Roman;sans-serif" w:hAnsi="Times New Roman;sans-serif"/>
          <w:b w:val="false"/>
          <w:color w:val="000000"/>
          <w:sz w:val="24"/>
        </w:rPr>
        <w:t>), an additional 400,000 Warrant Shares shall become vested and exercisable (such Warrant Shares, the “</w:t>
      </w:r>
      <w:r>
        <w:rPr>
          <w:rFonts w:ascii="Times New Roman;sans-serif" w:hAnsi="Times New Roman;sans-serif"/>
          <w:b/>
          <w:color w:val="000000"/>
          <w:sz w:val="24"/>
        </w:rPr>
        <w:t>Tranche B Warrant Shares</w:t>
      </w:r>
      <w:r>
        <w:rPr>
          <w:color w:val="000000"/>
        </w:rPr>
        <w:t>”</w:t>
      </w:r>
      <w:r>
        <w:rPr>
          <w:rFonts w:ascii="Times New Roman;sans-serif" w:hAnsi="Times New Roman;sans-serif"/>
          <w:b w:val="false"/>
          <w:color w:val="000000"/>
          <w:sz w:val="24"/>
        </w:rPr>
        <w:t xml:space="preserve">) and shall be exercisable at an Exercise Price equal the </w:t>
      </w:r>
      <w:r>
        <w:rPr>
          <w:rFonts w:ascii="Times New Roman;sans-serif" w:hAnsi="Times New Roman;sans-serif"/>
          <w:b w:val="false"/>
          <w:color w:val="000000"/>
          <w:sz w:val="23"/>
        </w:rPr>
        <w:t>lower of (i) the Initial Warrant Exercise Price or</w:t>
      </w:r>
    </w:p>
    <w:p>
      <w:pPr>
        <w:pStyle w:val="TextBody"/>
        <w:bidi w:val="0"/>
        <w:spacing w:lineRule="auto" w:line="240" w:before="4" w:after="283"/>
        <w:jc w:val="left"/>
        <w:rPr/>
      </w:pPr>
      <w:r>
        <w:rPr>
          <w:rFonts w:ascii="Times New Roman;sans-serif" w:hAnsi="Times New Roman;sans-serif"/>
          <w:b w:val="false"/>
          <w:color w:val="000000"/>
          <w:sz w:val="23"/>
        </w:rPr>
        <w:t xml:space="preserve">(ii) the 10-day VWAP ending on the Business Day immediately preceding the Tranche B Term Loan Borrowing Date </w:t>
      </w:r>
      <w:r>
        <w:rPr>
          <w:rFonts w:ascii="Times New Roman;sans-serif" w:hAnsi="Times New Roman;sans-serif"/>
          <w:b w:val="false"/>
          <w:color w:val="000000"/>
          <w:sz w:val="24"/>
        </w:rPr>
        <w:t>(the “</w:t>
      </w:r>
      <w:r>
        <w:rPr>
          <w:rFonts w:ascii="Times New Roman;sans-serif" w:hAnsi="Times New Roman;sans-serif"/>
          <w:b/>
          <w:color w:val="000000"/>
          <w:sz w:val="24"/>
        </w:rPr>
        <w:t>Tranche B Exercise Price</w:t>
      </w:r>
      <w:r>
        <w:rPr>
          <w:color w:val="000000"/>
        </w:rPr>
        <w:t>”</w:t>
      </w:r>
      <w:r>
        <w:rPr>
          <w:rFonts w:ascii="Times New Roman;sans-serif" w:hAnsi="Times New Roman;sans-serif"/>
          <w:b w:val="false"/>
          <w:color w:val="000000"/>
          <w:sz w:val="24"/>
        </w:rPr>
        <w:t>).</w:t>
      </w:r>
    </w:p>
    <w:p>
      <w:pPr>
        <w:pStyle w:val="TextBody"/>
        <w:bidi w:val="0"/>
        <w:spacing w:before="7" w:after="283"/>
        <w:jc w:val="left"/>
        <w:rPr/>
      </w:pPr>
      <w:r>
        <w:rPr/>
      </w:r>
    </w:p>
    <w:p>
      <w:pPr>
        <w:pStyle w:val="TextBody"/>
        <w:bidi w:val="0"/>
        <w:spacing w:lineRule="auto" w:line="280" w:before="1" w:after="283"/>
        <w:ind w:left="0" w:right="0" w:firstLine="720"/>
        <w:jc w:val="left"/>
        <w:rPr/>
      </w:pPr>
      <w:r>
        <w:rPr>
          <w:rFonts w:ascii="Times New Roman;sans-serif" w:hAnsi="Times New Roman;sans-serif"/>
          <w:b w:val="false"/>
          <w:color w:val="000000"/>
          <w:sz w:val="24"/>
        </w:rPr>
        <w:t>The Initial Vesting Date and Tranche B Vesting Date are referred to collectively herein as the “</w:t>
      </w:r>
      <w:r>
        <w:rPr>
          <w:rFonts w:ascii="Times New Roman;sans-serif" w:hAnsi="Times New Roman;sans-serif"/>
          <w:b/>
          <w:color w:val="000000"/>
          <w:sz w:val="24"/>
        </w:rPr>
        <w:t>applicable Vesting Date</w:t>
      </w:r>
      <w:r>
        <w:rPr>
          <w:color w:val="000000"/>
        </w:rPr>
        <w:t xml:space="preserve">” </w:t>
      </w:r>
      <w:r>
        <w:rPr>
          <w:rFonts w:ascii="Times New Roman;sans-serif" w:hAnsi="Times New Roman;sans-serif"/>
          <w:b w:val="false"/>
          <w:color w:val="000000"/>
          <w:sz w:val="24"/>
        </w:rPr>
        <w:t>and the Initial Warrant Exercise Price and Tranche B Exercise Price are referred to collectively herein as the “</w:t>
      </w:r>
      <w:r>
        <w:rPr>
          <w:rFonts w:ascii="Times New Roman;sans-serif" w:hAnsi="Times New Roman;sans-serif"/>
          <w:b/>
          <w:color w:val="000000"/>
          <w:sz w:val="24"/>
        </w:rPr>
        <w:t>applicable Exercise Price</w:t>
      </w:r>
      <w:r>
        <w:rPr>
          <w:color w:val="000000"/>
        </w:rPr>
        <w:t>”</w:t>
      </w:r>
      <w:r>
        <w:rPr>
          <w:rFonts w:ascii="Times New Roman;sans-serif" w:hAnsi="Times New Roman;sans-serif"/>
          <w:b w:val="false"/>
          <w:color w:val="000000"/>
          <w:sz w:val="24"/>
        </w:rPr>
        <w:t>.</w:t>
      </w:r>
    </w:p>
    <w:p>
      <w:pPr>
        <w:pStyle w:val="TextBody"/>
        <w:bidi w:val="0"/>
        <w:spacing w:lineRule="auto" w:line="280" w:before="22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Holder shall be entitled to exercise this Warrant Certificate to purchase all or any portion of the Warrant Shares that have vested as of the applicable Exercise Date pursuant to the vesting schedule set forth above, and all references herein to the Warrant Shares shall refer to those vested Warrant Shares as of the relevant date of determination.</w:t>
      </w:r>
    </w:p>
    <w:p>
      <w:pPr>
        <w:pStyle w:val="TextBody"/>
        <w:bidi w:val="0"/>
        <w:spacing w:lineRule="auto" w:line="285" w:before="22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if the Tranche B Term Loan is not funded under the Credit Agreement, the Tranche B Warrant Shares shall not vest.</w:t>
      </w:r>
    </w:p>
    <w:p>
      <w:pPr>
        <w:pStyle w:val="TextBody"/>
        <w:bidi w:val="0"/>
        <w:spacing w:lineRule="auto" w:line="240" w:before="224"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 xml:space="preserve">Exercise Period. </w:t>
      </w:r>
      <w:r>
        <w:rPr>
          <w:rFonts w:ascii="Times New Roman;sans-serif" w:hAnsi="Times New Roman;sans-serif"/>
          <w:b w:val="false"/>
          <w:color w:val="000000"/>
          <w:sz w:val="24"/>
        </w:rPr>
        <w:t xml:space="preserve">Subject to the terms and conditions hereof, and subject to any automatic exercise pursuant to </w:t>
      </w:r>
      <w:hyperlink w:anchor="i49bad134ac3540a68bc9fca46e959d6c_13">
        <w:r>
          <w:rPr>
            <w:rStyle w:val="InternetLink"/>
            <w:rFonts w:ascii="Times New Roman;sans-serif" w:hAnsi="Times New Roman;sans-serif"/>
            <w:b/>
            <w:strike w:val="false"/>
            <w:dstrike w:val="false"/>
            <w:color w:val="000000"/>
            <w:sz w:val="24"/>
            <w:u w:val="none"/>
            <w:effect w:val="none"/>
          </w:rPr>
          <w:t>Section 3(l)</w:t>
        </w:r>
      </w:hyperlink>
      <w:r>
        <w:rPr>
          <w:rFonts w:ascii="Times New Roman;sans-serif" w:hAnsi="Times New Roman;sans-serif"/>
          <w:b/>
          <w:color w:val="000000"/>
          <w:sz w:val="24"/>
        </w:rPr>
        <w:t xml:space="preserve"> or </w:t>
      </w:r>
      <w:hyperlink w:anchor="i49bad134ac3540a68bc9fca46e959d6c_13">
        <w:r>
          <w:rPr>
            <w:rStyle w:val="InternetLink"/>
            <w:rFonts w:ascii="Times New Roman;sans-serif" w:hAnsi="Times New Roman;sans-serif"/>
            <w:b/>
            <w:strike w:val="false"/>
            <w:dstrike w:val="false"/>
            <w:color w:val="000000"/>
            <w:sz w:val="24"/>
            <w:u w:val="none"/>
            <w:effect w:val="none"/>
          </w:rPr>
          <w:t>Section 3(m)</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r>
        <w:rPr>
          <w:rFonts w:ascii="Times New Roman;sans-serif" w:hAnsi="Times New Roman;sans-serif"/>
          <w:b w:val="false"/>
          <w:color w:val="000000"/>
          <w:sz w:val="24"/>
        </w:rPr>
        <w:t xml:space="preserve"> at any time or from time to time on or after the applicable Vesting Date and prior to 5:00 p.m., Eastern time, on the tenth anniversary of such date or, if such day is not a Business Day, on the next preceding Business Day (the “</w:t>
      </w:r>
      <w:r>
        <w:rPr>
          <w:rFonts w:ascii="Times New Roman;sans-serif" w:hAnsi="Times New Roman;sans-serif"/>
          <w:b/>
          <w:i/>
          <w:color w:val="000000"/>
          <w:sz w:val="24"/>
        </w:rPr>
        <w:t>Exercise Period</w:t>
      </w:r>
      <w:r>
        <w:rPr>
          <w:color w:val="000000"/>
        </w:rPr>
        <w:t>”</w:t>
      </w:r>
      <w:r>
        <w:rPr>
          <w:rFonts w:ascii="Times New Roman;sans-serif" w:hAnsi="Times New Roman;sans-serif"/>
          <w:b w:val="false"/>
          <w:color w:val="000000"/>
          <w:sz w:val="24"/>
        </w:rPr>
        <w:t>), the Holder of this Warrant Certificate may exercise this Warrant Certificate for all or any part of the vested Warrant Shares purchasable hereunder (subject to adjustment as provided herein).</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color w:val="000000"/>
          <w:sz w:val="24"/>
        </w:rPr>
        <w:t>Section 3.    Exercise of Warrant Certificate</w:t>
      </w:r>
      <w:r>
        <w:rPr>
          <w:rFonts w:ascii="Times New Roman;sans-serif" w:hAnsi="Times New Roman;sans-serif"/>
          <w:b w:val="false"/>
          <w:color w:val="000000"/>
          <w:sz w:val="24"/>
        </w:rPr>
        <w:t>.</w:t>
      </w:r>
    </w:p>
    <w:p>
      <w:pPr>
        <w:pStyle w:val="TextBody"/>
        <w:bidi w:val="0"/>
        <w:spacing w:before="7" w:after="283"/>
        <w:jc w:val="left"/>
        <w:rPr/>
      </w:pPr>
      <w:r>
        <w:rPr/>
      </w:r>
    </w:p>
    <w:p>
      <w:pPr>
        <w:pStyle w:val="TextBody"/>
        <w:bidi w:val="0"/>
        <w:spacing w:lineRule="auto" w:line="280" w:before="0" w:after="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Exercise Procedure</w:t>
      </w:r>
      <w:r>
        <w:rPr>
          <w:rFonts w:ascii="Times New Roman;sans-serif" w:hAnsi="Times New Roman;sans-serif"/>
          <w:b w:val="false"/>
          <w:color w:val="000000"/>
          <w:sz w:val="24"/>
        </w:rPr>
        <w:t>. This Warrant Certificate may be exercised from time to time on any Business Day during the Exercise Period, for all or any part of the unexercised and vested Warrant Shares, upon:</w:t>
      </w:r>
    </w:p>
    <w:p>
      <w:pPr>
        <w:pStyle w:val="TextBody"/>
        <w:bidi w:val="0"/>
        <w:spacing w:lineRule="auto" w:line="280" w:before="230" w:after="283"/>
        <w:ind w:left="0" w:right="0" w:firstLine="1440"/>
        <w:jc w:val="left"/>
        <w:rPr/>
      </w:pPr>
      <w:r>
        <w:rPr>
          <w:rFonts w:ascii="Times New Roman;sans-serif" w:hAnsi="Times New Roman;sans-serif"/>
          <w:b w:val="false"/>
          <w:color w:val="000000"/>
          <w:sz w:val="24"/>
        </w:rPr>
        <w:t xml:space="preserve">(i)delivery to the Company at its then principal executive office of an Exercise Certificate in the form attached hereto as </w:t>
      </w:r>
      <w:r>
        <w:rPr>
          <w:rFonts w:ascii="Times New Roman;sans-serif" w:hAnsi="Times New Roman;sans-serif"/>
          <w:b/>
          <w:color w:val="000000"/>
          <w:sz w:val="24"/>
        </w:rPr>
        <w:t xml:space="preserve">Exhibit A </w:t>
      </w:r>
      <w:r>
        <w:rPr>
          <w:rFonts w:ascii="Times New Roman;sans-serif" w:hAnsi="Times New Roman;sans-serif"/>
          <w:b w:val="false"/>
          <w:color w:val="000000"/>
          <w:sz w:val="24"/>
        </w:rPr>
        <w:t>(each, an “</w:t>
      </w:r>
      <w:r>
        <w:rPr>
          <w:rFonts w:ascii="Times New Roman;sans-serif" w:hAnsi="Times New Roman;sans-serif"/>
          <w:b/>
          <w:i/>
          <w:color w:val="000000"/>
          <w:sz w:val="24"/>
        </w:rPr>
        <w:t>Exercise Certificate</w:t>
      </w:r>
      <w:r>
        <w:rPr>
          <w:color w:val="000000"/>
        </w:rPr>
        <w:t>”</w:t>
      </w:r>
      <w:r>
        <w:rPr>
          <w:rFonts w:ascii="Times New Roman;sans-serif" w:hAnsi="Times New Roman;sans-serif"/>
          <w:b w:val="false"/>
          <w:color w:val="000000"/>
          <w:sz w:val="24"/>
        </w:rPr>
        <w:t>), duly completed (including specifying the number of Warrant Shares to be purchased) and executed; and</w:t>
      </w:r>
    </w:p>
    <w:p>
      <w:pPr>
        <w:pStyle w:val="TextBody"/>
        <w:bidi w:val="0"/>
        <w:spacing w:before="1" w:after="283"/>
        <w:jc w:val="left"/>
        <w:rPr/>
      </w:pPr>
      <w:r>
        <w:rPr/>
      </w:r>
    </w:p>
    <w:p>
      <w:pPr>
        <w:pStyle w:val="TextBody"/>
        <w:bidi w:val="0"/>
        <w:spacing w:lineRule="auto" w:line="285" w:before="90" w:after="283"/>
        <w:ind w:left="0" w:right="0" w:firstLine="1440"/>
        <w:jc w:val="left"/>
        <w:rPr/>
      </w:pPr>
      <w:r>
        <w:rPr>
          <w:rFonts w:ascii="Times New Roman;sans-serif" w:hAnsi="Times New Roman;sans-serif"/>
          <w:b w:val="false"/>
          <w:color w:val="000000"/>
          <w:sz w:val="24"/>
        </w:rPr>
        <w:t xml:space="preserve">(ii)payment to the Company of the Aggregate Exercise Price in accordance with </w:t>
      </w:r>
      <w:r>
        <w:rPr>
          <w:rFonts w:ascii="Times New Roman;sans-serif" w:hAnsi="Times New Roman;sans-serif"/>
          <w:b/>
          <w:color w:val="000000"/>
          <w:sz w:val="24"/>
        </w:rPr>
        <w:t>Section 3</w:t>
      </w:r>
      <w:hyperlink w:anchor="i49bad134ac3540a68bc9fca46e959d6c_13">
        <w:r>
          <w:rPr>
            <w:rStyle w:val="InternetLink"/>
            <w:rFonts w:ascii="Times New Roman;sans-serif" w:hAnsi="Times New Roman;sans-serif"/>
            <w:b/>
            <w:strike w:val="false"/>
            <w:dstrike w:val="false"/>
            <w:color w:val="000000"/>
            <w:sz w:val="24"/>
            <w:u w:val="none"/>
            <w:effect w:val="none"/>
          </w:rPr>
          <w:t>(b)</w:t>
        </w:r>
      </w:hyperlink>
      <w:hyperlink w:anchor="i49bad134ac3540a68bc9fca46e959d6c_13">
        <w:r>
          <w:rPr>
            <w:rStyle w:val="InternetLink"/>
            <w:rFonts w:ascii="Times New Roman;sans-serif" w:hAnsi="Times New Roman;sans-serif"/>
            <w:b w:val="false"/>
            <w:strike w:val="false"/>
            <w:dstrike w:val="false"/>
            <w:color w:val="000000"/>
            <w:sz w:val="24"/>
            <w:u w:val="none"/>
            <w:effect w:val="none"/>
          </w:rPr>
          <w:t>.</w:t>
        </w:r>
      </w:hyperlink>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81050"/>
                <wp:effectExtent l="0" t="0" r="0" b="0"/>
                <wp:wrapNone/>
                <wp:docPr id="12" name="Frame1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Each exercise hereof shall constitute the re-affirmation by the Holder that the representations and warranties contained herein are true and correct in all material respects as of the time of such exercise.</w:t>
      </w:r>
    </w:p>
    <w:p>
      <w:pPr>
        <w:pStyle w:val="TextBody"/>
        <w:bidi w:val="0"/>
        <w:spacing w:lineRule="auto" w:line="280" w:before="230"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Payment of the Aggregate Exercise Price</w:t>
      </w:r>
      <w:r>
        <w:rPr>
          <w:rFonts w:ascii="Times New Roman;sans-serif" w:hAnsi="Times New Roman;sans-serif"/>
          <w:b w:val="false"/>
          <w:color w:val="000000"/>
          <w:sz w:val="24"/>
        </w:rPr>
        <w:t>. Payment of the Aggregate Exercise Price shall be made, at the option of the Holder as expressed in the Exercise Certificate, by any of the following methods:</w:t>
      </w:r>
    </w:p>
    <w:p>
      <w:pPr>
        <w:pStyle w:val="TextBody"/>
        <w:bidi w:val="0"/>
        <w:spacing w:before="4" w:after="283"/>
        <w:jc w:val="left"/>
        <w:rPr/>
      </w:pPr>
      <w:r>
        <w:rPr/>
      </w:r>
    </w:p>
    <w:p>
      <w:pPr>
        <w:pStyle w:val="TextBody"/>
        <w:bidi w:val="0"/>
        <w:spacing w:lineRule="auto" w:line="28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(i)by delivery to the Company of a certified or official bank check payable to the order of the Company or by wire transfer of immediately available funds to an account designated in writing by the Company, in the amount of such Aggregate Exercise Price;</w:t>
      </w:r>
    </w:p>
    <w:p>
      <w:pPr>
        <w:pStyle w:val="TextBody"/>
        <w:bidi w:val="0"/>
        <w:spacing w:lineRule="auto" w:line="280" w:before="229"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(ii)by instructing the Company to withhold a number of Warrant Shares then issuable upon exercise of this Warrant Certificate with an aggregate Fair Market Value as of the Exercise Date equal to such Aggregate Exercise Price;</w:t>
      </w:r>
    </w:p>
    <w:p>
      <w:pPr>
        <w:pStyle w:val="TextBody"/>
        <w:bidi w:val="0"/>
        <w:spacing w:before="4" w:after="283"/>
        <w:jc w:val="left"/>
        <w:rPr/>
      </w:pPr>
      <w:r>
        <w:rPr/>
      </w:r>
    </w:p>
    <w:p>
      <w:pPr>
        <w:pStyle w:val="TextBody"/>
        <w:bidi w:val="0"/>
        <w:spacing w:lineRule="auto" w:line="240" w:before="1"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(iii)by surrendering to the Company (x) Warrant Shares previously acquired by the Holder with an aggregate Fair Market Value as of the Exercise Date equal to such Aggregate Exercise Price or (y) any other securities or any debt of the Company (including shares of Common Stock) having a value as of the Exercise Date equal to the Aggregate Exercise Price (which value (A) in the case of debt, shall be the principal amount thereof plus accrued and unpaid interest, and (B) in the case of shares of Common Stock, shall be the Fair Market Value thereof); or</w:t>
      </w:r>
    </w:p>
    <w:p>
      <w:pPr>
        <w:pStyle w:val="TextBody"/>
        <w:bidi w:val="0"/>
        <w:spacing w:before="3" w:after="283"/>
        <w:jc w:val="left"/>
        <w:rPr/>
      </w:pPr>
      <w:r>
        <w:rPr/>
      </w:r>
    </w:p>
    <w:p>
      <w:pPr>
        <w:pStyle w:val="TextBody"/>
        <w:bidi w:val="0"/>
        <w:spacing w:lineRule="auto" w:line="240" w:before="90"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(iv)any combination of the foregoing.</w:t>
      </w:r>
    </w:p>
    <w:p>
      <w:pPr>
        <w:pStyle w:val="TextBody"/>
        <w:bidi w:val="0"/>
        <w:spacing w:before="7"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 xml:space="preserve">In the event of any withholding of Warrant Shares or surrender of other equity securities pursuant to </w:t>
      </w:r>
      <w:r>
        <w:rPr>
          <w:rFonts w:ascii="Times New Roman;sans-serif" w:hAnsi="Times New Roman;sans-serif"/>
          <w:b/>
          <w:color w:val="000000"/>
          <w:sz w:val="24"/>
        </w:rPr>
        <w:t>Section 3(b)(ii)</w:t>
      </w:r>
      <w:r>
        <w:rPr>
          <w:rFonts w:ascii="Times New Roman;sans-serif" w:hAnsi="Times New Roman;sans-serif"/>
          <w:b w:val="false"/>
          <w:color w:val="000000"/>
          <w:sz w:val="24"/>
        </w:rPr>
        <w:t xml:space="preserve">, </w:t>
      </w:r>
      <w:r>
        <w:rPr>
          <w:rFonts w:ascii="Times New Roman;sans-serif" w:hAnsi="Times New Roman;sans-serif"/>
          <w:b/>
          <w:color w:val="000000"/>
          <w:sz w:val="24"/>
        </w:rPr>
        <w:t xml:space="preserve">(iii) </w:t>
      </w:r>
      <w:r>
        <w:rPr>
          <w:rFonts w:ascii="Times New Roman;sans-serif" w:hAnsi="Times New Roman;sans-serif"/>
          <w:b w:val="false"/>
          <w:color w:val="000000"/>
          <w:sz w:val="24"/>
        </w:rPr>
        <w:t xml:space="preserve">or </w:t>
      </w:r>
      <w:r>
        <w:rPr>
          <w:rFonts w:ascii="Times New Roman;sans-serif" w:hAnsi="Times New Roman;sans-serif"/>
          <w:b/>
          <w:color w:val="000000"/>
          <w:sz w:val="24"/>
        </w:rPr>
        <w:t xml:space="preserve">(iv) </w:t>
      </w:r>
      <w:r>
        <w:rPr>
          <w:rFonts w:ascii="Times New Roman;sans-serif" w:hAnsi="Times New Roman;sans-serif"/>
          <w:b w:val="false"/>
          <w:color w:val="000000"/>
          <w:sz w:val="24"/>
        </w:rPr>
        <w:t>(solely to the extent of such withholding or surrender, a “</w:t>
      </w:r>
      <w:r>
        <w:rPr>
          <w:rFonts w:ascii="Times New Roman;sans-serif" w:hAnsi="Times New Roman;sans-serif"/>
          <w:b/>
          <w:i/>
          <w:color w:val="000000"/>
          <w:sz w:val="24"/>
        </w:rPr>
        <w:t>Cashless Exercise</w:t>
      </w:r>
      <w:r>
        <w:rPr>
          <w:color w:val="000000"/>
        </w:rPr>
        <w:t>”</w:t>
      </w:r>
      <w:r>
        <w:rPr>
          <w:rFonts w:ascii="Times New Roman;sans-serif" w:hAnsi="Times New Roman;sans-serif"/>
          <w:b w:val="false"/>
          <w:color w:val="000000"/>
          <w:sz w:val="24"/>
        </w:rPr>
        <w:t xml:space="preserve">) where the number of shares whose value is equal to the Aggregate Exercise Price is not a whole number, the number of shares withheld by or surrendered to the Company shall be rounded up to the nearest whole share and the Company shall make a cash payment to the Holder (by delivery of a certified or official bank check or by wire transfer of immediately available funds) based on the incremental fraction of a share being so withheld by or surrendered to the Company in an amount equal to the product of (x) such incremental fraction of a share being so withheld or surrendered multiplied by (y) the value thereof as of the Exercise Date determined in accordance with </w:t>
      </w:r>
      <w:r>
        <w:rPr>
          <w:rFonts w:ascii="Times New Roman;sans-serif" w:hAnsi="Times New Roman;sans-serif"/>
          <w:b/>
          <w:color w:val="000000"/>
          <w:sz w:val="24"/>
        </w:rPr>
        <w:t>Section 3(b)(iii)</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For purposes of SEC Rule 144, it is acknowledged and agreed that (i) the Warrant Shares issuable upon any exercise of this Warrant Certificate in any Cashless Exercise transaction shall be deemed to have been acquired on the applicable Vesting Date, and (ii) the holding period for any Warrant Shares issuable upon the exercise of this Warrant Certificate in any Cashless Exercise transaction shall be deemed to have commenced on the appliable Vesting Date.</w:t>
      </w:r>
    </w:p>
    <w:p>
      <w:pPr>
        <w:pStyle w:val="TextBody"/>
        <w:bidi w:val="0"/>
        <w:spacing w:before="0" w:after="0"/>
        <w:jc w:val="left"/>
        <w:rPr/>
      </w:pPr>
      <w:r>
        <w:rPr/>
      </w:r>
    </w:p>
    <w:p>
      <w:pPr>
        <w:pStyle w:val="TextBody"/>
        <w:bidi w:val="0"/>
        <w:spacing w:lineRule="auto" w:line="240" w:before="1" w:after="283"/>
        <w:ind w:left="0" w:right="0" w:hanging="719"/>
        <w:jc w:val="left"/>
        <w:rPr/>
      </w:pPr>
      <w:r>
        <w:rPr>
          <w:rFonts w:ascii="Times New Roman;sans-serif" w:hAnsi="Times New Roman;sans-serif"/>
          <w:b w:val="false"/>
          <w:color w:val="000000"/>
          <w:sz w:val="24"/>
        </w:rPr>
        <w:t>(c)</w:t>
      </w:r>
      <w:r>
        <w:rPr>
          <w:rFonts w:ascii="Times New Roman;sans-serif" w:hAnsi="Times New Roman;sans-serif"/>
          <w:b/>
          <w:color w:val="000000"/>
          <w:sz w:val="24"/>
        </w:rPr>
        <w:t>Delivery of Stock Certificates</w:t>
      </w:r>
      <w:r>
        <w:rPr>
          <w:rFonts w:ascii="Times New Roman;sans-serif" w:hAnsi="Times New Roman;sans-serif"/>
          <w:b w:val="false"/>
          <w:color w:val="000000"/>
          <w:sz w:val="24"/>
        </w:rPr>
        <w:t>.</w:t>
      </w:r>
    </w:p>
    <w:p>
      <w:pPr>
        <w:pStyle w:val="TextBody"/>
        <w:bidi w:val="0"/>
        <w:spacing w:before="7"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 xml:space="preserve">(i)With respect to any exercise of this Warrant Certificate by the Holder, upon receipt by the Company of an Exercise Certificate and delivery of the Aggregate Exercise Price (in accordance with </w:t>
      </w:r>
      <w:r>
        <w:rPr>
          <w:rFonts w:ascii="Times New Roman;sans-serif" w:hAnsi="Times New Roman;sans-serif"/>
          <w:b/>
          <w:color w:val="000000"/>
          <w:sz w:val="24"/>
        </w:rPr>
        <w:t>Section 3(b)</w:t>
      </w:r>
      <w:r>
        <w:rPr>
          <w:rFonts w:ascii="Times New Roman;sans-serif" w:hAnsi="Times New Roman;sans-serif"/>
          <w:b w:val="false"/>
          <w:color w:val="000000"/>
          <w:sz w:val="24"/>
        </w:rPr>
        <w:t>), the Company shall, on or before the applicable Delivery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81050"/>
                <wp:effectExtent l="0" t="0" r="0" b="0"/>
                <wp:wrapNone/>
                <wp:docPr id="13" name="Frame1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val="false"/>
          <w:color w:val="000000"/>
          <w:sz w:val="24"/>
        </w:rPr>
        <w:t xml:space="preserve">Deadline, issue and deliver (or cause its Transfer Agent to issue and deliver) in accordance with the terms hereof to or upon the order of the Holder that number Warrant Shares for the portion of this Warrant Certificate so exercised on such date, together with cash in lieu of any fraction of a share, as provided in </w:t>
      </w:r>
      <w:r>
        <w:rPr>
          <w:rFonts w:ascii="Times New Roman;sans-serif" w:hAnsi="Times New Roman;sans-serif"/>
          <w:b/>
          <w:color w:val="000000"/>
          <w:sz w:val="24"/>
        </w:rPr>
        <w:t>Section 3(d)</w:t>
      </w:r>
      <w:r>
        <w:rPr>
          <w:rFonts w:ascii="Times New Roman;sans-serif" w:hAnsi="Times New Roman;sans-serif"/>
          <w:b w:val="false"/>
          <w:color w:val="000000"/>
          <w:sz w:val="24"/>
        </w:rPr>
        <w:t xml:space="preserve">. The stock certificate or certificates so delivered shall be, to the extent possible, in such denomination or denominations as the exercising Holder shall reasonably request in the Exercise Certificate and shall be registered in the name of the Holder or, subject to compliance with </w:t>
      </w:r>
      <w:r>
        <w:rPr>
          <w:rFonts w:ascii="Times New Roman;sans-serif" w:hAnsi="Times New Roman;sans-serif"/>
          <w:b/>
          <w:color w:val="000000"/>
          <w:sz w:val="24"/>
        </w:rPr>
        <w:t>Section 8</w:t>
      </w:r>
      <w:r>
        <w:rPr>
          <w:rFonts w:ascii="Times New Roman;sans-serif" w:hAnsi="Times New Roman;sans-serif"/>
          <w:b w:val="false"/>
          <w:color w:val="000000"/>
          <w:sz w:val="24"/>
        </w:rPr>
        <w:t>, such other Person’s name as shall be designated in the Exercise Certificate. This Warrant Certificate shall be deemed to have been exercised and such certificate or certificates of Warrant Shares shall be deemed to have been issued, and the Holder or any other Person so designated to be named therein shall be deemed to have become a holder of record of such Warrant Shares for all purposes, as of the applicable Exercise Date.</w:t>
      </w:r>
    </w:p>
    <w:p>
      <w:pPr>
        <w:pStyle w:val="TextBody"/>
        <w:bidi w:val="0"/>
        <w:spacing w:before="8"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(ii)If, at the time of exercise, the Company has a Transfer Agent, then upon the exercise this Warrant Certificate in whole or in part, the Company shall, at its own cost and expense, take all necessary action, including obtaining and delivering an opinion of counsel, to assure that the Company’s transfer agent (the “</w:t>
      </w:r>
      <w:r>
        <w:rPr>
          <w:rFonts w:ascii="Times New Roman;sans-serif" w:hAnsi="Times New Roman;sans-serif"/>
          <w:b/>
          <w:i/>
          <w:color w:val="000000"/>
          <w:sz w:val="24"/>
        </w:rPr>
        <w:t>Transfer Agent</w:t>
      </w:r>
      <w:r>
        <w:rPr>
          <w:color w:val="000000"/>
        </w:rPr>
        <w:t>”</w:t>
      </w:r>
      <w:r>
        <w:rPr>
          <w:rFonts w:ascii="Times New Roman;sans-serif" w:hAnsi="Times New Roman;sans-serif"/>
          <w:b w:val="false"/>
          <w:color w:val="000000"/>
          <w:sz w:val="24"/>
        </w:rPr>
        <w:t xml:space="preserve">) shall issue Warrant Shares in the name of the Holder (or its nominee) or such other Persons as designated by the Holder (in compliance with </w:t>
      </w:r>
      <w:r>
        <w:rPr>
          <w:rFonts w:ascii="Times New Roman;sans-serif" w:hAnsi="Times New Roman;sans-serif"/>
          <w:b/>
          <w:color w:val="000000"/>
          <w:sz w:val="24"/>
        </w:rPr>
        <w:t>Section 8</w:t>
      </w:r>
      <w:r>
        <w:rPr>
          <w:rFonts w:ascii="Times New Roman;sans-serif" w:hAnsi="Times New Roman;sans-serif"/>
          <w:b w:val="false"/>
          <w:color w:val="000000"/>
          <w:sz w:val="24"/>
        </w:rPr>
        <w:t>) and in such denominations to be specified in the applicable Exercise Certificate. The Company represents and warrants that no instructions other than the foregoing instructions will be given to the Transfer Agent and that, unless waived by the Holder, this Warrant Certificate and the Warrant Shares will be free-trading, and freely transferable, and will not contain a legend restricting the resale or transferability of the Warrant Shares if the Unrestricted Conditions are met.</w:t>
      </w:r>
    </w:p>
    <w:p>
      <w:pPr>
        <w:pStyle w:val="TextBody"/>
        <w:bidi w:val="0"/>
        <w:spacing w:before="1" w:after="283"/>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(iii)In addition to any other remedies which may be available to the Holder, in the event of any Delivery Failure relating to the issuance of Warrant Shares upon exercise of this Warrant Certificate, the Holder will be entitled to revoke all or part of the relevant Exercise Certificate by delivery of a notice to such effect to the Company whereupon the Company and the Holder shall each be restored to their respective positions immediately prior to the delivery of such Exercise Certificate.</w:t>
      </w:r>
    </w:p>
    <w:p>
      <w:pPr>
        <w:pStyle w:val="TextBody"/>
        <w:bidi w:val="0"/>
        <w:spacing w:before="10" w:after="283"/>
        <w:jc w:val="left"/>
        <w:rPr/>
      </w:pPr>
      <w:r>
        <w:rPr/>
      </w:r>
    </w:p>
    <w:p>
      <w:pPr>
        <w:pStyle w:val="TextBody"/>
        <w:bidi w:val="0"/>
        <w:spacing w:lineRule="auto" w:line="240" w:before="1" w:after="283"/>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Fractional Shares</w:t>
      </w:r>
      <w:r>
        <w:rPr>
          <w:rFonts w:ascii="Times New Roman;sans-serif" w:hAnsi="Times New Roman;sans-serif"/>
          <w:b w:val="false"/>
          <w:color w:val="000000"/>
          <w:sz w:val="24"/>
        </w:rPr>
        <w:t>. The Company shall not be required to issue a fractional Warrant Share upon exercise of any Warrant Certificate. As to any fraction of a Warrant Share that the Holder would otherwise be entitled to purchase upon such exercise, the Company shall (unless waived by the Holder) pay to such Holder an amount in cash (by delivery of a certified or official bank check or by wire transfer of immediately available funds) equal to the product of</w:t>
      </w:r>
    </w:p>
    <w:p>
      <w:pPr>
        <w:pStyle w:val="TextBody"/>
        <w:bidi w:val="0"/>
        <w:spacing w:lineRule="auto" w:line="285"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 such fraction multiplied by (ii) the Fair Market Value of one Warrant Share on the Exercise Date.</w:t>
      </w:r>
    </w:p>
    <w:p>
      <w:pPr>
        <w:pStyle w:val="TextBody"/>
        <w:bidi w:val="0"/>
        <w:spacing w:before="9" w:after="283"/>
        <w:jc w:val="left"/>
        <w:rPr/>
      </w:pPr>
      <w:r>
        <w:rPr/>
      </w:r>
    </w:p>
    <w:p>
      <w:pPr>
        <w:pStyle w:val="TextBody"/>
        <w:bidi w:val="0"/>
        <w:spacing w:lineRule="auto" w:line="240" w:before="90" w:after="283"/>
        <w:ind w:left="0" w:right="0" w:hanging="719"/>
        <w:jc w:val="left"/>
        <w:rPr/>
      </w:pPr>
      <w:r>
        <w:rPr>
          <w:rFonts w:ascii="Times New Roman;sans-serif" w:hAnsi="Times New Roman;sans-serif"/>
          <w:b w:val="false"/>
          <w:color w:val="000000"/>
          <w:sz w:val="24"/>
        </w:rPr>
        <w:t>(e)</w:t>
      </w:r>
      <w:r>
        <w:rPr>
          <w:rFonts w:ascii="Times New Roman;sans-serif" w:hAnsi="Times New Roman;sans-serif"/>
          <w:b/>
          <w:color w:val="000000"/>
          <w:sz w:val="24"/>
        </w:rPr>
        <w:t>Surrender of this Warrant Certificate; Delivery of New Warrant Certificate</w:t>
      </w:r>
      <w:r>
        <w:rPr>
          <w:rFonts w:ascii="Times New Roman;sans-serif" w:hAnsi="Times New Roman;sans-serif"/>
          <w:b w:val="false"/>
          <w:color w:val="000000"/>
          <w:sz w:val="24"/>
        </w:rPr>
        <w:t>.</w:t>
      </w:r>
    </w:p>
    <w:p>
      <w:pPr>
        <w:pStyle w:val="TextBody"/>
        <w:bidi w:val="0"/>
        <w:spacing w:before="8" w:after="283"/>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(i)The Holder shall not be required to physically surrender this Warrant Certificate to the Company until the Holder has purchased all of the Warrant Shares available hereunder and this Warrant Certificate has been exercised in full, in which case, the Holder shall, at the written request of the Company, surrender this Warrant Certificate to the Company for cancellation within three (3) Business Days after the date the final Exercise Certificate is delivered to the Company. Partial exercises of this Warrant Certificate resulting in purchases of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81050"/>
                <wp:effectExtent l="0" t="0" r="0" b="0"/>
                <wp:wrapNone/>
                <wp:docPr id="14" name="Frame1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val="false"/>
          <w:color w:val="000000"/>
          <w:sz w:val="24"/>
        </w:rPr>
        <w:t xml:space="preserve">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Holder and any assignee, by acceptance of this Warrant Certificate, acknowledge and agree that, by reason of the provisions of this </w:t>
      </w:r>
      <w:r>
        <w:rPr>
          <w:rFonts w:ascii="Times New Roman;sans-serif" w:hAnsi="Times New Roman;sans-serif"/>
          <w:b/>
          <w:color w:val="000000"/>
          <w:sz w:val="24"/>
        </w:rPr>
        <w:t>Section 3(e)</w:t>
      </w:r>
      <w:r>
        <w:rPr>
          <w:rFonts w:ascii="Times New Roman;sans-serif" w:hAnsi="Times New Roman;sans-serif"/>
          <w:b w:val="false"/>
          <w:color w:val="000000"/>
          <w:sz w:val="24"/>
        </w:rPr>
        <w:t>, following the purchase of a portion of the Warrant Shares hereunder, the number of Warrant Shares available for purchase hereunder at any given time may be less than the amount stated on the face hereof.</w:t>
      </w:r>
    </w:p>
    <w:p>
      <w:pPr>
        <w:pStyle w:val="TextBody"/>
        <w:bidi w:val="0"/>
        <w:spacing w:before="10" w:after="283"/>
        <w:jc w:val="left"/>
        <w:rPr/>
      </w:pPr>
      <w:r>
        <w:rPr/>
      </w:r>
    </w:p>
    <w:p>
      <w:pPr>
        <w:pStyle w:val="TextBody"/>
        <w:bidi w:val="0"/>
        <w:spacing w:lineRule="auto" w:line="240" w:before="1" w:after="283"/>
        <w:ind w:left="0" w:right="0" w:firstLine="1440"/>
        <w:jc w:val="left"/>
        <w:rPr/>
      </w:pPr>
      <w:r>
        <w:rPr>
          <w:rFonts w:ascii="Times New Roman;sans-serif" w:hAnsi="Times New Roman;sans-serif"/>
          <w:b w:val="false"/>
          <w:color w:val="000000"/>
          <w:sz w:val="24"/>
        </w:rPr>
        <w:t xml:space="preserve">(ii)Notwithstanding the foregoing, the Holder may request that the Company (and the Company shall), at the time of delivery of the certificate or certificates representing the Warrant Shares being issued in accordance with </w:t>
      </w:r>
      <w:r>
        <w:rPr>
          <w:rFonts w:ascii="Times New Roman;sans-serif" w:hAnsi="Times New Roman;sans-serif"/>
          <w:b/>
          <w:color w:val="000000"/>
          <w:sz w:val="24"/>
        </w:rPr>
        <w:t>Section 3(c)</w:t>
      </w:r>
      <w:r>
        <w:rPr>
          <w:rFonts w:ascii="Times New Roman;sans-serif" w:hAnsi="Times New Roman;sans-serif"/>
          <w:b w:val="false"/>
          <w:color w:val="000000"/>
          <w:sz w:val="24"/>
        </w:rPr>
        <w:t>, deliver to the Holder a new Warrant Certificate evidencing the rights of the Holder to purchase the unexpired and unexercised Warrant Shares called for by this Warrant Certificate. Unless otherwise agreed upon by the Holder in its sole discretion, such new Warrant Certificate shall in all other respects be identical to this Warrant Certificate.</w:t>
      </w:r>
    </w:p>
    <w:p>
      <w:pPr>
        <w:pStyle w:val="TextBody"/>
        <w:bidi w:val="0"/>
        <w:spacing w:before="7" w:after="283"/>
        <w:jc w:val="left"/>
        <w:rPr/>
      </w:pPr>
      <w:r>
        <w:rPr/>
      </w:r>
    </w:p>
    <w:p>
      <w:pPr>
        <w:pStyle w:val="TextBody"/>
        <w:bidi w:val="0"/>
        <w:spacing w:lineRule="auto" w:line="285" w:before="0" w:after="0"/>
        <w:ind w:left="0" w:right="0" w:firstLine="720"/>
        <w:jc w:val="left"/>
        <w:rPr/>
      </w:pPr>
      <w:r>
        <w:rPr>
          <w:rFonts w:ascii="Times New Roman;sans-serif" w:hAnsi="Times New Roman;sans-serif"/>
          <w:b w:val="false"/>
          <w:color w:val="000000"/>
          <w:sz w:val="24"/>
        </w:rPr>
        <w:t>(f)</w:t>
      </w:r>
      <w:r>
        <w:rPr>
          <w:rFonts w:ascii="Times New Roman;sans-serif" w:hAnsi="Times New Roman;sans-serif"/>
          <w:b/>
          <w:color w:val="000000"/>
          <w:sz w:val="24"/>
        </w:rPr>
        <w:t>Valid Issuance of Warrant Certificate and Warrant Shares; Payment of Taxes</w:t>
      </w:r>
      <w:r>
        <w:rPr>
          <w:rFonts w:ascii="Times New Roman;sans-serif" w:hAnsi="Times New Roman;sans-serif"/>
          <w:b w:val="false"/>
          <w:color w:val="000000"/>
          <w:sz w:val="24"/>
        </w:rPr>
        <w:t>. The Company hereby represents, covenants and agrees:</w:t>
      </w:r>
    </w:p>
    <w:p>
      <w:pPr>
        <w:pStyle w:val="TextBody"/>
        <w:bidi w:val="0"/>
        <w:spacing w:lineRule="auto" w:line="280" w:before="224" w:after="283"/>
        <w:ind w:left="0" w:right="0" w:firstLine="1440"/>
        <w:jc w:val="both"/>
        <w:rPr>
          <w:rFonts w:ascii="Times New Roman;sans-serif" w:hAnsi="Times New Roman;sans-serif"/>
          <w:b w:val="false"/>
          <w:color w:val="000000"/>
          <w:sz w:val="24"/>
        </w:rPr>
      </w:pPr>
      <w:r>
        <w:rPr>
          <w:rFonts w:ascii="Times New Roman;sans-serif" w:hAnsi="Times New Roman;sans-serif"/>
          <w:b w:val="false"/>
          <w:color w:val="000000"/>
          <w:sz w:val="24"/>
        </w:rPr>
        <w:t>(i)This Warrant Certificate is, and any Warrant Certificate issued in substitution for or replacement of this Warrant Certificate shall be, upon issuance, duly authorized and validly issued.</w:t>
      </w:r>
    </w:p>
    <w:p>
      <w:pPr>
        <w:pStyle w:val="TextBody"/>
        <w:bidi w:val="0"/>
        <w:spacing w:before="4" w:after="283"/>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(ii)All Warrant Shares issuable upon the exercise of this Warrant Certificate (or any substitute or replacement Warrant Certificate) pursuant to the terms hereof shall be, upon issuance, and the Company shall take all such actions as may be necessary or appropriate in order that such Warrant Shares are, validly issued, fully paid and non-assessable, issued without violation of any preemptive or similar rights of any stockholder of the Company and free and clear of all taxes, liens, charges and other encumbrances, other than restrictions imposed by applicable securities laws.</w:t>
      </w:r>
    </w:p>
    <w:p>
      <w:pPr>
        <w:pStyle w:val="TextBody"/>
        <w:bidi w:val="0"/>
        <w:spacing w:before="8" w:after="283"/>
        <w:jc w:val="left"/>
        <w:rPr/>
      </w:pPr>
      <w:r>
        <w:rPr/>
      </w:r>
    </w:p>
    <w:p>
      <w:pPr>
        <w:pStyle w:val="TextBody"/>
        <w:bidi w:val="0"/>
        <w:spacing w:lineRule="auto" w:line="28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(iii)The Company shall take all such actions as may be necessary to ensure that all such Warrant Shares are issued without violation by the Company of any applicable law or governmental regulation or any requirements of any Trading Market upon which shares of Common Stock or other securities constituting Warrant Shares may be listed at the time of such exercise (except for official notice of issuance which shall be immediately delivered by the Company upon each such issuance).</w:t>
      </w:r>
    </w:p>
    <w:p>
      <w:pPr>
        <w:pStyle w:val="TextBody"/>
        <w:bidi w:val="0"/>
        <w:spacing w:lineRule="auto" w:line="280" w:before="223" w:after="283"/>
        <w:ind w:left="0" w:right="0" w:firstLine="1440"/>
        <w:jc w:val="left"/>
        <w:rPr/>
      </w:pPr>
      <w:r>
        <w:rPr>
          <w:rFonts w:ascii="Times New Roman;sans-serif" w:hAnsi="Times New Roman;sans-serif"/>
          <w:b w:val="false"/>
          <w:color w:val="000000"/>
          <w:sz w:val="24"/>
        </w:rPr>
        <w:t xml:space="preserve">(iv)The Company shall pay all expenses in connection with, and all taxes and other governmental charges that may be imposed with respect to, the issuance or delivery of Warrant Shares upon exercise of this Warrant Certificate;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color w:val="000000"/>
        </w:rPr>
        <w:t xml:space="preserve"> </w:t>
      </w:r>
      <w:r>
        <w:rPr>
          <w:rFonts w:ascii="Times New Roman;sans-serif" w:hAnsi="Times New Roman;sans-serif"/>
          <w:b w:val="false"/>
          <w:color w:val="000000"/>
          <w:sz w:val="24"/>
        </w:rPr>
        <w:t>that in the event Warrant Shares are to be issued in a name other than the name of the Holder, the Company may require, as a condition thereto, the payment of a sum sufficient to reimburse it for any transfer tax incidental thereto.</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81050"/>
                <wp:effectExtent l="0" t="0" r="0" b="0"/>
                <wp:wrapNone/>
                <wp:docPr id="15" name="Frame1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ind w:left="0" w:right="0" w:firstLine="720"/>
        <w:jc w:val="left"/>
        <w:rPr/>
      </w:pPr>
      <w:r>
        <w:rPr>
          <w:rFonts w:ascii="Times New Roman;sans-serif" w:hAnsi="Times New Roman;sans-serif"/>
          <w:b w:val="false"/>
          <w:color w:val="000000"/>
          <w:sz w:val="24"/>
        </w:rPr>
        <w:t>(g)</w:t>
      </w:r>
      <w:r>
        <w:rPr>
          <w:rFonts w:ascii="Times New Roman;sans-serif" w:hAnsi="Times New Roman;sans-serif"/>
          <w:b/>
          <w:color w:val="000000"/>
          <w:sz w:val="24"/>
        </w:rPr>
        <w:t>Conditional Exercise</w:t>
      </w:r>
      <w:r>
        <w:rPr>
          <w:rFonts w:ascii="Times New Roman;sans-serif" w:hAnsi="Times New Roman;sans-serif"/>
          <w:b w:val="false"/>
          <w:color w:val="000000"/>
          <w:sz w:val="24"/>
        </w:rPr>
        <w:t>. Notwithstanding any other provision hereof, if an exercise of any portion of this Warrant Certificate is to be made in connection with a public offering, a Fundamental Change or any sale of the Company (pursuant to a merger, sale of stock, or otherwise), such exercise may, at the election of the Holder, be conditioned upon the consummation of such transaction, in which case such exercise shall not be deemed to be effective until immediately prior to the consummation of such transaction.</w:t>
      </w:r>
    </w:p>
    <w:p>
      <w:pPr>
        <w:pStyle w:val="TextBody"/>
        <w:bidi w:val="0"/>
        <w:spacing w:before="10" w:after="283"/>
        <w:jc w:val="left"/>
        <w:rPr/>
      </w:pPr>
      <w:r>
        <w:rPr/>
      </w:r>
    </w:p>
    <w:p>
      <w:pPr>
        <w:pStyle w:val="TextBody"/>
        <w:bidi w:val="0"/>
        <w:spacing w:lineRule="auto" w:line="240" w:before="1" w:after="283"/>
        <w:ind w:left="0" w:right="0" w:firstLine="720"/>
        <w:jc w:val="left"/>
        <w:rPr/>
      </w:pPr>
      <w:r>
        <w:rPr>
          <w:rFonts w:ascii="Times New Roman;sans-serif" w:hAnsi="Times New Roman;sans-serif"/>
          <w:b w:val="false"/>
          <w:color w:val="000000"/>
          <w:sz w:val="24"/>
        </w:rPr>
        <w:t>(h)</w:t>
      </w:r>
      <w:r>
        <w:rPr>
          <w:rFonts w:ascii="Times New Roman;sans-serif" w:hAnsi="Times New Roman;sans-serif"/>
          <w:b/>
          <w:color w:val="000000"/>
          <w:sz w:val="24"/>
        </w:rPr>
        <w:t>Reservation of Shares</w:t>
      </w:r>
      <w:r>
        <w:rPr>
          <w:rFonts w:ascii="Times New Roman;sans-serif" w:hAnsi="Times New Roman;sans-serif"/>
          <w:b w:val="false"/>
          <w:color w:val="000000"/>
          <w:sz w:val="24"/>
        </w:rPr>
        <w:t>. During the Exercise Period, the Company shall at all times reserve and keep available out of its authorized but unissued shares of Common Stock or other securities constituting Warrant Shares, solely for the purpose of issuance upon the exercise of this Warrant Certificate, the maximum number of Warrant Shares issuable upon the exercise of this Warrant Certificate, and the par value per Warrant Share shall at all times be less than or equal to the lowest applicable Exercise Price. The Company shall not increase the par value of any Warrant Shares receivable upon the exercise of this Warrant Certificate above the lowest applicable Exercise Price, and shall take all such actions as may be necessary or appropriate in order that the Company may validly and legally issue fully paid and nonassessable shares of Common Stock upon the exercise of this Warrant Certificate.</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(i)</w:t>
      </w:r>
      <w:r>
        <w:rPr>
          <w:rFonts w:ascii="Times New Roman;sans-serif" w:hAnsi="Times New Roman;sans-serif"/>
          <w:b/>
          <w:color w:val="000000"/>
          <w:sz w:val="24"/>
        </w:rPr>
        <w:t>Delivery of Electronic Shares</w:t>
      </w:r>
      <w:r>
        <w:rPr>
          <w:rFonts w:ascii="Times New Roman;sans-serif" w:hAnsi="Times New Roman;sans-serif"/>
          <w:b w:val="false"/>
          <w:color w:val="000000"/>
          <w:sz w:val="24"/>
        </w:rPr>
        <w:t>. If the Company has a Transfer Agent and the Transfer Agent is participating in the DTC Fast Automated Securities Transfer (“</w:t>
      </w:r>
      <w:r>
        <w:rPr>
          <w:rFonts w:ascii="Times New Roman;sans-serif" w:hAnsi="Times New Roman;sans-serif"/>
          <w:b/>
          <w:i/>
          <w:color w:val="000000"/>
          <w:sz w:val="24"/>
        </w:rPr>
        <w:t>FAST</w:t>
      </w:r>
      <w:r>
        <w:rPr>
          <w:color w:val="000000"/>
        </w:rPr>
        <w:t>”</w:t>
      </w:r>
      <w:r>
        <w:rPr>
          <w:rFonts w:ascii="Times New Roman;sans-serif" w:hAnsi="Times New Roman;sans-serif"/>
          <w:b w:val="false"/>
          <w:color w:val="000000"/>
          <w:sz w:val="24"/>
        </w:rPr>
        <w:t>) program, upon written request of the Holder and in lieu of delivering physical certificates representing any shares of Common Stock (including any Warrant Shares) to be delivered under or in connection with this Warrant Certificate, the Company shall use its commercially reasonable best efforts to cause the Transfer Agent to electronically transmit the such Common Stock to the Holder by crediting the account of the Holder’s prime broker with the DTC through its Deposit Withdrawal Agent Commission (“</w:t>
      </w:r>
      <w:r>
        <w:rPr>
          <w:rFonts w:ascii="Times New Roman;sans-serif" w:hAnsi="Times New Roman;sans-serif"/>
          <w:b/>
          <w:i/>
          <w:color w:val="000000"/>
          <w:sz w:val="24"/>
        </w:rPr>
        <w:t>DWAC</w:t>
      </w:r>
      <w:r>
        <w:rPr>
          <w:color w:val="000000"/>
        </w:rPr>
        <w:t>”</w:t>
      </w:r>
      <w:r>
        <w:rPr>
          <w:rFonts w:ascii="Times New Roman;sans-serif" w:hAnsi="Times New Roman;sans-serif"/>
          <w:b w:val="false"/>
          <w:color w:val="000000"/>
          <w:sz w:val="24"/>
        </w:rPr>
        <w:t>) system. The time periods for delivery and penalties described herein shall apply to the electronic transmittals described herein. Any delivery not effected by electronic transmission shall be effected by delivery of physical certificates.</w:t>
      </w:r>
    </w:p>
    <w:p>
      <w:pPr>
        <w:pStyle w:val="TextBody"/>
        <w:bidi w:val="0"/>
        <w:spacing w:before="8"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(j)</w:t>
      </w:r>
      <w:r>
        <w:rPr>
          <w:rFonts w:ascii="Times New Roman;sans-serif" w:hAnsi="Times New Roman;sans-serif"/>
          <w:b/>
          <w:color w:val="000000"/>
          <w:sz w:val="24"/>
        </w:rPr>
        <w:t>Make Whole</w:t>
      </w:r>
      <w:r>
        <w:rPr>
          <w:rFonts w:ascii="Times New Roman;sans-serif" w:hAnsi="Times New Roman;sans-serif"/>
          <w:b w:val="false"/>
          <w:color w:val="000000"/>
          <w:sz w:val="24"/>
        </w:rPr>
        <w:t>. In addition to any other rights available to the Holder, if as a result of a Delivery Failure in respect of Warrant Shares the Holder is required by its broker to purchase (in an open market transaction or otherwise) or the Holder’s brokerage firm otherwise purchases shares of Common Stock to deliver in satisfaction of a sale anticipated to be made by the Holder of all or portion of such Warrant Shares which are the subject of such Delivery Failure (an “</w:t>
      </w:r>
      <w:r>
        <w:rPr>
          <w:rFonts w:ascii="Times New Roman;sans-serif" w:hAnsi="Times New Roman;sans-serif"/>
          <w:b/>
          <w:color w:val="000000"/>
          <w:sz w:val="24"/>
        </w:rPr>
        <w:t>Anticipated Sale</w:t>
      </w:r>
      <w:r>
        <w:rPr>
          <w:color w:val="000000"/>
        </w:rPr>
        <w:t>”</w:t>
      </w:r>
      <w:r>
        <w:rPr>
          <w:rFonts w:ascii="Times New Roman;sans-serif" w:hAnsi="Times New Roman;sans-serif"/>
          <w:b w:val="false"/>
          <w:color w:val="000000"/>
          <w:sz w:val="24"/>
        </w:rPr>
        <w:t>), then the Company shall (i) pay in cash to the Holder the amount by which (x) the Holder’s total purchase price (including brokerage commissions, if any) for the shares of Common Stock so purchased exceeds (y) an amount equal to the product of</w:t>
      </w:r>
    </w:p>
    <w:p>
      <w:pPr>
        <w:pStyle w:val="TextBody"/>
        <w:bidi w:val="0"/>
        <w:spacing w:lineRule="auto" w:line="28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 the number of Warrant Shares that the Holder anticipated to sell in such Anticipated Sale, multiplied by (B) the Exercise Price that would have been payable for such Warrant Shares, and</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 at the option of the Holder, either reinstate the portion of this Warrant Certificate and equivalent number of Warrant Shares in respect of which such Delivery Failure occurred or deliver to the Holder the number of Warrant Shares that would have been issued had the Company timely complied with its obligations hereunder to issue such Warrant Shares upon such exercise. The Holder shall provide the Company written notice indicating the amounts payable to the Holder, together with applicable confirmations and other evidence reasonably requested by the Company. Nothing herein shall limit the Holder’s right to pursue any other remedies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81050"/>
                <wp:effectExtent l="0" t="0" r="0" b="0"/>
                <wp:wrapNone/>
                <wp:docPr id="16" name="Frame1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available to it hereunder at law or in equity including, without limitation, a decree of specific performance and/or injunctive relief with respect to any Delivery Failure.</w:t>
      </w:r>
    </w:p>
    <w:p>
      <w:pPr>
        <w:pStyle w:val="TextBody"/>
        <w:bidi w:val="0"/>
        <w:spacing w:before="5"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(k)</w:t>
      </w:r>
      <w:r>
        <w:rPr>
          <w:rFonts w:ascii="Times New Roman;sans-serif" w:hAnsi="Times New Roman;sans-serif"/>
          <w:b/>
          <w:color w:val="000000"/>
          <w:sz w:val="24"/>
        </w:rPr>
        <w:t>Dispute Resolution</w:t>
      </w:r>
      <w:r>
        <w:rPr>
          <w:rFonts w:ascii="Times New Roman;sans-serif" w:hAnsi="Times New Roman;sans-serif"/>
          <w:b w:val="false"/>
          <w:color w:val="000000"/>
          <w:sz w:val="24"/>
        </w:rPr>
        <w:t>. In the case of any dispute as to the determination of Fair Market Value, any closing sales price or VWAP of the Common Stock, the arithmetic calculation of the Exercise Price or any other computation required to be made hereunder, in the event the Holder and the Company are unable to settle such dispute within five (5) Business Days, then either party may elect to submit the disputed matter(s) for resolution by a mutually agreeable independent accountant, appraiser or investment bank with relevant experience acceptable to the other party. Such independent party’s determination of such disputed matter(s) shall be binding upon all parties absent demonstrable error, and the Company and the Holder shall each pay one half of the fees and costs of such independent party.</w:t>
      </w:r>
    </w:p>
    <w:p>
      <w:pPr>
        <w:pStyle w:val="TextBody"/>
        <w:bidi w:val="0"/>
        <w:spacing w:before="8"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(l)</w:t>
      </w:r>
      <w:r>
        <w:rPr>
          <w:rFonts w:ascii="Times New Roman;sans-serif" w:hAnsi="Times New Roman;sans-serif"/>
          <w:b/>
          <w:color w:val="000000"/>
          <w:sz w:val="24"/>
        </w:rPr>
        <w:t>Automatic Exercise</w:t>
      </w:r>
      <w:r>
        <w:rPr>
          <w:rFonts w:ascii="Times New Roman;sans-serif" w:hAnsi="Times New Roman;sans-serif"/>
          <w:b w:val="false"/>
          <w:color w:val="000000"/>
          <w:sz w:val="24"/>
        </w:rPr>
        <w:t xml:space="preserve">. If (i) immediately prior to the expiration of the Exercise Period or (ii) a Liquidity Event occurs with respect to the Company at any time prior to the expiration of the Exercise Period and, in each case, there remain any Warrant Shares subject to this Warrant Certificate and, at such time, the Fair Market Value of one Warrant Share is greater than the then applicable Exercise Price, then this Warrant Certificate shall be deemed to be automatically exercised in full for the full number of remaining Warrant Shares, without the requirement for the delivery of an Exercise Certificate, and, in the case of an exercise in connection with a Liquidity Event, the Holder shall receive its pro rata share of the proceeds from such Liquidity Event as if the Warrant Shares were outstanding immediately prior to the Liquidity Event (subject to set-off against the Aggregate Exercise Price); </w:t>
      </w:r>
      <w:r>
        <w:rPr>
          <w:rFonts w:ascii="Times New Roman;sans-serif" w:hAnsi="Times New Roman;sans-serif"/>
          <w:b w:val="false"/>
          <w:i/>
          <w:color w:val="000000"/>
          <w:sz w:val="24"/>
        </w:rPr>
        <w:t xml:space="preserve">provided that </w:t>
      </w:r>
      <w:r>
        <w:rPr>
          <w:rFonts w:ascii="Times New Roman;sans-serif" w:hAnsi="Times New Roman;sans-serif"/>
          <w:b w:val="false"/>
          <w:color w:val="000000"/>
          <w:sz w:val="24"/>
        </w:rPr>
        <w:t>unless the giving of notice is not possible due to the circumstances of the Liquidity Event, the Company shall give the Holder notice of any anticipated Liquidity Event as soon as practicable but in any event not less than ten (10) Business Days prior to the anticipated consummation of the Liquidity Event and if the Holder does not wish to automatically have this Warrant Certificate exercised, the Holder may opt out of such automatic exercise by written notice to the Company in advance of the consummation of the Liquidity Event. For the avoidance of doubt, if the Holder opts out of having the Warrant Certificate exercised in connection with a Liquidity Event then, if the Liquidity Event involves a merger or consolidation of the Company with or into another entity and (x) the Company is the surviving entity, this Warrant Certificate shall continue to remain outstanding following the consummation of the Liquidity Event for the duration of the applicable Exercise Periods or (y) if the Company is not the surviving entity, this Warrant Certificate shall be reissued for equity securities in the entity that survives the Liquidity Event and shall remain outstanding for the duration of the applicable Exercise Periods.</w:t>
      </w:r>
    </w:p>
    <w:p>
      <w:pPr>
        <w:pStyle w:val="TextBody"/>
        <w:bidi w:val="0"/>
        <w:spacing w:before="6"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(m)</w:t>
      </w:r>
      <w:r>
        <w:rPr>
          <w:rFonts w:ascii="Times New Roman;sans-serif" w:hAnsi="Times New Roman;sans-serif"/>
          <w:b/>
          <w:color w:val="000000"/>
          <w:sz w:val="24"/>
        </w:rPr>
        <w:t>Treatment of Warrant Certificate Upon Acquisition of Company</w:t>
      </w:r>
      <w:r>
        <w:rPr>
          <w:rFonts w:ascii="Times New Roman;sans-serif" w:hAnsi="Times New Roman;sans-serif"/>
          <w:b w:val="false"/>
          <w:color w:val="000000"/>
          <w:sz w:val="24"/>
        </w:rPr>
        <w:t>.</w:t>
      </w:r>
    </w:p>
    <w:p>
      <w:pPr>
        <w:pStyle w:val="TextBody"/>
        <w:bidi w:val="0"/>
        <w:spacing w:lineRule="auto" w:line="240" w:before="233" w:after="283"/>
        <w:ind w:left="0" w:right="0" w:firstLine="1440"/>
        <w:jc w:val="left"/>
        <w:rPr/>
      </w:pPr>
      <w:r>
        <w:rPr>
          <w:rFonts w:ascii="Times New Roman;sans-serif" w:hAnsi="Times New Roman;sans-serif"/>
          <w:b w:val="false"/>
          <w:color w:val="000000"/>
          <w:sz w:val="24"/>
        </w:rPr>
        <w:t>(i)For the purpose of this Warrant Certificate, “</w:t>
      </w:r>
      <w:r>
        <w:rPr>
          <w:rFonts w:ascii="Times New Roman;sans-serif" w:hAnsi="Times New Roman;sans-serif"/>
          <w:b/>
          <w:color w:val="000000"/>
          <w:sz w:val="24"/>
        </w:rPr>
        <w:t>Acquisition</w:t>
      </w:r>
      <w:r>
        <w:rPr>
          <w:color w:val="000000"/>
        </w:rPr>
        <w:t xml:space="preserve">” </w:t>
      </w:r>
      <w:r>
        <w:rPr>
          <w:rFonts w:ascii="Times New Roman;sans-serif" w:hAnsi="Times New Roman;sans-serif"/>
          <w:b w:val="false"/>
          <w:color w:val="000000"/>
          <w:sz w:val="24"/>
        </w:rPr>
        <w:t>means any transaction or series of related transactions involving: (i) the sale, lease, exclusive license or other disposition of all or substantially all of the assets of the Company; (ii) any merger or consolidation of the Company into or with another person or entity (other than a merger or consolidation effected exclusively to change the Company’s domicile), or any other corporate reorganization, in which the stockholders of the Company in their capacity as such immediately prior to such merger, consolidation or reorganization, own less than a majority of the Company’s (or the surviving or successor entity’s) outstanding voting power immediately after such merger,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81050"/>
                <wp:effectExtent l="0" t="0" r="0" b="0"/>
                <wp:wrapNone/>
                <wp:docPr id="17" name="Frame1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consolidation or reorganization; or (iii) any sale or other transfer by the stockholders of the Company of shares representing a majority of the Company’s then-total outstanding combined voting power.</w:t>
      </w:r>
    </w:p>
    <w:p>
      <w:pPr>
        <w:pStyle w:val="TextBody"/>
        <w:bidi w:val="0"/>
        <w:spacing w:before="2" w:after="283"/>
        <w:jc w:val="left"/>
        <w:rPr/>
      </w:pPr>
      <w:r>
        <w:rPr/>
      </w:r>
    </w:p>
    <w:p>
      <w:pPr>
        <w:pStyle w:val="TextBody"/>
        <w:bidi w:val="0"/>
        <w:spacing w:lineRule="auto" w:line="280" w:before="90" w:after="283"/>
        <w:ind w:left="0" w:right="0" w:firstLine="1440"/>
        <w:jc w:val="left"/>
        <w:rPr/>
      </w:pPr>
      <w:r>
        <w:rPr>
          <w:rFonts w:ascii="Times New Roman;sans-serif" w:hAnsi="Times New Roman;sans-serif"/>
          <w:b w:val="false"/>
          <w:color w:val="000000"/>
          <w:sz w:val="24"/>
        </w:rPr>
        <w:t>(ii)</w:t>
      </w:r>
      <w:r>
        <w:rPr/>
        <w:drawing>
          <wp:inline distT="0" distB="0" distL="0" distR="0">
            <wp:extent cx="28575" cy="14605"/>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28575" cy="14605"/>
                    </a:xfrm>
                    <a:prstGeom prst="rect">
                      <a:avLst/>
                    </a:prstGeom>
                  </pic:spPr>
                </pic:pic>
              </a:graphicData>
            </a:graphic>
          </wp:inline>
        </w:drawing>
      </w:r>
      <w:r>
        <w:rPr>
          <w:rFonts w:ascii="Times New Roman;sans-serif" w:hAnsi="Times New Roman;sans-serif"/>
          <w:b w:val="false"/>
          <w:color w:val="000000"/>
          <w:sz w:val="24"/>
        </w:rPr>
        <w:t>In the event of an Acquisition in which the consideration to be received by the Company’s stockholders consists solely of cash (a “</w:t>
      </w:r>
      <w:r>
        <w:rPr>
          <w:rFonts w:ascii="Times New Roman;sans-serif" w:hAnsi="Times New Roman;sans-serif"/>
          <w:b/>
          <w:color w:val="000000"/>
          <w:sz w:val="24"/>
        </w:rPr>
        <w:t>Cash Acquisition</w:t>
      </w:r>
      <w:r>
        <w:rPr>
          <w:color w:val="000000"/>
        </w:rPr>
        <w:t>”</w:t>
      </w:r>
      <w:r>
        <w:rPr>
          <w:rFonts w:ascii="Times New Roman;sans-serif" w:hAnsi="Times New Roman;sans-serif"/>
          <w:b w:val="false"/>
          <w:color w:val="000000"/>
          <w:sz w:val="24"/>
        </w:rPr>
        <w:t xml:space="preserve">), either (x) Holder shall exercise this Warrant Certificate pursuant to </w:t>
      </w:r>
      <w:r>
        <w:rPr>
          <w:rFonts w:ascii="Times New Roman;sans-serif" w:hAnsi="Times New Roman;sans-serif"/>
          <w:b w:val="false"/>
          <w:color w:val="000000"/>
          <w:sz w:val="24"/>
          <w:u w:val="single"/>
        </w:rPr>
        <w:t>Section 3</w:t>
      </w:r>
      <w:r>
        <w:rPr>
          <w:color w:val="000000"/>
        </w:rPr>
        <w:t xml:space="preserve"> </w:t>
      </w:r>
      <w:r>
        <w:rPr>
          <w:rFonts w:ascii="Times New Roman;sans-serif" w:hAnsi="Times New Roman;sans-serif"/>
          <w:b w:val="false"/>
          <w:color w:val="000000"/>
          <w:sz w:val="24"/>
        </w:rPr>
        <w:t>and such exercise will be deemed effective immediately prior to and contingent upon the consummation of such Cash Acquisition or (y) if Holder elects not to exercise the Warrant, this Warrant will expire immediately prior to the consummation of such Cash Acquisition.</w:t>
      </w:r>
    </w:p>
    <w:p>
      <w:pPr>
        <w:pStyle w:val="TextBody"/>
        <w:bidi w:val="0"/>
        <w:spacing w:lineRule="auto" w:line="240" w:before="223"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(iii)The Company shall provide Holder with written notice of its request relating to the Cash Acquisition (together with such information as Holder may reasonably require regarding the treatment of this Warrant in connection with such contemplated Cash Acquisition giving rise to such notice), which is to be delivered to Holder not less than thirty (30) days prior to the closing of the proposed Cash Acquisition. Notwithstanding the foregoing, if, immediately prior to the Cash Acquisition, the Fair Market Value of one Warrant Share above would be greater than the appliable Exercise Price in effect on such date, then this Warrant shall automatically be deemed on and as of such date to be exercised pursuant a Cashless Exercise with respect to all Warrant Shares for which it shall not previously have been exercised, and the Company shall promptly notify the Holder of the number of shares of Common Stock (or such other securities) issued upon such exercise to the Holder.</w:t>
      </w:r>
    </w:p>
    <w:p>
      <w:pPr>
        <w:pStyle w:val="TextBody"/>
        <w:bidi w:val="0"/>
        <w:spacing w:before="1" w:after="283"/>
        <w:jc w:val="left"/>
        <w:rPr/>
      </w:pPr>
      <w:r>
        <w:rPr/>
      </w:r>
    </w:p>
    <w:p>
      <w:pPr>
        <w:pStyle w:val="TextBody"/>
        <w:bidi w:val="0"/>
        <w:spacing w:lineRule="auto" w:line="240" w:before="1"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(iv)Upon the closing of any Acquisition other than a Cash Acquisition defined above, the acquiring, surviving or successor entity shall assume the obligations of this Warrant, and this Warrant shall thereafter be exercisable for the same securities and/or other property as would have been paid for the shares of Common Stock issuable upon exercise of the unexercised portion of this Warrant as if such shares of Common Stock were outstanding on and as of the closing of such Acquisition, subject to further adjustment from time to time in accordance with the provisions of this Warrant.</w:t>
      </w:r>
    </w:p>
    <w:p>
      <w:pPr>
        <w:pStyle w:val="TextBody"/>
        <w:bidi w:val="0"/>
        <w:spacing w:before="7"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(n)</w:t>
      </w:r>
      <w:r>
        <w:rPr>
          <w:rFonts w:ascii="Times New Roman;sans-serif" w:hAnsi="Times New Roman;sans-serif"/>
          <w:b/>
          <w:color w:val="000000"/>
          <w:sz w:val="24"/>
        </w:rPr>
        <w:t>Holder’s Exercise Limitations</w:t>
      </w:r>
      <w:r>
        <w:rPr>
          <w:rFonts w:ascii="Times New Roman;sans-serif" w:hAnsi="Times New Roman;sans-serif"/>
          <w:b w:val="false"/>
          <w:color w:val="000000"/>
          <w:sz w:val="24"/>
        </w:rPr>
        <w:t xml:space="preserve">. The Company shall not effect any exercise of this Warrant, and a Holder shall not have the right to exercise any portion of this Warrant, pursuant to this </w:t>
      </w:r>
      <w:r>
        <w:rPr>
          <w:rFonts w:ascii="Times New Roman;sans-serif" w:hAnsi="Times New Roman;sans-serif"/>
          <w:b/>
          <w:color w:val="000000"/>
          <w:sz w:val="24"/>
        </w:rPr>
        <w:t xml:space="preserve">Section 3 </w:t>
      </w:r>
      <w:r>
        <w:rPr>
          <w:rFonts w:ascii="Times New Roman;sans-serif" w:hAnsi="Times New Roman;sans-serif"/>
          <w:b w:val="false"/>
          <w:color w:val="000000"/>
          <w:sz w:val="24"/>
        </w:rPr>
        <w:t>or otherwise, to the extent that after giving effect to such issuance after exercise as set forth on the applicable Exercise Certificate, the Holder (together with the Holder’s affiliates, and any other persons acting as a group together with the Holder or any of the Holder’s affiliates), would beneficially own in excess of the Beneficial Ownership Limitation (as defined below). For purposes of the foregoing sentence, the number of shares of Common Stock equivalents beneficially owned by the Holder and its affiliates shall include the number of shares of Common Stock equivalents issuable upon exercise of this Warrant with respect to which such determination is being made, but shall exclude the number of shares of Common Stock equivalents which would be issuable upon (i) exercise of the remaining, nonexercised portion of this Warrant beneficially owned by the Holder or any of its affiliates, and (ii) 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Except as set forth in the preceding sentence, for purposes of this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81050"/>
                <wp:effectExtent l="0" t="0" r="0" b="0"/>
                <wp:wrapNone/>
                <wp:docPr id="19" name="Frame1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color w:val="000000"/>
          <w:sz w:val="24"/>
        </w:rPr>
        <w:t>Section 3(n)</w:t>
      </w:r>
      <w:r>
        <w:rPr>
          <w:rFonts w:ascii="Times New Roman;sans-serif" w:hAnsi="Times New Roman;sans-serif"/>
          <w:b w:val="false"/>
          <w:color w:val="000000"/>
          <w:sz w:val="24"/>
        </w:rPr>
        <w:t xml:space="preserv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w:t>
      </w:r>
      <w:r>
        <w:rPr>
          <w:rFonts w:ascii="Times New Roman;sans-serif" w:hAnsi="Times New Roman;sans-serif"/>
          <w:b/>
          <w:color w:val="000000"/>
          <w:sz w:val="24"/>
        </w:rPr>
        <w:t xml:space="preserve">Section 3(n) </w:t>
      </w:r>
      <w:r>
        <w:rPr>
          <w:rFonts w:ascii="Times New Roman;sans-serif" w:hAnsi="Times New Roman;sans-serif"/>
          <w:b w:val="false"/>
          <w:color w:val="000000"/>
          <w:sz w:val="24"/>
        </w:rPr>
        <w:t xml:space="preserve">applies, the determination of whether this Warrant is exercisable (in relation to other securities owned by the Holder together with any affiliates) and of which portion of this Warrant is exercisable shall be in the sole discretion of the Holder, and the submission of an Exercise Certificate shall be deemed to be the Holder’s determination of whether this Warrant is exercisable (in relation to other securities owned by the Holder together with any affiliates)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w:t>
      </w:r>
      <w:r>
        <w:rPr>
          <w:rFonts w:ascii="Times New Roman;sans-serif" w:hAnsi="Times New Roman;sans-serif"/>
          <w:b/>
          <w:color w:val="000000"/>
          <w:sz w:val="24"/>
        </w:rPr>
        <w:t>Section 3(n)</w:t>
      </w:r>
      <w:r>
        <w:rPr>
          <w:rFonts w:ascii="Times New Roman;sans-serif" w:hAnsi="Times New Roman;sans-serif"/>
          <w:b w:val="false"/>
          <w:color w:val="000000"/>
          <w:sz w:val="24"/>
        </w:rPr>
        <w:t>, in determining the number of outstanding shares of Common Stock, a Holder may rely on the number of outstanding shares of Common Stock as reflected in (A) the Company’s most recent periodic or annual report filed with the SEC, as the case may be, (B) a more recent public announcement by the Company, or (C) a more recent written notice from the Company or the Transfer Agent setting forth the number of shares of Common Stock outstanding. Upon the written request of a Holder, the Company shall within three (3) Business Days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since the date as of which such number of outstanding shares of Common Stock was reported. The “</w:t>
      </w:r>
      <w:r>
        <w:rPr>
          <w:rFonts w:ascii="Times New Roman;sans-serif" w:hAnsi="Times New Roman;sans-serif"/>
          <w:b/>
          <w:i/>
          <w:color w:val="000000"/>
          <w:sz w:val="24"/>
        </w:rPr>
        <w:t>Beneficial Ownership Limitation</w:t>
      </w:r>
      <w:r>
        <w:rPr>
          <w:color w:val="000000"/>
        </w:rPr>
        <w:t xml:space="preserve">” </w:t>
      </w:r>
      <w:r>
        <w:rPr>
          <w:rFonts w:ascii="Times New Roman;sans-serif" w:hAnsi="Times New Roman;sans-serif"/>
          <w:b w:val="false"/>
          <w:color w:val="000000"/>
          <w:sz w:val="24"/>
        </w:rPr>
        <w:t xml:space="preserve">shall be 9.99% of the number of shares of Common Stock and Common Stock equivalents outstanding immediately after giving effect to the applicable issuance of Warrant Shares issuable upon exercise of this Warrant if at the time of exercise the Company is a “reporting issuer” under the Exchange Act. The provisions of this paragraph shall be construed and implemented in a manner otherwise than in strict conformity with the terms of this </w:t>
      </w:r>
      <w:r>
        <w:rPr>
          <w:rFonts w:ascii="Times New Roman;sans-serif" w:hAnsi="Times New Roman;sans-serif"/>
          <w:b/>
          <w:color w:val="000000"/>
          <w:sz w:val="24"/>
        </w:rPr>
        <w:t xml:space="preserve">Section 3(n) </w:t>
      </w:r>
      <w:r>
        <w:rPr>
          <w:rFonts w:ascii="Times New Roman;sans-serif" w:hAnsi="Times New Roman;sans-serif"/>
          <w:b w:val="false"/>
          <w:color w:val="000000"/>
          <w:sz w:val="24"/>
        </w:rPr>
        <w:t>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pStyle w:val="TextBody"/>
        <w:bidi w:val="0"/>
        <w:spacing w:before="9"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(o)</w:t>
      </w:r>
      <w:r>
        <w:rPr>
          <w:rFonts w:ascii="Times New Roman;sans-serif" w:hAnsi="Times New Roman;sans-serif"/>
          <w:b/>
          <w:color w:val="000000"/>
          <w:sz w:val="24"/>
        </w:rPr>
        <w:t>Holder Put Right</w:t>
      </w:r>
      <w:r>
        <w:rPr>
          <w:rFonts w:ascii="Times New Roman;sans-serif" w:hAnsi="Times New Roman;sans-serif"/>
          <w:b w:val="false"/>
          <w:color w:val="000000"/>
          <w:sz w:val="24"/>
        </w:rPr>
        <w:t>. In addition to all other rights granted to Holder herein, the Holder shall have the right (the “</w:t>
      </w:r>
      <w:r>
        <w:rPr>
          <w:rFonts w:ascii="Times New Roman;sans-serif" w:hAnsi="Times New Roman;sans-serif"/>
          <w:b/>
          <w:color w:val="000000"/>
          <w:sz w:val="24"/>
        </w:rPr>
        <w:t>Put Right</w:t>
      </w:r>
      <w:r>
        <w:rPr>
          <w:color w:val="000000"/>
        </w:rPr>
        <w:t>”</w:t>
      </w:r>
      <w:r>
        <w:rPr>
          <w:rFonts w:ascii="Times New Roman;sans-serif" w:hAnsi="Times New Roman;sans-serif"/>
          <w:b w:val="false"/>
          <w:color w:val="000000"/>
          <w:sz w:val="24"/>
        </w:rPr>
        <w:t>) to obligate the Company to purchase (i) this Warrant, (ii) Holder’s rights in respect of all (but not less than all) the Warrant Interests for which this Warrant is then exercisable and (iii) Holder’s rights in respect of all (but not less than all) of the Warrant Interests for which this Warrant has been exercised (if any) for an aggregate purchase price of $1.00. The Holder may exercise its Put Right at any time by written notice to the Company (the “</w:t>
      </w:r>
      <w:r>
        <w:rPr>
          <w:rFonts w:ascii="Times New Roman;sans-serif" w:hAnsi="Times New Roman;sans-serif"/>
          <w:b/>
          <w:color w:val="000000"/>
          <w:sz w:val="24"/>
        </w:rPr>
        <w:t>Put Notice</w:t>
      </w:r>
      <w:r>
        <w:rPr>
          <w:color w:val="000000"/>
        </w:rPr>
        <w:t>”</w:t>
      </w:r>
      <w:r>
        <w:rPr>
          <w:rFonts w:ascii="Times New Roman;sans-serif" w:hAnsi="Times New Roman;sans-serif"/>
          <w:b w:val="false"/>
          <w:color w:val="000000"/>
          <w:sz w:val="24"/>
        </w:rPr>
        <w:t>). The closing of the transactions contemplated by this</w:t>
      </w:r>
    </w:p>
    <w:p>
      <w:pPr>
        <w:pStyle w:val="TextBody"/>
        <w:bidi w:val="0"/>
        <w:spacing w:lineRule="auto" w:line="280" w:before="2" w:after="283"/>
        <w:jc w:val="left"/>
        <w:rPr/>
      </w:pPr>
      <w:r>
        <w:rPr>
          <w:rFonts w:ascii="Times New Roman;sans-serif" w:hAnsi="Times New Roman;sans-serif"/>
          <w:b/>
          <w:color w:val="000000"/>
          <w:sz w:val="24"/>
        </w:rPr>
        <w:t xml:space="preserve">Section 3(o) </w:t>
      </w:r>
      <w:r>
        <w:rPr>
          <w:rFonts w:ascii="Times New Roman;sans-serif" w:hAnsi="Times New Roman;sans-serif"/>
          <w:b w:val="false"/>
          <w:color w:val="000000"/>
          <w:sz w:val="24"/>
        </w:rPr>
        <w:t>shall be effective as of the date specified in the Put Notice. For the avoidance of doubt, the Put Right shall survive the exercise of this Warrant.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81050"/>
                <wp:effectExtent l="0" t="0" r="0" b="0"/>
                <wp:wrapNone/>
                <wp:docPr id="20" name="Frame1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color w:val="000000"/>
          <w:sz w:val="24"/>
        </w:rPr>
        <w:t>Section 4.    Anti-Dilution Adjustments</w:t>
      </w:r>
      <w:r>
        <w:rPr>
          <w:rFonts w:ascii="Times New Roman;sans-serif" w:hAnsi="Times New Roman;sans-serif"/>
          <w:b w:val="false"/>
          <w:color w:val="000000"/>
          <w:sz w:val="24"/>
        </w:rPr>
        <w:t xml:space="preserve">. In order to prevent dilution of the purchase rights granted under this Warrant Certificate, the number of Warrant Shares issuable upon exercise of this Warrant Certificate and the applicable Exercise Price shall be subject to adjustment from time to time as provided in this </w:t>
      </w:r>
      <w:r>
        <w:rPr>
          <w:rFonts w:ascii="Times New Roman;sans-serif" w:hAnsi="Times New Roman;sans-serif"/>
          <w:b/>
          <w:color w:val="000000"/>
          <w:sz w:val="24"/>
        </w:rPr>
        <w:t>Section 4</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1"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Adjustment to Exercise Price and Number of Warrant Shares Upon Dividend, Subdivision or Combination of Common Stock</w:t>
      </w:r>
      <w:r>
        <w:rPr>
          <w:rFonts w:ascii="Times New Roman;sans-serif" w:hAnsi="Times New Roman;sans-serif"/>
          <w:b w:val="false"/>
          <w:color w:val="000000"/>
          <w:sz w:val="24"/>
        </w:rPr>
        <w:t xml:space="preserve">. If the Company shall, at any time or from time to time after the Issue Date, (i) pay a dividend or make any other distribution upon the Common Stock or any other capital stock of the Company payable in shares of Common Stock or in options or convertible securities, or (ii) subdivide (by any stock split, recapitalization or otherwise) its outstanding shares of Common Stock into a greater number of shares, the number of Warrant Shares issuable upon exercise of this Warrant Certificate immediately prior to any such dividend, distribution or subdivision shall be proportionately increased and the applicable Exercise Price shall be proportionately decreased. If the Company at any time combines (by combination, reverse stock split or otherwise) its outstanding shares of Common Stock into a smaller number of shares, the number of Warrant Shares issuable upon exercise of this Warrant Certificate immediately prior to such combination shall be proportionately decreased and the applicable Exercise Price shall be proportionately increased. Any adjustment under this </w:t>
      </w:r>
      <w:r>
        <w:rPr>
          <w:rFonts w:ascii="Times New Roman;sans-serif" w:hAnsi="Times New Roman;sans-serif"/>
          <w:b/>
          <w:color w:val="000000"/>
          <w:sz w:val="24"/>
        </w:rPr>
        <w:t xml:space="preserve">Section 4(a) </w:t>
      </w:r>
      <w:r>
        <w:rPr>
          <w:rFonts w:ascii="Times New Roman;sans-serif" w:hAnsi="Times New Roman;sans-serif"/>
          <w:b w:val="false"/>
          <w:color w:val="000000"/>
          <w:sz w:val="24"/>
        </w:rPr>
        <w:t>shall become effective at the close of business on the date the dividend, subdivision or combination becomes effective.</w:t>
      </w:r>
    </w:p>
    <w:p>
      <w:pPr>
        <w:pStyle w:val="TextBody"/>
        <w:bidi w:val="0"/>
        <w:spacing w:before="7" w:after="283"/>
        <w:jc w:val="left"/>
        <w:rPr/>
      </w:pPr>
      <w:r>
        <w:rPr/>
      </w:r>
    </w:p>
    <w:p>
      <w:pPr>
        <w:pStyle w:val="TextBody"/>
        <w:bidi w:val="0"/>
        <w:spacing w:lineRule="auto" w:line="285" w:before="1"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Adjustment to Exercise Price and Number of Warrant Shares Upon Reorganization, Reclassification, Consolidation or Merger</w:t>
      </w:r>
      <w:r>
        <w:rPr>
          <w:rFonts w:ascii="Times New Roman;sans-serif" w:hAnsi="Times New Roman;sans-serif"/>
          <w:b w:val="false"/>
          <w:color w:val="000000"/>
          <w:sz w:val="24"/>
        </w:rPr>
        <w:t>.</w:t>
      </w:r>
    </w:p>
    <w:p>
      <w:pPr>
        <w:pStyle w:val="TextBody"/>
        <w:bidi w:val="0"/>
        <w:spacing w:lineRule="auto" w:line="240" w:before="223"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(i)Unless the Holder otherwise consents (in its sole discretion), the event of any (A) capital reorganization of the Company, (B) reclassification of the stock of the Company (other than a change in par value or from par value to no par value or from no par value to par value or as a result of a stock dividend or subdivision, split-up or combination of shares),</w:t>
      </w:r>
    </w:p>
    <w:p>
      <w:pPr>
        <w:pStyle w:val="TextBody"/>
        <w:bidi w:val="0"/>
        <w:spacing w:lineRule="auto" w:line="240" w:before="0" w:after="0"/>
        <w:jc w:val="left"/>
        <w:rPr/>
      </w:pPr>
      <w:r>
        <w:rPr>
          <w:rFonts w:ascii="Times New Roman;sans-serif" w:hAnsi="Times New Roman;sans-serif"/>
          <w:b w:val="false"/>
          <w:color w:val="000000"/>
          <w:sz w:val="24"/>
        </w:rPr>
        <w:t xml:space="preserve">(C)Fundamental Change or (D) other similar transaction (other than any such transaction covered by </w:t>
      </w:r>
      <w:r>
        <w:rPr>
          <w:rFonts w:ascii="Times New Roman;sans-serif" w:hAnsi="Times New Roman;sans-serif"/>
          <w:b/>
          <w:color w:val="000000"/>
          <w:sz w:val="24"/>
        </w:rPr>
        <w:t xml:space="preserve">Section 3(m) </w:t>
      </w:r>
      <w:r>
        <w:rPr>
          <w:rFonts w:ascii="Times New Roman;sans-serif" w:hAnsi="Times New Roman;sans-serif"/>
          <w:b w:val="false"/>
          <w:color w:val="000000"/>
          <w:sz w:val="24"/>
        </w:rPr>
        <w:t xml:space="preserve">or </w:t>
      </w:r>
      <w:r>
        <w:rPr>
          <w:rFonts w:ascii="Times New Roman;sans-serif" w:hAnsi="Times New Roman;sans-serif"/>
          <w:b/>
          <w:color w:val="000000"/>
          <w:sz w:val="24"/>
        </w:rPr>
        <w:t>Section 4(a)</w:t>
      </w:r>
      <w:r>
        <w:rPr>
          <w:rFonts w:ascii="Times New Roman;sans-serif" w:hAnsi="Times New Roman;sans-serif"/>
          <w:b w:val="false"/>
          <w:color w:val="000000"/>
          <w:sz w:val="24"/>
        </w:rPr>
        <w:t>), including a Liquidity Event in which the Warrant Certificate is not exercised, in each case which entitles the holders of Common Stock to receive (either directly or upon subsequent liquidation) stock, securities or assets with respect to or in exchange for Common Stock:</w:t>
      </w:r>
    </w:p>
    <w:p>
      <w:pPr>
        <w:pStyle w:val="TextBody"/>
        <w:bidi w:val="0"/>
        <w:spacing w:before="3" w:after="283"/>
        <w:jc w:val="left"/>
        <w:rPr/>
      </w:pPr>
      <w:r>
        <w:rPr/>
      </w:r>
    </w:p>
    <w:p>
      <w:pPr>
        <w:pStyle w:val="TextBody"/>
        <w:bidi w:val="0"/>
        <w:spacing w:lineRule="auto" w:line="240" w:before="90" w:after="283"/>
        <w:ind w:left="0" w:right="0" w:firstLine="2880"/>
        <w:jc w:val="left"/>
        <w:rPr>
          <w:rFonts w:ascii="Times New Roman;sans-serif" w:hAnsi="Times New Roman;sans-serif"/>
          <w:b w:val="false"/>
          <w:color w:val="000000"/>
          <w:sz w:val="24"/>
        </w:rPr>
      </w:pPr>
      <w:r>
        <w:rPr>
          <w:rFonts w:ascii="Times New Roman;sans-serif" w:hAnsi="Times New Roman;sans-serif"/>
          <w:b w:val="false"/>
          <w:color w:val="000000"/>
          <w:sz w:val="24"/>
        </w:rPr>
        <w:t>(1)this Warrant Certificate shall, immediately after such reorganization, reclassification, consolidation, merger, sale or similar transaction, remain outstanding and shall thereafter, in lieu of or in addition to (as the case may be) the number of Warrant Shares then exercisable under this Warrant Certificate, be exercisable for the kind and number of shares of stock or other securities or assets of the Company or of the successor Person resulting from such transaction to which the Holder would have been entitled upon such reorganization, reclassification, consolidation, merger, sale or similar transaction if the Holder had exercised this Warrant Certificate in full immediately prior to the time of such reorganization, reclassification, consolidation, merger, sale or similar transaction and acquired the applicable number of Warrant Shares then issuable hereunder as a result of such exercise (without taking into account any limitations or restrictions on the exercisability of this Warrant Certificate); and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81050"/>
                <wp:effectExtent l="0" t="0" r="0" b="0"/>
                <wp:wrapNone/>
                <wp:docPr id="21" name="Frame1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ind w:left="0" w:right="0" w:firstLine="2880"/>
        <w:jc w:val="left"/>
        <w:rPr/>
      </w:pPr>
      <w:r>
        <w:rPr>
          <w:rFonts w:ascii="Times New Roman;sans-serif" w:hAnsi="Times New Roman;sans-serif"/>
          <w:b w:val="false"/>
          <w:color w:val="000000"/>
          <w:sz w:val="24"/>
        </w:rPr>
        <w:t xml:space="preserve">(2)appropriate adjustment (in form and substance satisfactory to the Holder) shall be made with respect to the Holder’s rights under this Warrant Certificate (including the applicable Exercise Price) to insure that the provisions of this </w:t>
      </w:r>
      <w:r>
        <w:rPr>
          <w:rFonts w:ascii="Times New Roman;sans-serif" w:hAnsi="Times New Roman;sans-serif"/>
          <w:b/>
          <w:color w:val="000000"/>
          <w:sz w:val="24"/>
        </w:rPr>
        <w:t xml:space="preserve">Section 4 </w:t>
      </w:r>
      <w:r>
        <w:rPr>
          <w:rFonts w:ascii="Times New Roman;sans-serif" w:hAnsi="Times New Roman;sans-serif"/>
          <w:b w:val="false"/>
          <w:color w:val="000000"/>
          <w:sz w:val="24"/>
        </w:rPr>
        <w:t>shall thereafter be applicable, as nearly as possible, to this Warrant Certificate in relation to any shares of stock, securities or assets thereafter acquirable upon exercise of this Warrant Certificate.</w:t>
      </w:r>
    </w:p>
    <w:p>
      <w:pPr>
        <w:pStyle w:val="TextBody"/>
        <w:bidi w:val="0"/>
        <w:spacing w:before="8" w:after="283"/>
        <w:jc w:val="left"/>
        <w:rPr/>
      </w:pPr>
      <w:r>
        <w:rPr/>
      </w:r>
    </w:p>
    <w:p>
      <w:pPr>
        <w:pStyle w:val="TextBody"/>
        <w:bidi w:val="0"/>
        <w:spacing w:lineRule="auto" w:line="28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In the case of any transaction in which the successor or purchasing Person is other than the Company, the adjustment to the Exercise Price shall equal the value per share for the Common Stock reflected by the terms of such transaction, and a corresponding adjustment shall be made to the number of Warrant Shares acquirable upon exercise of this Warrant Certificate, without regard to any limitations or restrictions on exercise, if the value so reflected is less than the Exercise Price in effect immediately prior to such transaction.</w:t>
      </w:r>
    </w:p>
    <w:p>
      <w:pPr>
        <w:pStyle w:val="TextBody"/>
        <w:bidi w:val="0"/>
        <w:spacing w:lineRule="auto" w:line="285" w:before="224" w:after="283"/>
        <w:ind w:left="0" w:right="0" w:firstLine="720"/>
        <w:jc w:val="left"/>
        <w:rPr/>
      </w:pPr>
      <w:r>
        <w:rPr>
          <w:rFonts w:ascii="Times New Roman;sans-serif" w:hAnsi="Times New Roman;sans-serif"/>
          <w:b w:val="false"/>
          <w:color w:val="000000"/>
          <w:sz w:val="24"/>
        </w:rPr>
        <w:t xml:space="preserve">The provisions of this </w:t>
      </w:r>
      <w:r>
        <w:rPr>
          <w:rFonts w:ascii="Times New Roman;sans-serif" w:hAnsi="Times New Roman;sans-serif"/>
          <w:b/>
          <w:color w:val="000000"/>
          <w:sz w:val="24"/>
        </w:rPr>
        <w:t xml:space="preserve">Section 4(b) </w:t>
      </w:r>
      <w:r>
        <w:rPr>
          <w:rFonts w:ascii="Times New Roman;sans-serif" w:hAnsi="Times New Roman;sans-serif"/>
          <w:b w:val="false"/>
          <w:color w:val="000000"/>
          <w:sz w:val="24"/>
        </w:rPr>
        <w:t>shall similarly apply to successive reorganizations, reclassifications, consolidations, mergers, sales or similar transactions.</w:t>
      </w:r>
    </w:p>
    <w:p>
      <w:pPr>
        <w:pStyle w:val="TextBody"/>
        <w:bidi w:val="0"/>
        <w:spacing w:lineRule="auto" w:line="280" w:before="223" w:after="283"/>
        <w:ind w:left="0" w:right="0" w:firstLine="1440"/>
        <w:jc w:val="left"/>
        <w:rPr/>
      </w:pPr>
      <w:r>
        <w:rPr>
          <w:rFonts w:ascii="Times New Roman;sans-serif" w:hAnsi="Times New Roman;sans-serif"/>
          <w:b w:val="false"/>
          <w:color w:val="000000"/>
          <w:sz w:val="24"/>
        </w:rPr>
        <w:t xml:space="preserve">(ii)Notwithstanding anything to the contrary contained herein, with respect to any corporate event or other transaction contemplated by this </w:t>
      </w:r>
      <w:r>
        <w:rPr>
          <w:rFonts w:ascii="Times New Roman;sans-serif" w:hAnsi="Times New Roman;sans-serif"/>
          <w:b/>
          <w:color w:val="000000"/>
          <w:sz w:val="24"/>
        </w:rPr>
        <w:t>Section 4(b)</w:t>
      </w:r>
      <w:r>
        <w:rPr>
          <w:rFonts w:ascii="Times New Roman;sans-serif" w:hAnsi="Times New Roman;sans-serif"/>
          <w:b w:val="false"/>
          <w:color w:val="000000"/>
          <w:sz w:val="24"/>
        </w:rPr>
        <w:t xml:space="preserve">, the Holder shall have the right to elect, prior to the consummation of such event or transaction, to exercise its rights under </w:t>
      </w:r>
      <w:r>
        <w:rPr>
          <w:rFonts w:ascii="Times New Roman;sans-serif" w:hAnsi="Times New Roman;sans-serif"/>
          <w:b/>
          <w:color w:val="000000"/>
          <w:sz w:val="24"/>
        </w:rPr>
        <w:t xml:space="preserve">Section 2 </w:t>
      </w:r>
      <w:r>
        <w:rPr>
          <w:rFonts w:ascii="Times New Roman;sans-serif" w:hAnsi="Times New Roman;sans-serif"/>
          <w:b w:val="false"/>
          <w:color w:val="000000"/>
          <w:sz w:val="24"/>
        </w:rPr>
        <w:t xml:space="preserve">instead of giving effect to </w:t>
      </w:r>
      <w:r>
        <w:rPr>
          <w:rFonts w:ascii="Times New Roman;sans-serif" w:hAnsi="Times New Roman;sans-serif"/>
          <w:b/>
          <w:color w:val="000000"/>
          <w:sz w:val="24"/>
        </w:rPr>
        <w:t>Section 4(b)(i)</w:t>
      </w:r>
      <w:r>
        <w:rPr>
          <w:rFonts w:ascii="Times New Roman;sans-serif" w:hAnsi="Times New Roman;sans-serif"/>
          <w:b w:val="false"/>
          <w:color w:val="000000"/>
          <w:sz w:val="24"/>
        </w:rPr>
        <w:t>.</w:t>
      </w:r>
    </w:p>
    <w:p>
      <w:pPr>
        <w:pStyle w:val="TextBody"/>
        <w:bidi w:val="0"/>
        <w:spacing w:lineRule="auto" w:line="240" w:before="229"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Other Dividends and Distributions</w:t>
      </w:r>
      <w:r>
        <w:rPr>
          <w:rFonts w:ascii="Times New Roman;sans-serif" w:hAnsi="Times New Roman;sans-serif"/>
          <w:b w:val="false"/>
          <w:color w:val="000000"/>
          <w:sz w:val="24"/>
        </w:rPr>
        <w:t xml:space="preserve">. If the Company shall, at any time or from time to time after the date hereof, make or declare, or fix a record date for the determination of holders of Common Stock entitled to receive, a dividend or any other distribution payable in cash, securities of the Company (other than a dividend or distribution of shares of Common Stock, options or convertible securities in respect of outstanding shares of Common Stock) or other property, then, and in each such event, the Company shall ensure that provisions are made so that the Holder shall receive upon exercise of this Warrant Certificate, in addition to the number of Warrant Shares receivable thereupon, the kind and amount of cash, securities of the Company or other property which the Holder would have been entitled to receive had this Warrant Certificate been exercised in full into Warrant Shares on the date of such event and had the Holder thereafter, during the period from the date of such event to and including the date of exercise, retained such cash, securities or other property receivable by them as aforesaid during such period, giving application to all adjustments called for during such period under this </w:t>
      </w:r>
      <w:r>
        <w:rPr>
          <w:rFonts w:ascii="Times New Roman;sans-serif" w:hAnsi="Times New Roman;sans-serif"/>
          <w:b/>
          <w:color w:val="000000"/>
          <w:sz w:val="24"/>
        </w:rPr>
        <w:t xml:space="preserve">Section 4 </w:t>
      </w:r>
      <w:r>
        <w:rPr>
          <w:rFonts w:ascii="Times New Roman;sans-serif" w:hAnsi="Times New Roman;sans-serif"/>
          <w:b w:val="false"/>
          <w:color w:val="000000"/>
          <w:sz w:val="24"/>
        </w:rPr>
        <w:t>with respect to the rights of the Holder; provided that no such provision shall be made if the Holder receives, simultaneously with the distribution to the holders of Common Stock, a dividend or other distribution of such securities, cash or other property in an amount equal to the amount of such securities, cash or other property as the Holder would have received if this Warrant Certificate had been exercised in full into Warrant Shares on the date of such event.</w:t>
      </w:r>
    </w:p>
    <w:p>
      <w:pPr>
        <w:pStyle w:val="TextBody"/>
        <w:bidi w:val="0"/>
        <w:spacing w:before="11"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(d)</w:t>
      </w:r>
      <w:r>
        <w:rPr>
          <w:rFonts w:ascii="Times New Roman;sans-serif" w:hAnsi="Times New Roman;sans-serif"/>
          <w:b/>
          <w:color w:val="000000"/>
          <w:sz w:val="24"/>
        </w:rPr>
        <w:t>Certain Events</w:t>
      </w:r>
      <w:r>
        <w:rPr>
          <w:rFonts w:ascii="Times New Roman;sans-serif" w:hAnsi="Times New Roman;sans-serif"/>
          <w:b w:val="false"/>
          <w:color w:val="000000"/>
          <w:sz w:val="24"/>
        </w:rPr>
        <w:t xml:space="preserve">. If any event of the type contemplated by the provisions of this </w:t>
      </w:r>
      <w:r>
        <w:rPr>
          <w:rFonts w:ascii="Times New Roman;sans-serif" w:hAnsi="Times New Roman;sans-serif"/>
          <w:b/>
          <w:color w:val="000000"/>
          <w:sz w:val="24"/>
        </w:rPr>
        <w:t xml:space="preserve">Section 4 </w:t>
      </w:r>
      <w:r>
        <w:rPr>
          <w:rFonts w:ascii="Times New Roman;sans-serif" w:hAnsi="Times New Roman;sans-serif"/>
          <w:b w:val="false"/>
          <w:color w:val="000000"/>
          <w:sz w:val="24"/>
        </w:rPr>
        <w:t xml:space="preserve">but not expressly provided for by such provisions occurs, then the Board shall make an appropriate adjustment in the number of Warrant Shares issuable upon exercise of this Warrant Certificate and the applicable Exercise Price so as to protect the rights of the Holder in a manner consistent with the provisions of this </w:t>
      </w:r>
      <w:r>
        <w:rPr>
          <w:rFonts w:ascii="Times New Roman;sans-serif" w:hAnsi="Times New Roman;sans-serif"/>
          <w:b/>
          <w:color w:val="000000"/>
          <w:sz w:val="24"/>
        </w:rPr>
        <w:t>Section 4</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 xml:space="preserve">that no such adjustment pursuant to this </w:t>
      </w:r>
      <w:r>
        <w:rPr>
          <w:rFonts w:ascii="Times New Roman;sans-serif" w:hAnsi="Times New Roman;sans-serif"/>
          <w:b/>
          <w:color w:val="000000"/>
          <w:sz w:val="24"/>
        </w:rPr>
        <w:t xml:space="preserve">Section 4(d) </w:t>
      </w:r>
      <w:r>
        <w:rPr>
          <w:rFonts w:ascii="Times New Roman;sans-serif" w:hAnsi="Times New Roman;sans-serif"/>
          <w:b w:val="false"/>
          <w:color w:val="000000"/>
          <w:sz w:val="24"/>
        </w:rPr>
        <w:t xml:space="preserve">shall decrease the number of Warrant Shares issuable hereunder or increase the Exercise Price as otherwise determined pursuant to this </w:t>
      </w:r>
      <w:r>
        <w:rPr>
          <w:rFonts w:ascii="Times New Roman;sans-serif" w:hAnsi="Times New Roman;sans-serif"/>
          <w:b/>
          <w:color w:val="000000"/>
          <w:sz w:val="24"/>
        </w:rPr>
        <w:t>Section 4</w:t>
      </w:r>
      <w:r>
        <w:rPr>
          <w:rFonts w:ascii="Times New Roman;sans-serif" w:hAnsi="Times New Roman;sans-serif"/>
          <w:b w:val="false"/>
          <w:color w:val="000000"/>
          <w:sz w:val="24"/>
        </w:rPr>
        <w:t>. Notwithstanding anything to</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81050"/>
                <wp:effectExtent l="0" t="0" r="0" b="0"/>
                <wp:wrapNone/>
                <wp:docPr id="22" name="Frame2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val="false"/>
          <w:color w:val="000000"/>
          <w:sz w:val="24"/>
        </w:rPr>
        <w:t xml:space="preserve">the contrary in this </w:t>
      </w:r>
      <w:r>
        <w:rPr>
          <w:rFonts w:ascii="Times New Roman;sans-serif" w:hAnsi="Times New Roman;sans-serif"/>
          <w:b/>
          <w:color w:val="000000"/>
          <w:sz w:val="24"/>
        </w:rPr>
        <w:t>Section 4</w:t>
      </w:r>
      <w:r>
        <w:rPr>
          <w:rFonts w:ascii="Times New Roman;sans-serif" w:hAnsi="Times New Roman;sans-serif"/>
          <w:b w:val="false"/>
          <w:color w:val="000000"/>
          <w:sz w:val="24"/>
        </w:rPr>
        <w:t>, the number of Warrant Shares issuable upon exercise of this Warrant Certificate and the applicable Exercise Price shall not be adjusted: (i) upon the issuance of any shares of Common Stock or options or rights to purchase those shares pursuant to any present or future employee, director or consultant benefit plan or program of or assumed by the Company or any of the Subsidiaries; (ii) upon the issuance of any shares of the Common Stock pursuant to any option, warrant, right or exercisable, exchangeable or convertible security not described in clause (i) of this subsection and outstanding as of the date the Warrant Certificate was first issued; (iii) upon the repurchase of any shares of Common Stock pursuant to an open- market share repurchase program or other buy-back transaction that is not a tender offer or exchange offer; or (iv) solely for a change in the par value of the Common Stock.</w:t>
      </w:r>
    </w:p>
    <w:p>
      <w:pPr>
        <w:pStyle w:val="TextBody"/>
        <w:bidi w:val="0"/>
        <w:spacing w:before="11"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(e)</w:t>
      </w:r>
      <w:r>
        <w:rPr>
          <w:rFonts w:ascii="Times New Roman;sans-serif" w:hAnsi="Times New Roman;sans-serif"/>
          <w:b/>
          <w:color w:val="000000"/>
          <w:sz w:val="24"/>
        </w:rPr>
        <w:t>Adjustments for Diluting Issuances</w:t>
      </w:r>
      <w:r>
        <w:rPr>
          <w:rFonts w:ascii="Times New Roman;sans-serif" w:hAnsi="Times New Roman;sans-serif"/>
          <w:b w:val="false"/>
          <w:color w:val="000000"/>
          <w:sz w:val="24"/>
        </w:rPr>
        <w:t>. Except in the case of an event described in either Section 4(b) or Section 4(c) or clause (i) or (ii) of the second sentence of Section 4(d), if the Company shall, at any time or from time to time after the Issue Date and prior to December 31, 2024, issue or sell, or in accordance with Section 4(d) is deemed to have issued or sold, any shares of Common Stock, or any options or convertible securities or other common stock equivalents, either without consideration or for consideration per share less than the Exercise Price in effect immediately prior to such issuance or sale (or deemed issuance or sale), then immediately upon such issuance or sale (or deemed issuance or sale), the Exercise Price in effect immediately prior to such issuance or sale (or deemed issuance or sale) shall be reduced (and in no event increased) to an Exercise Price equal to the lowest price per share at which any such share of Common Stock (or options, convertible security, or other common stock equivalent) has been issued or sold (or is deemed to have been issued or sold); provided, that if such issuance or sale (or deemed issuance or sale) was without consideration, then the Company shall be deemed to have received an aggregate of $0.01 of consideration for all such securities so issued or deemed to be issued.</w:t>
      </w:r>
    </w:p>
    <w:p>
      <w:pPr>
        <w:pStyle w:val="TextBody"/>
        <w:bidi w:val="0"/>
        <w:spacing w:before="1"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(f)</w:t>
      </w:r>
      <w:r>
        <w:rPr>
          <w:rFonts w:ascii="Times New Roman;sans-serif" w:hAnsi="Times New Roman;sans-serif"/>
          <w:b/>
          <w:color w:val="000000"/>
          <w:sz w:val="24"/>
        </w:rPr>
        <w:t>Certificate as to Adjustment</w:t>
      </w:r>
      <w:r>
        <w:rPr>
          <w:rFonts w:ascii="Times New Roman;sans-serif" w:hAnsi="Times New Roman;sans-serif"/>
          <w:b w:val="false"/>
          <w:color w:val="000000"/>
          <w:sz w:val="24"/>
        </w:rPr>
        <w:t>.</w:t>
      </w:r>
    </w:p>
    <w:p>
      <w:pPr>
        <w:pStyle w:val="TextBody"/>
        <w:bidi w:val="0"/>
        <w:spacing w:before="7" w:after="283"/>
        <w:jc w:val="left"/>
        <w:rPr/>
      </w:pPr>
      <w:r>
        <w:rPr/>
      </w:r>
    </w:p>
    <w:p>
      <w:pPr>
        <w:pStyle w:val="TextBody"/>
        <w:bidi w:val="0"/>
        <w:spacing w:lineRule="auto" w:line="240" w:before="1"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(i)As promptly as reasonably practicable following any adjustment of the number of Warrant Shares issuable upon exercise of this Warrant Certificate or the Exercise Price, but in any event not later than three Business Days thereafter, the Company shall furnish to the Holder a certificate of an executive officer setting forth in reasonable detail such adjustment and the facts upon which it is based and certifying the calculation thereof.</w:t>
      </w:r>
    </w:p>
    <w:p>
      <w:pPr>
        <w:pStyle w:val="TextBody"/>
        <w:bidi w:val="0"/>
        <w:spacing w:before="7" w:after="283"/>
        <w:jc w:val="left"/>
        <w:rPr/>
      </w:pPr>
      <w:r>
        <w:rPr/>
      </w:r>
    </w:p>
    <w:p>
      <w:pPr>
        <w:pStyle w:val="TextBody"/>
        <w:bidi w:val="0"/>
        <w:spacing w:lineRule="auto" w:line="28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(ii)As promptly as reasonably practicable following the receipt by the Company of a written request by the Holder, but in any event not later than three Business Days thereafter, the Company shall furnish to the Holder a certificate of an executive officer certifying the number of Warrant Shares for which this Warrant Certificate is exercisable, or the amount, if any, of other shares of stock, securities or assets then issuable upon exercise of this Warrant Certificate, and the applicable Exercise Price payable therefor.</w:t>
      </w:r>
    </w:p>
    <w:p>
      <w:pPr>
        <w:pStyle w:val="TextBody"/>
        <w:bidi w:val="0"/>
        <w:spacing w:lineRule="auto" w:line="280" w:before="224" w:after="283"/>
        <w:ind w:left="0" w:right="0" w:firstLine="720"/>
        <w:jc w:val="left"/>
        <w:rPr/>
      </w:pPr>
      <w:r>
        <w:rPr>
          <w:rFonts w:ascii="Times New Roman;sans-serif" w:hAnsi="Times New Roman;sans-serif"/>
          <w:b w:val="false"/>
          <w:color w:val="000000"/>
          <w:sz w:val="24"/>
        </w:rPr>
        <w:t>(e)</w:t>
      </w:r>
      <w:r>
        <w:rPr>
          <w:rFonts w:ascii="Times New Roman;sans-serif" w:hAnsi="Times New Roman;sans-serif"/>
          <w:b/>
          <w:color w:val="000000"/>
          <w:sz w:val="24"/>
        </w:rPr>
        <w:t>Notices</w:t>
      </w:r>
      <w:r>
        <w:rPr>
          <w:rFonts w:ascii="Times New Roman;sans-serif" w:hAnsi="Times New Roman;sans-serif"/>
          <w:b w:val="false"/>
          <w:color w:val="000000"/>
          <w:sz w:val="24"/>
        </w:rPr>
        <w:t>. In the event that the Company shall take a record of the holders of its Common Stock (or other capital stock or securities at the time issuable upon exercise of this Warrant Certificate):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81050"/>
                <wp:effectExtent l="0" t="0" r="0" b="0"/>
                <wp:wrapNone/>
                <wp:docPr id="23" name="Frame2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(i)for the purpose of entitling or enabling them to receive any dividend or other distribution, to vote at a meeting (or by written consent), to receive any right to subscribe for or purchase any shares of capital stock of any class or any other securities, or to receive any other security; or</w:t>
      </w:r>
    </w:p>
    <w:p>
      <w:pPr>
        <w:pStyle w:val="TextBody"/>
        <w:bidi w:val="0"/>
        <w:spacing w:before="10" w:after="283"/>
        <w:jc w:val="left"/>
        <w:rPr/>
      </w:pPr>
      <w:r>
        <w:rPr/>
      </w:r>
    </w:p>
    <w:p>
      <w:pPr>
        <w:pStyle w:val="TextBody"/>
        <w:bidi w:val="0"/>
        <w:spacing w:lineRule="auto" w:line="280" w:before="1"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(ii)approving or enabling any capital reorganization of the Company, any reclassification of the Common Stock of the Company or any Fundamental Change;</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then, and in each such case, the Company shall send or cause to be sent to the Holder at least thirty (30) days prior to the applicable record date or the applicable expected effective date, as the case may be, for the event, a written notice specifying, as the case may be, (A) the record date for such dividend, distribution, meeting or consent or other right or action, and a description of such dividend, distribution or other right or action to be taken at such meeting or by written consent, or (B) the effective date on which such Fundamental Change is proposed to take place, and the date, if any is to be fixed, as of which the books of the Company shall close or a record shall be taken with respect to which the holders of record of Common Stock (or such other capital stock or securities at the time issuable upon exercise of this Warrant Certificate) shall be entitled to exchange their shares of Common Stock (or such other capital stock or securities) for securities or other property deliverable upon such Fundamental Change, and the amount per share and character of such exchange applicable to this Warrant Certificate and the Warrant Shares.</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5.    Purchase Rights</w:t>
      </w:r>
      <w:r>
        <w:rPr>
          <w:rFonts w:ascii="Times New Roman;sans-serif" w:hAnsi="Times New Roman;sans-serif"/>
          <w:b w:val="false"/>
          <w:color w:val="000000"/>
          <w:sz w:val="24"/>
        </w:rPr>
        <w:t xml:space="preserve">. In addition to any adjustments pursuant to </w:t>
      </w:r>
      <w:r>
        <w:rPr>
          <w:rFonts w:ascii="Times New Roman;sans-serif" w:hAnsi="Times New Roman;sans-serif"/>
          <w:b/>
          <w:color w:val="000000"/>
          <w:sz w:val="24"/>
        </w:rPr>
        <w:t>Section 4</w:t>
      </w:r>
      <w:r>
        <w:rPr>
          <w:rFonts w:ascii="Times New Roman;sans-serif" w:hAnsi="Times New Roman;sans-serif"/>
          <w:b w:val="false"/>
          <w:color w:val="000000"/>
          <w:sz w:val="24"/>
        </w:rPr>
        <w:t xml:space="preserve">, if at any time the Company grants, issues or sells any shares of Common Stock or rights to purchase capital stock, securities or other property </w:t>
      </w:r>
      <w:r>
        <w:rPr>
          <w:rFonts w:ascii="Times New Roman;sans-serif" w:hAnsi="Times New Roman;sans-serif"/>
          <w:b w:val="false"/>
          <w:i/>
          <w:color w:val="000000"/>
          <w:sz w:val="24"/>
        </w:rPr>
        <w:t xml:space="preserve">pro rata </w:t>
      </w:r>
      <w:r>
        <w:rPr>
          <w:rFonts w:ascii="Times New Roman;sans-serif" w:hAnsi="Times New Roman;sans-serif"/>
          <w:b w:val="false"/>
          <w:color w:val="000000"/>
          <w:sz w:val="24"/>
        </w:rPr>
        <w:t>to the record holders of Common Stock (the “</w:t>
      </w:r>
      <w:r>
        <w:rPr>
          <w:rFonts w:ascii="Times New Roman;sans-serif" w:hAnsi="Times New Roman;sans-serif"/>
          <w:b/>
          <w:i/>
          <w:color w:val="000000"/>
          <w:sz w:val="24"/>
        </w:rPr>
        <w:t>Purchase Rights</w:t>
      </w:r>
      <w:r>
        <w:rPr>
          <w:color w:val="000000"/>
        </w:rPr>
        <w:t>”</w:t>
      </w:r>
      <w:r>
        <w:rPr>
          <w:rFonts w:ascii="Times New Roman;sans-serif" w:hAnsi="Times New Roman;sans-serif"/>
          <w:b w:val="false"/>
          <w:color w:val="000000"/>
          <w:sz w:val="24"/>
        </w:rPr>
        <w:t>), then the Holder shall be entitled (but not required) to acquire, upon the same terms applicable to such Purchase Rights, the aggregate Purchase Rights which the Holder would have acquired if the Holder had held the number of Warrant Shares acquirable upon complete exercise of this Warrant Certificate immediately before the date on which a record is taken for the grant, issuance or sale of such Purchase Rights, or, if no such record is taken, the date as of which the record holders of Common Stock are to be determined for the grant, issue or sale of such Purchase Rights.</w:t>
      </w:r>
    </w:p>
    <w:p>
      <w:pPr>
        <w:pStyle w:val="TextBody"/>
        <w:bidi w:val="0"/>
        <w:spacing w:before="3" w:after="283"/>
        <w:jc w:val="left"/>
        <w:rPr/>
      </w:pPr>
      <w:r>
        <w:rPr/>
      </w:r>
    </w:p>
    <w:p>
      <w:pPr>
        <w:pStyle w:val="TextBody"/>
        <w:bidi w:val="0"/>
        <w:spacing w:lineRule="auto" w:line="240" w:before="1" w:after="283"/>
        <w:jc w:val="left"/>
        <w:rPr/>
      </w:pPr>
      <w:r>
        <w:rPr>
          <w:rFonts w:ascii="Times New Roman;sans-serif" w:hAnsi="Times New Roman;sans-serif"/>
          <w:b/>
          <w:color w:val="000000"/>
          <w:sz w:val="24"/>
        </w:rPr>
        <w:t>Section 6.    Registration Rights</w:t>
      </w:r>
      <w:r>
        <w:rPr>
          <w:rFonts w:ascii="Times New Roman;sans-serif" w:hAnsi="Times New Roman;sans-serif"/>
          <w:b w:val="false"/>
          <w:color w:val="000000"/>
          <w:sz w:val="24"/>
        </w:rPr>
        <w:t>.</w:t>
      </w:r>
    </w:p>
    <w:p>
      <w:pPr>
        <w:pStyle w:val="TextBody"/>
        <w:bidi w:val="0"/>
        <w:spacing w:before="7"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 xml:space="preserve">Piggyback Registration Rights. </w:t>
      </w:r>
      <w:r>
        <w:rPr>
          <w:rFonts w:ascii="Times New Roman;sans-serif" w:hAnsi="Times New Roman;sans-serif"/>
          <w:b w:val="false"/>
          <w:color w:val="000000"/>
          <w:sz w:val="24"/>
        </w:rPr>
        <w:t xml:space="preserve">If the Company proposes to register (including, for this purpose, a registration effected by the Company for stockholders other than the Holders) any of its equity securities, the Company shall, at such time, promptly give the Holder notice of such registration. Upon the request of the Holder given within thirty (30) days after such notice is given by the Company, the Company shall cause to be registered all of the Warrant Shares that the Holder has requested to be included in such registration. The Company shall have the right to terminate or withdraw any registration initiated by it under this </w:t>
      </w:r>
      <w:r>
        <w:rPr>
          <w:rFonts w:ascii="Times New Roman;sans-serif" w:hAnsi="Times New Roman;sans-serif"/>
          <w:b/>
          <w:color w:val="000000"/>
          <w:sz w:val="24"/>
        </w:rPr>
        <w:t xml:space="preserve">Section 6(a) </w:t>
      </w:r>
      <w:r>
        <w:rPr>
          <w:rFonts w:ascii="Times New Roman;sans-serif" w:hAnsi="Times New Roman;sans-serif"/>
          <w:b w:val="false"/>
          <w:color w:val="000000"/>
          <w:sz w:val="24"/>
        </w:rPr>
        <w:t>before the effective date of such registration, whether or not the Holder has elected to include Warrant Shares in such registration.</w:t>
      </w:r>
    </w:p>
    <w:p>
      <w:pPr>
        <w:pStyle w:val="TextBody"/>
        <w:bidi w:val="0"/>
        <w:spacing w:before="8"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(b)</w:t>
      </w:r>
      <w:r>
        <w:rPr>
          <w:rFonts w:ascii="Times New Roman;sans-serif" w:hAnsi="Times New Roman;sans-serif"/>
          <w:b/>
          <w:color w:val="000000"/>
          <w:sz w:val="24"/>
        </w:rPr>
        <w:t xml:space="preserve">Demand Registration Rights. </w:t>
      </w:r>
      <w:r>
        <w:rPr>
          <w:rFonts w:ascii="Times New Roman;sans-serif" w:hAnsi="Times New Roman;sans-serif"/>
          <w:b w:val="false"/>
          <w:color w:val="000000"/>
          <w:sz w:val="24"/>
        </w:rPr>
        <w:t xml:space="preserve">In addition to the rights set forth in </w:t>
      </w:r>
      <w:r>
        <w:rPr>
          <w:rFonts w:ascii="Times New Roman;sans-serif" w:hAnsi="Times New Roman;sans-serif"/>
          <w:b/>
          <w:color w:val="000000"/>
          <w:sz w:val="24"/>
        </w:rPr>
        <w:t>Section 6(a),</w:t>
      </w:r>
    </w:p>
    <w:p>
      <w:pPr>
        <w:pStyle w:val="TextBody"/>
        <w:bidi w:val="0"/>
        <w:spacing w:lineRule="auto" w:line="240"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Company shall use its commercially reasonable best efforts to remain qualified to register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81050"/>
                <wp:effectExtent l="0" t="0" r="0" b="0"/>
                <wp:wrapNone/>
                <wp:docPr id="24" name="Frame22"/>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val="false"/>
          <w:color w:val="000000"/>
          <w:sz w:val="24"/>
        </w:rPr>
        <w:t>securities under the Securities Act pursuant to a Registration Statement on Form S-3 or any successor form thereto. The Holder shall have the right to request up to three separate registrations of Warrant Shares on Form S-3 (or any similar short form registration statement) (a “</w:t>
      </w:r>
      <w:r>
        <w:rPr>
          <w:rFonts w:ascii="Times New Roman;sans-serif" w:hAnsi="Times New Roman;sans-serif"/>
          <w:b/>
          <w:i/>
          <w:color w:val="000000"/>
          <w:sz w:val="24"/>
        </w:rPr>
        <w:t>Demand Registration</w:t>
      </w:r>
      <w:r>
        <w:rPr>
          <w:color w:val="000000"/>
        </w:rPr>
        <w:t>”</w:t>
      </w:r>
      <w:r>
        <w:rPr>
          <w:rFonts w:ascii="Times New Roman;sans-serif" w:hAnsi="Times New Roman;sans-serif"/>
          <w:b w:val="false"/>
          <w:color w:val="000000"/>
          <w:sz w:val="24"/>
        </w:rPr>
        <w:t>). Each Demand Registration request shall specify the approximate number of Warrant Shares to be registered on the applicable Registration Statement. Upon receipt of a Demand Registration request, the Company shall cause a Registration Statement on Form S-3 (or any successor form) to register that number of Warrant Shares set forth on the Demand Registration request to be filed within thirty (30) days after the date that the initial Demand Registration request is given and shall use its commercially reasonable best efforts to cause such Registration Statement to be declared effective by the SEC as soon as practicable thereafter. The Company shall notify the Holder promptly after the Company receives notice that the Registration Statement has been declared effective or a supplement to any Prospectus forming part of such Registration Statement has been filed. The Company shall notify the Holder of its receipt of any notice of the issuance of any stop order by the SEC suspending the effectiveness of such Registration Statement (or the initiation or threatening of any proceedings for such purpose) and shall use its commercially reasonable best efforts to prevent the issuance of any such stop order or to obtain the withdrawal of such stop order, should it be issued. All expenses of a Demand Registration shall be borne by the Company unless the Demand Registration is withdrawn at the request of the Holder.</w:t>
      </w:r>
    </w:p>
    <w:p>
      <w:pPr>
        <w:pStyle w:val="TextBody"/>
        <w:bidi w:val="0"/>
        <w:spacing w:before="8" w:after="283"/>
        <w:jc w:val="left"/>
        <w:rPr/>
      </w:pPr>
      <w:r>
        <w:rPr/>
      </w:r>
    </w:p>
    <w:p>
      <w:pPr>
        <w:pStyle w:val="TextBody"/>
        <w:bidi w:val="0"/>
        <w:spacing w:lineRule="auto" w:line="240" w:before="1" w:after="283"/>
        <w:ind w:left="0" w:right="0" w:firstLine="720"/>
        <w:jc w:val="left"/>
        <w:rPr/>
      </w:pPr>
      <w:r>
        <w:rPr>
          <w:rFonts w:ascii="Times New Roman;sans-serif" w:hAnsi="Times New Roman;sans-serif"/>
          <w:b w:val="false"/>
          <w:color w:val="000000"/>
          <w:sz w:val="24"/>
        </w:rPr>
        <w:t>(c)</w:t>
      </w:r>
      <w:r>
        <w:rPr>
          <w:rFonts w:ascii="Times New Roman;sans-serif" w:hAnsi="Times New Roman;sans-serif"/>
          <w:b/>
          <w:color w:val="000000"/>
          <w:sz w:val="24"/>
        </w:rPr>
        <w:t>Company Obligations; Cooperation</w:t>
      </w:r>
      <w:r>
        <w:rPr>
          <w:rFonts w:ascii="Times New Roman;sans-serif" w:hAnsi="Times New Roman;sans-serif"/>
          <w:b w:val="false"/>
          <w:color w:val="000000"/>
          <w:sz w:val="24"/>
        </w:rPr>
        <w:t xml:space="preserve">. With respect to any Registration Statement covering any Warrant Shares, the Company shall be responsible for preparing and filing the Registration Statement, keeping such Registration Statement effective for a reasonable amount of time, preparing amendments and supplements to such Registration Statement, and complying with all other legal and regulatory requirements relating to such Registration Statement. The Holder shall reasonably cooperate with the Company with respect to the preparation and filing of any Registration Statement pursuant to which any of its Registrable Securities shall be registered. All expenses associated with a registration under this </w:t>
      </w:r>
      <w:r>
        <w:rPr>
          <w:rFonts w:ascii="Times New Roman;sans-serif" w:hAnsi="Times New Roman;sans-serif"/>
          <w:b/>
          <w:color w:val="000000"/>
          <w:sz w:val="24"/>
        </w:rPr>
        <w:t xml:space="preserve">Section 6 </w:t>
      </w:r>
      <w:r>
        <w:rPr>
          <w:rFonts w:ascii="Times New Roman;sans-serif" w:hAnsi="Times New Roman;sans-serif"/>
          <w:b w:val="false"/>
          <w:color w:val="000000"/>
          <w:sz w:val="24"/>
        </w:rPr>
        <w:t xml:space="preserve">shall be borne by the Company;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that the Company shall have no obligation to pay for (i) any commissions or transfer taxes of the Holder, or (ii) the fees, disbursements and expenses of any counsel to the Holder.</w:t>
      </w:r>
    </w:p>
    <w:p>
      <w:pPr>
        <w:pStyle w:val="TextBody"/>
        <w:bidi w:val="0"/>
        <w:spacing w:before="5" w:after="283"/>
        <w:jc w:val="left"/>
        <w:rPr/>
      </w:pPr>
      <w:r>
        <w:rPr/>
      </w:r>
    </w:p>
    <w:p>
      <w:pPr>
        <w:pStyle w:val="TextBody"/>
        <w:bidi w:val="0"/>
        <w:spacing w:lineRule="auto" w:line="240" w:before="0" w:after="0"/>
        <w:ind w:left="0" w:right="0" w:hanging="719"/>
        <w:jc w:val="left"/>
        <w:rPr/>
      </w:pPr>
      <w:r>
        <w:rPr>
          <w:rFonts w:ascii="Times New Roman;sans-serif" w:hAnsi="Times New Roman;sans-serif"/>
          <w:b w:val="false"/>
          <w:color w:val="000000"/>
          <w:sz w:val="24"/>
        </w:rPr>
        <w:t>(d)</w:t>
      </w:r>
      <w:r>
        <w:rPr>
          <w:rFonts w:ascii="Times New Roman;sans-serif" w:hAnsi="Times New Roman;sans-serif"/>
          <w:b/>
          <w:color w:val="000000"/>
          <w:sz w:val="24"/>
        </w:rPr>
        <w:t>Indemnification.</w:t>
      </w:r>
    </w:p>
    <w:p>
      <w:pPr>
        <w:pStyle w:val="TextBody"/>
        <w:bidi w:val="0"/>
        <w:spacing w:lineRule="auto" w:line="240" w:before="233" w:after="283"/>
        <w:ind w:left="0" w:right="0" w:firstLine="1440"/>
        <w:jc w:val="left"/>
        <w:rPr/>
      </w:pPr>
      <w:r>
        <w:rPr>
          <w:rFonts w:ascii="Times New Roman;sans-serif" w:hAnsi="Times New Roman;sans-serif"/>
          <w:b w:val="false"/>
          <w:color w:val="000000"/>
          <w:sz w:val="24"/>
        </w:rPr>
        <w:t xml:space="preserve">(i)To the extent permitted by law, the Company will indemnify and hold harmless the Holder, and the partners, members, officers, directors, and stockholders of the Holder; legal counsel and accountants for the Holder; any underwriter (as defined in the Securities Act) for the Holder (if applicable); and each Person, if any, who controls the Holder or underwriter within the meaning of the Securities Act or the Exchange Act, against any loss, damage, claim or liability, and the Company will pay to each such Holder, underwriter, controlling Person, or other aforementioned Person any legal or other expenses reasonably incurred thereby in connection with investigating or defending any claim or proceeding from which any loss, damage, claim or liability may result, as such expenses are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color w:val="000000"/>
          <w:sz w:val="24"/>
        </w:rPr>
        <w:t xml:space="preserve">Section 6(d)(i) </w:t>
      </w:r>
      <w:r>
        <w:rPr>
          <w:rFonts w:ascii="Times New Roman;sans-serif" w:hAnsi="Times New Roman;sans-serif"/>
          <w:b w:val="false"/>
          <w:color w:val="000000"/>
          <w:sz w:val="24"/>
        </w:rPr>
        <w:t>shall not apply to amounts paid in settlement of any such claim or proceeding if such settlement is effected without the consent of the Company, which consent shall not be unreasonably withheld, nor shall the Company be liable for any loss, damage, claim or liability to the extent arising out of or based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81050"/>
                <wp:effectExtent l="0" t="0" r="0" b="0"/>
                <wp:wrapNone/>
                <wp:docPr id="25" name="Frame23"/>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upon actions or omissions made in reliance upon and in conformity with written information furnished by or on behalf of the Holder, underwriter, controlling Person, or other aforementioned Person expressly for use in connection with such registration.</w:t>
      </w:r>
    </w:p>
    <w:p>
      <w:pPr>
        <w:pStyle w:val="TextBody"/>
        <w:bidi w:val="0"/>
        <w:spacing w:lineRule="auto" w:line="240" w:before="230" w:after="283"/>
        <w:ind w:left="0" w:right="0" w:firstLine="1440"/>
        <w:jc w:val="left"/>
        <w:rPr/>
      </w:pPr>
      <w:r>
        <w:rPr>
          <w:rFonts w:ascii="Times New Roman;sans-serif" w:hAnsi="Times New Roman;sans-serif"/>
          <w:b w:val="false"/>
          <w:color w:val="000000"/>
          <w:sz w:val="24"/>
        </w:rPr>
        <w:t xml:space="preserve">(ii)To the extent permitted by law, the Holder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(if applicable), any other Person selling securities in such registration statement, and any controlling Person of any such underwriter or other Person, against any loss, damage, claim or liability, in each case only to the extent that such loss, damage, claim or liability arises out of or is based upon actions or omissions made in reliance upon and in conformity with written information furnished by or on behalf of the Holder expressly for use in connection with such registration; and the Holder will pay to the Company and each other aforementioned Person any legal or other expenses reasonably incurred thereby in connection with investigating or defending any claim or proceeding from which loss, damage, claim or liability may result, as such expenses are incurred; </w:t>
      </w:r>
      <w:r>
        <w:rPr>
          <w:rFonts w:ascii="Times New Roman;sans-serif" w:hAnsi="Times New Roman;sans-serif"/>
          <w:b w:val="false"/>
          <w:color w:val="000000"/>
          <w:sz w:val="24"/>
          <w:u w:val="single"/>
        </w:rPr>
        <w:t>provided</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however</w:t>
      </w:r>
      <w:r>
        <w:rPr>
          <w:rFonts w:ascii="Times New Roman;sans-serif" w:hAnsi="Times New Roman;sans-serif"/>
          <w:b w:val="false"/>
          <w:color w:val="000000"/>
          <w:sz w:val="24"/>
        </w:rPr>
        <w:t xml:space="preserve">, that the indemnity agreement contained in this </w:t>
      </w:r>
      <w:r>
        <w:rPr>
          <w:rFonts w:ascii="Times New Roman;sans-serif" w:hAnsi="Times New Roman;sans-serif"/>
          <w:b/>
          <w:color w:val="000000"/>
          <w:sz w:val="24"/>
        </w:rPr>
        <w:t xml:space="preserve">Section 6(d)(ii) </w:t>
      </w:r>
      <w:r>
        <w:rPr>
          <w:rFonts w:ascii="Times New Roman;sans-serif" w:hAnsi="Times New Roman;sans-serif"/>
          <w:b w:val="false"/>
          <w:color w:val="000000"/>
          <w:sz w:val="24"/>
        </w:rPr>
        <w:t xml:space="preserve">shall not apply to amounts paid in settlement of any such claim or proceeding if such settlement is effected without the consent of the Holder, which consent shall not be unreasonably withheld; and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u w:val="single"/>
        </w:rPr>
        <w:t>further</w:t>
      </w:r>
      <w:r>
        <w:rPr>
          <w:color w:val="000000"/>
        </w:rPr>
        <w:t xml:space="preserve"> </w:t>
      </w:r>
      <w:r>
        <w:rPr>
          <w:rFonts w:ascii="Times New Roman;sans-serif" w:hAnsi="Times New Roman;sans-serif"/>
          <w:b w:val="false"/>
          <w:color w:val="000000"/>
          <w:sz w:val="24"/>
        </w:rPr>
        <w:t xml:space="preserve">that in no event shall the aggregate amounts payable by the Holder by way of indemnity or contribution under this </w:t>
      </w:r>
      <w:r>
        <w:rPr>
          <w:rFonts w:ascii="Times New Roman;sans-serif" w:hAnsi="Times New Roman;sans-serif"/>
          <w:b/>
          <w:color w:val="000000"/>
          <w:sz w:val="24"/>
        </w:rPr>
        <w:t xml:space="preserve">Section 6(d) </w:t>
      </w:r>
      <w:r>
        <w:rPr>
          <w:rFonts w:ascii="Times New Roman;sans-serif" w:hAnsi="Times New Roman;sans-serif"/>
          <w:b w:val="false"/>
          <w:color w:val="000000"/>
          <w:sz w:val="24"/>
        </w:rPr>
        <w:t>exceed the proceeds from the offering received by the Holder (net of expenses), except in the case of fraud or willful misconduct by the Holder.</w:t>
      </w:r>
    </w:p>
    <w:p>
      <w:pPr>
        <w:pStyle w:val="TextBody"/>
        <w:bidi w:val="0"/>
        <w:spacing w:before="2"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8"/>
        </w:rPr>
        <w:t>(iii)</w:t>
      </w:r>
      <w:r>
        <w:rPr>
          <w:rFonts w:ascii="Times New Roman;sans-serif" w:hAnsi="Times New Roman;sans-serif"/>
          <w:b w:val="false"/>
          <w:color w:val="000000"/>
          <w:sz w:val="24"/>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in defending such claim)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(plus local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 or includes any admission as to fault or culpability or failure to act on the part of an indemnified party</w:t>
      </w:r>
      <w:r>
        <w:rPr>
          <w:rFonts w:ascii="Times New Roman;sans-serif" w:hAnsi="Times New Roman;sans-serif"/>
          <w:b w:val="false"/>
          <w:color w:val="000000"/>
          <w:sz w:val="28"/>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81050"/>
                <wp:effectExtent l="0" t="0" r="0" b="0"/>
                <wp:wrapNone/>
                <wp:docPr id="26" name="Frame2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ind w:left="0" w:right="0" w:firstLine="720"/>
        <w:jc w:val="left"/>
        <w:rPr/>
      </w:pPr>
      <w:r>
        <w:rPr>
          <w:rFonts w:ascii="Times New Roman;sans-serif" w:hAnsi="Times New Roman;sans-serif"/>
          <w:b w:val="false"/>
          <w:color w:val="000000"/>
          <w:sz w:val="24"/>
        </w:rPr>
        <w:t>(e)</w:t>
      </w:r>
      <w:r>
        <w:rPr>
          <w:rFonts w:ascii="Times New Roman;sans-serif" w:hAnsi="Times New Roman;sans-serif"/>
          <w:b/>
          <w:color w:val="000000"/>
          <w:sz w:val="24"/>
        </w:rPr>
        <w:t>Rule 144 Reporting</w:t>
      </w:r>
      <w:r>
        <w:rPr>
          <w:rFonts w:ascii="Times New Roman;sans-serif" w:hAnsi="Times New Roman;sans-serif"/>
          <w:b w:val="false"/>
          <w:color w:val="000000"/>
          <w:sz w:val="24"/>
        </w:rPr>
        <w:t>. With a view to making available to the Holder the benefits of SEC Rule 144 and any other rule or regulation of the SEC that may at any time permit the Holder to sell securities of the Company to the public without registration or pursuant to a registration on Form S-3, the Company shall, so long as the Holder owns any Registrable Securities:</w:t>
      </w:r>
    </w:p>
    <w:p>
      <w:pPr>
        <w:pStyle w:val="TextBody"/>
        <w:bidi w:val="0"/>
        <w:spacing w:before="10" w:after="283"/>
        <w:jc w:val="left"/>
        <w:rPr/>
      </w:pPr>
      <w:r>
        <w:rPr/>
      </w:r>
    </w:p>
    <w:p>
      <w:pPr>
        <w:pStyle w:val="TextBody"/>
        <w:bidi w:val="0"/>
        <w:spacing w:lineRule="auto" w:line="280" w:before="90" w:after="283"/>
        <w:ind w:left="0" w:right="0" w:firstLine="1440"/>
        <w:jc w:val="both"/>
        <w:rPr/>
      </w:pPr>
      <w:r>
        <w:rPr>
          <w:rFonts w:ascii="Times New Roman;sans-serif" w:hAnsi="Times New Roman;sans-serif"/>
          <w:b w:val="false"/>
          <w:color w:val="000000"/>
          <w:sz w:val="24"/>
        </w:rPr>
        <w:t>(i)</w:t>
      </w:r>
      <w:r>
        <w:rPr/>
        <w:drawing>
          <wp:inline distT="0" distB="0" distL="0" distR="0">
            <wp:extent cx="38100" cy="14605"/>
            <wp:effectExtent l="0" t="0" r="0" b="0"/>
            <wp:docPr id="2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3" descr=""/>
                    <pic:cNvPicPr>
                      <a:picLocks noChangeAspect="1" noChangeArrowheads="1"/>
                    </pic:cNvPicPr>
                  </pic:nvPicPr>
                  <pic:blipFill>
                    <a:blip r:embed="rId4"/>
                    <a:stretch>
                      <a:fillRect/>
                    </a:stretch>
                  </pic:blipFill>
                  <pic:spPr bwMode="auto">
                    <a:xfrm>
                      <a:off x="0" y="0"/>
                      <a:ext cx="38100" cy="14605"/>
                    </a:xfrm>
                    <a:prstGeom prst="rect">
                      <a:avLst/>
                    </a:prstGeom>
                  </pic:spPr>
                </pic:pic>
              </a:graphicData>
            </a:graphic>
          </wp:inline>
        </w:drawing>
      </w:r>
      <w:r>
        <w:rPr>
          <w:rFonts w:ascii="Times New Roman;sans-serif" w:hAnsi="Times New Roman;sans-serif"/>
          <w:b w:val="false"/>
          <w:color w:val="000000"/>
          <w:sz w:val="24"/>
        </w:rPr>
        <w:t>make and keep available adequate current public information, as those terms are understood and defined in SEC Rule 144, at all times after the effective date of the registration statement filed by the Company for its initial public offering;</w:t>
      </w:r>
    </w:p>
    <w:p>
      <w:pPr>
        <w:pStyle w:val="TextBody"/>
        <w:bidi w:val="0"/>
        <w:spacing w:before="4" w:after="283"/>
        <w:jc w:val="left"/>
        <w:rPr/>
      </w:pPr>
      <w:r>
        <w:rPr/>
      </w:r>
    </w:p>
    <w:p>
      <w:pPr>
        <w:pStyle w:val="TextBody"/>
        <w:bidi w:val="0"/>
        <w:spacing w:lineRule="auto" w:line="24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(ii)use commercially reasonable efforts to file with the SEC in a timely manner all reports and other documents required of the Company under the Securities Act and the Exchange Act (at any time after the Company has become subject to such reporting requirements); and</w:t>
      </w:r>
    </w:p>
    <w:p>
      <w:pPr>
        <w:pStyle w:val="TextBody"/>
        <w:bidi w:val="0"/>
        <w:spacing w:before="10"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(iii)</w:t>
      </w:r>
      <w:r>
        <w:rPr/>
        <w:drawing>
          <wp:inline distT="0" distB="0" distL="0" distR="0">
            <wp:extent cx="38100" cy="14605"/>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38100" cy="14605"/>
                    </a:xfrm>
                    <a:prstGeom prst="rect">
                      <a:avLst/>
                    </a:prstGeom>
                  </pic:spPr>
                </pic:pic>
              </a:graphicData>
            </a:graphic>
          </wp:inline>
        </w:drawing>
      </w:r>
      <w:r>
        <w:rPr>
          <w:rFonts w:ascii="Times New Roman;sans-serif" w:hAnsi="Times New Roman;sans-serif"/>
          <w:b w:val="false"/>
          <w:color w:val="000000"/>
          <w:sz w:val="24"/>
        </w:rPr>
        <w:t>furnish to the Holder, forthwith upon request (A) to the extent accurate, a written statement by the Company that it qualifies as a registrant whose securities may be resold pursuant to Form S-3; and (B) such other information as may be reasonably requested in availing the Holder of any rule or regulation of the SEC that permits the selling of any such securities without registration or pursuant to Form S-3.</w:t>
      </w:r>
    </w:p>
    <w:p>
      <w:pPr>
        <w:pStyle w:val="TextBody"/>
        <w:bidi w:val="0"/>
        <w:spacing w:before="8" w:after="283"/>
        <w:jc w:val="left"/>
        <w:rPr/>
      </w:pPr>
      <w:r>
        <w:rPr/>
      </w:r>
    </w:p>
    <w:p>
      <w:pPr>
        <w:pStyle w:val="TextBody"/>
        <w:bidi w:val="0"/>
        <w:spacing w:lineRule="auto" w:line="280" w:before="0" w:after="0"/>
        <w:ind w:left="0" w:right="0" w:firstLine="720"/>
        <w:jc w:val="left"/>
        <w:rPr/>
      </w:pPr>
      <w:r>
        <w:rPr>
          <w:rFonts w:ascii="Times New Roman;sans-serif" w:hAnsi="Times New Roman;sans-serif"/>
          <w:b w:val="false"/>
          <w:color w:val="000000"/>
          <w:sz w:val="24"/>
        </w:rPr>
        <w:t>(f)</w:t>
      </w:r>
      <w:r>
        <w:rPr>
          <w:rFonts w:ascii="Times New Roman;sans-serif" w:hAnsi="Times New Roman;sans-serif"/>
          <w:b/>
          <w:color w:val="000000"/>
          <w:sz w:val="24"/>
        </w:rPr>
        <w:t>No Underwritten Offerings</w:t>
      </w:r>
      <w:r>
        <w:rPr>
          <w:rFonts w:ascii="Times New Roman;sans-serif" w:hAnsi="Times New Roman;sans-serif"/>
          <w:b w:val="false"/>
          <w:color w:val="000000"/>
          <w:sz w:val="24"/>
        </w:rPr>
        <w:t>. Notwithstanding anything herein to the contrary, in no event shall Warrant Shares be offered and sold pursuant to any Registration Statement and Prospectus pursuant an underwritten offering without the prior written consent of the Company in its sole discretion.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50" w:after="283"/>
        <w:jc w:val="left"/>
        <w:rPr/>
      </w:pPr>
      <w:r>
        <w:rPr>
          <w:rFonts w:ascii="Times New Roman;sans-serif" w:hAnsi="Times New Roman;sans-serif"/>
          <w:b/>
          <w:color w:val="000000"/>
          <w:sz w:val="24"/>
        </w:rPr>
        <w:t>Section 7.    Warrant Register</w:t>
      </w:r>
      <w:r>
        <w:rPr>
          <w:rFonts w:ascii="Times New Roman;sans-serif" w:hAnsi="Times New Roman;sans-serif"/>
          <w:b w:val="false"/>
          <w:color w:val="000000"/>
          <w:sz w:val="24"/>
        </w:rPr>
        <w:t>. The Company shall keep and properly maintain at its principal executive offices a register (the “</w:t>
      </w:r>
      <w:r>
        <w:rPr>
          <w:rFonts w:ascii="Times New Roman;sans-serif" w:hAnsi="Times New Roman;sans-serif"/>
          <w:b/>
          <w:i/>
          <w:color w:val="000000"/>
          <w:sz w:val="24"/>
        </w:rPr>
        <w:t>Warrant Register</w:t>
      </w:r>
      <w:r>
        <w:rPr>
          <w:color w:val="000000"/>
        </w:rPr>
        <w:t>”</w:t>
      </w:r>
      <w:r>
        <w:rPr>
          <w:rFonts w:ascii="Times New Roman;sans-serif" w:hAnsi="Times New Roman;sans-serif"/>
          <w:b w:val="false"/>
          <w:color w:val="000000"/>
          <w:sz w:val="24"/>
        </w:rPr>
        <w:t>) for the registration of this Warrant Certificate and any transfers thereof. The Company may deem and treat the Person in whose name this Warrant Certificate is registered on such register as the Holder thereof for all purposes, and the Company shall not be affected by any notice to the contrary, except any assignment, division, combination or other transfer of this Warrant Certificate effected in accordance with the provisions of this Warrant Certificate.</w:t>
      </w:r>
    </w:p>
    <w:p>
      <w:pPr>
        <w:pStyle w:val="TextBody"/>
        <w:bidi w:val="0"/>
        <w:spacing w:before="7" w:after="283"/>
        <w:jc w:val="left"/>
        <w:rPr/>
      </w:pPr>
      <w:r>
        <w:rPr/>
      </w:r>
    </w:p>
    <w:p>
      <w:pPr>
        <w:pStyle w:val="TextBody"/>
        <w:bidi w:val="0"/>
        <w:spacing w:lineRule="auto" w:line="240" w:before="1" w:after="283"/>
        <w:jc w:val="left"/>
        <w:rPr/>
      </w:pPr>
      <w:r>
        <w:rPr>
          <w:rFonts w:ascii="Times New Roman;sans-serif" w:hAnsi="Times New Roman;sans-serif"/>
          <w:b/>
          <w:color w:val="000000"/>
          <w:sz w:val="24"/>
        </w:rPr>
        <w:t>Section 8.    Transfer of Warrant Certificate</w:t>
      </w:r>
      <w:r>
        <w:rPr>
          <w:rFonts w:ascii="Times New Roman;sans-serif" w:hAnsi="Times New Roman;sans-serif"/>
          <w:b w:val="false"/>
          <w:color w:val="000000"/>
          <w:sz w:val="24"/>
        </w:rPr>
        <w:t xml:space="preserve">. Subject to </w:t>
      </w:r>
      <w:r>
        <w:rPr>
          <w:rFonts w:ascii="Times New Roman;sans-serif" w:hAnsi="Times New Roman;sans-serif"/>
          <w:b/>
          <w:color w:val="000000"/>
          <w:sz w:val="24"/>
        </w:rPr>
        <w:t xml:space="preserve">Section 12 </w:t>
      </w:r>
      <w:r>
        <w:rPr>
          <w:rFonts w:ascii="Times New Roman;sans-serif" w:hAnsi="Times New Roman;sans-serif"/>
          <w:b w:val="false"/>
          <w:color w:val="000000"/>
          <w:sz w:val="24"/>
        </w:rPr>
        <w:t xml:space="preserve">hereof, this Warrant Certificate and all rights hereunder are transferable, in whole or in part, by the Holder without charge to the Holder, upon surrender of this Warrant Certificate to the Company at its then principal executive offices with a properly completed and duly executed Assignment in the form attached hereto as </w:t>
      </w:r>
      <w:r>
        <w:rPr>
          <w:rFonts w:ascii="Times New Roman;sans-serif" w:hAnsi="Times New Roman;sans-serif"/>
          <w:b/>
          <w:color w:val="000000"/>
          <w:sz w:val="24"/>
        </w:rPr>
        <w:t>Exhibit B</w:t>
      </w:r>
      <w:r>
        <w:rPr>
          <w:rFonts w:ascii="Times New Roman;sans-serif" w:hAnsi="Times New Roman;sans-serif"/>
          <w:b w:val="false"/>
          <w:color w:val="000000"/>
          <w:sz w:val="24"/>
        </w:rPr>
        <w:t>. Upon such compliance, surrender and delivery, the Company shall execute and deliver a new Warrant Certificate or Warrant Certificates in the name of the assignee or assignees and in the denominations specified in such instrument of assignment, and shall issue to the assignor a new Warrant Certificate evidencing the portion of this Warrant Certificate, if any, not so assigned and this Warrant Certificate shall promptly be cancelled.</w:t>
      </w:r>
    </w:p>
    <w:p>
      <w:pPr>
        <w:pStyle w:val="TextBody"/>
        <w:bidi w:val="0"/>
        <w:spacing w:before="3" w:after="283"/>
        <w:jc w:val="left"/>
        <w:rPr/>
      </w:pPr>
      <w:r>
        <w:rPr/>
      </w:r>
    </w:p>
    <w:p>
      <w:pPr>
        <w:pStyle w:val="TextBody"/>
        <w:bidi w:val="0"/>
        <w:spacing w:lineRule="auto" w:line="276" w:before="0" w:after="0"/>
        <w:jc w:val="left"/>
        <w:rPr/>
      </w:pPr>
      <w:r>
        <w:rPr>
          <w:rFonts w:ascii="Times New Roman;sans-serif" w:hAnsi="Times New Roman;sans-serif"/>
          <w:b/>
          <w:color w:val="000000"/>
          <w:sz w:val="24"/>
        </w:rPr>
        <w:t>Section 9.    The Holder Not Deemed a Stockholder; Limitations on Liability</w:t>
      </w:r>
      <w:r>
        <w:rPr>
          <w:rFonts w:ascii="Times New Roman;sans-serif" w:hAnsi="Times New Roman;sans-serif"/>
          <w:b w:val="false"/>
          <w:color w:val="000000"/>
          <w:sz w:val="24"/>
        </w:rPr>
        <w:t>. Except as otherwise specifically provided herein, prior to the issuance to the Holder of the Warrant Shares</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81050"/>
                <wp:effectExtent l="0" t="0" r="0" b="0"/>
                <wp:wrapNone/>
                <wp:docPr id="29" name="Frame2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val="false"/>
          <w:color w:val="000000"/>
          <w:sz w:val="24"/>
        </w:rPr>
        <w:t xml:space="preserve">to which the Holder is then entitled to receive upon the due exercise of this Warrant Certificate, the Holder shall not be entitled to vote or receive dividends or be deemed the holder of shares of capital stock of the Company for any purpose, nor shall anything contained in this Warrant Certificate be construed to confer upon the Holder, as such,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In addition, nothing contained in this Warrant Certificate shall be construed as imposing any liabilities on the Holder to purchase any securities (upon exercise of this Warrant Certificate or otherwise) or as a stockholder of the Company, whether such liabilities are asserted by the Company or by creditors of the Company. Notwithstanding this </w:t>
      </w:r>
      <w:r>
        <w:rPr>
          <w:rFonts w:ascii="Times New Roman;sans-serif" w:hAnsi="Times New Roman;sans-serif"/>
          <w:b/>
          <w:color w:val="000000"/>
          <w:sz w:val="24"/>
        </w:rPr>
        <w:t>Section 9</w:t>
      </w:r>
      <w:r>
        <w:rPr>
          <w:rFonts w:ascii="Times New Roman;sans-serif" w:hAnsi="Times New Roman;sans-serif"/>
          <w:b w:val="false"/>
          <w:color w:val="000000"/>
          <w:sz w:val="24"/>
        </w:rPr>
        <w:t>, the Company shall provide the Holder with copies of the same notices and other information given to the stockholders of the Company generally, contemporaneously with the giving thereof to the stockholders.</w:t>
      </w:r>
    </w:p>
    <w:p>
      <w:pPr>
        <w:pStyle w:val="TextBody"/>
        <w:bidi w:val="0"/>
        <w:spacing w:before="4"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10.    Replacement on Loss; Division and Combination</w:t>
      </w:r>
      <w:r>
        <w:rPr>
          <w:rFonts w:ascii="Times New Roman;sans-serif" w:hAnsi="Times New Roman;sans-serif"/>
          <w:b w:val="false"/>
          <w:color w:val="000000"/>
          <w:sz w:val="24"/>
        </w:rPr>
        <w:t>.</w:t>
      </w:r>
    </w:p>
    <w:p>
      <w:pPr>
        <w:pStyle w:val="TextBody"/>
        <w:bidi w:val="0"/>
        <w:spacing w:lineRule="auto" w:line="240" w:before="233" w:after="283"/>
        <w:ind w:left="0" w:right="0" w:firstLine="720"/>
        <w:jc w:val="left"/>
        <w:rPr/>
      </w:pPr>
      <w:r>
        <w:rPr>
          <w:rFonts w:ascii="Times New Roman;sans-serif" w:hAnsi="Times New Roman;sans-serif"/>
          <w:b w:val="false"/>
          <w:color w:val="000000"/>
          <w:sz w:val="24"/>
        </w:rPr>
        <w:t>(a)</w:t>
      </w:r>
      <w:r>
        <w:rPr>
          <w:rFonts w:ascii="Times New Roman;sans-serif" w:hAnsi="Times New Roman;sans-serif"/>
          <w:b/>
          <w:color w:val="000000"/>
          <w:sz w:val="24"/>
        </w:rPr>
        <w:t>Replacement of Warrant Certificate on Loss</w:t>
      </w:r>
      <w:r>
        <w:rPr>
          <w:rFonts w:ascii="Times New Roman;sans-serif" w:hAnsi="Times New Roman;sans-serif"/>
          <w:b w:val="false"/>
          <w:color w:val="000000"/>
          <w:sz w:val="24"/>
        </w:rPr>
        <w:t xml:space="preserve">. Upon receipt of evidence reasonably satisfactory to the Company of the loss, theft, destruction or mutilation of this Warrant Certificate and upon delivery of an indemnity reasonably satisfactory to it (it being understood that a written indemnification agreement or affidavit of loss of the Holder shall be a sufficient indemnity) and, in case of mutilation, upon surrender of such Warrant Certificate for cancellation to the Company, the Company at its own expense shall execute and deliver to the Holder, in lieu hereof, a new Warrant Certificate of like tenor and exercisable for an equivalent number of Warrant Shares as this Warrant Certificate so lost, stolen, mutilated or destroyed; </w:t>
      </w:r>
      <w:r>
        <w:rPr>
          <w:rFonts w:ascii="Times New Roman;sans-serif" w:hAnsi="Times New Roman;sans-serif"/>
          <w:b w:val="false"/>
          <w:color w:val="000000"/>
          <w:sz w:val="24"/>
          <w:u w:val="single"/>
        </w:rPr>
        <w:t>provided</w:t>
      </w:r>
      <w:r>
        <w:rPr>
          <w:color w:val="000000"/>
        </w:rPr>
        <w:t xml:space="preserve"> </w:t>
      </w:r>
      <w:r>
        <w:rPr>
          <w:rFonts w:ascii="Times New Roman;sans-serif" w:hAnsi="Times New Roman;sans-serif"/>
          <w:b w:val="false"/>
          <w:color w:val="000000"/>
          <w:sz w:val="24"/>
        </w:rPr>
        <w:t>that, in the case of mutilation, no indemnity shall be required if this Warrant Certificate in identifiable form is surrendered to the Company for cancellation.</w:t>
      </w:r>
    </w:p>
    <w:p>
      <w:pPr>
        <w:pStyle w:val="TextBody"/>
        <w:bidi w:val="0"/>
        <w:spacing w:before="10" w:after="283"/>
        <w:jc w:val="left"/>
        <w:rPr/>
      </w:pPr>
      <w:r>
        <w:rPr/>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Division and Combination of Warrant Certificate</w:t>
      </w:r>
      <w:r>
        <w:rPr>
          <w:rFonts w:ascii="Times New Roman;sans-serif" w:hAnsi="Times New Roman;sans-serif"/>
          <w:b w:val="false"/>
          <w:color w:val="000000"/>
          <w:sz w:val="24"/>
        </w:rPr>
        <w:t>. Subject to compliance with the applicable provisions of this Warrant Certificate as to any transfer or other assignment which may be involved in such division or combination, this Warrant Certificate may be divided or, following any such division of this Warrant Certificate, subsequently combined with other Warrant Certificates, upon the surrender of this Warrant Certificate or Warrant Certificates to the Company at its then principal executive offices, together with a written notice specifying the names and denominations in which new Warrant Certificates are to be issued, signed by the respective Holders or their agents or attorneys. Subject to compliance with the applicable provisions of this Warrant Certificate as to any transfer or assignment which may be involved in such division or combination, the Company shall at its own expense execute and deliver a new Warrant Certificate or Warrant Certificates in exchange for this Warrant Certificate or Warrant Certificates so surrendered in accordance with such notice. Such new Warrant Certificate or Warrant Certificates shall be of like tenor to the surrendered Warrant Certificate or Warrant Certificates and shall be exercisable in the aggregate for an equivalent number of Warrant Shares as this Warrant Certificate or Warrant Certificates so surrendered in accordance with such notice.</w:t>
      </w:r>
    </w:p>
    <w:p>
      <w:pPr>
        <w:pStyle w:val="TextBody"/>
        <w:bidi w:val="0"/>
        <w:spacing w:before="1"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11.    No Impairment</w:t>
      </w:r>
      <w:r>
        <w:rPr>
          <w:rFonts w:ascii="Times New Roman;sans-serif" w:hAnsi="Times New Roman;sans-serif"/>
          <w:b w:val="false"/>
          <w:color w:val="000000"/>
          <w:sz w:val="24"/>
        </w:rPr>
        <w:t>. The Company shall not, by amendment of its Certificate of Incorporation or Bylaws, through any shareholders, voting or similar agreement, or through any reorganization, transfer of assets, consolidation, merger, dissolution, issue or sale of securities, or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81050"/>
                <wp:effectExtent l="0" t="0" r="0" b="0"/>
                <wp:wrapNone/>
                <wp:docPr id="30" name="Frame2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any other voluntary action, avoid or seek to avoid the observance or performance of any of the terms to be observed or performed by it hereunder, but shall at all times in good faith assist in the carrying out of all the provisions of this Warrant Certificate and in the taking of all such action as may reasonably be requested by the Holder in order to protect the exercise rights of the Holder against dilution or other impairment, consistent with the tenor and purpose of this Warrant Certificate.</w:t>
      </w:r>
    </w:p>
    <w:p>
      <w:pPr>
        <w:pStyle w:val="TextBody"/>
        <w:bidi w:val="0"/>
        <w:spacing w:before="4"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12.    Compliance with the Securities Act</w:t>
      </w:r>
      <w:r>
        <w:rPr>
          <w:rFonts w:ascii="Times New Roman;sans-serif" w:hAnsi="Times New Roman;sans-serif"/>
          <w:b w:val="false"/>
          <w:color w:val="000000"/>
          <w:sz w:val="24"/>
        </w:rPr>
        <w:t>.</w:t>
      </w:r>
    </w:p>
    <w:p>
      <w:pPr>
        <w:pStyle w:val="TextBody"/>
        <w:bidi w:val="0"/>
        <w:spacing w:before="7" w:after="283"/>
        <w:jc w:val="left"/>
        <w:rPr/>
      </w:pPr>
      <w:r>
        <w:rPr/>
      </w:r>
    </w:p>
    <w:p>
      <w:pPr>
        <w:pStyle w:val="TextBody"/>
        <w:bidi w:val="0"/>
        <w:spacing w:lineRule="auto" w:line="240" w:before="1" w:after="283"/>
        <w:ind w:left="0" w:right="0" w:hanging="719"/>
        <w:jc w:val="left"/>
        <w:rPr/>
      </w:pPr>
      <w:r>
        <w:rPr>
          <w:rFonts w:ascii="Times New Roman;sans-serif" w:hAnsi="Times New Roman;sans-serif"/>
          <w:b w:val="false"/>
          <w:color w:val="000000"/>
          <w:sz w:val="24"/>
        </w:rPr>
        <w:t>(a)</w:t>
      </w:r>
      <w:r>
        <w:rPr>
          <w:rFonts w:ascii="Times New Roman;sans-serif" w:hAnsi="Times New Roman;sans-serif"/>
          <w:b/>
          <w:color w:val="000000"/>
          <w:sz w:val="24"/>
        </w:rPr>
        <w:t>Agreement to Comply with the Securities Act, etc.</w:t>
      </w:r>
    </w:p>
    <w:p>
      <w:pPr>
        <w:pStyle w:val="TextBody"/>
        <w:bidi w:val="0"/>
        <w:spacing w:before="7"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w:t>
      </w:r>
      <w:r>
        <w:rPr>
          <w:rFonts w:ascii="Times New Roman;sans-serif" w:hAnsi="Times New Roman;sans-serif"/>
          <w:b/>
          <w:color w:val="000000"/>
          <w:sz w:val="24"/>
        </w:rPr>
        <w:t>Legend</w:t>
      </w:r>
      <w:r>
        <w:rPr>
          <w:rFonts w:ascii="Times New Roman;sans-serif" w:hAnsi="Times New Roman;sans-serif"/>
          <w:b w:val="false"/>
          <w:color w:val="000000"/>
          <w:sz w:val="24"/>
        </w:rPr>
        <w:t xml:space="preserve">. The Holder, by acceptance of this Warrant Certificate, agrees to comply in all respects with the provisions of this </w:t>
      </w:r>
      <w:r>
        <w:rPr>
          <w:rFonts w:ascii="Times New Roman;sans-serif" w:hAnsi="Times New Roman;sans-serif"/>
          <w:b/>
          <w:color w:val="000000"/>
          <w:sz w:val="24"/>
        </w:rPr>
        <w:t xml:space="preserve">Section 12 </w:t>
      </w:r>
      <w:r>
        <w:rPr>
          <w:rFonts w:ascii="Times New Roman;sans-serif" w:hAnsi="Times New Roman;sans-serif"/>
          <w:b w:val="false"/>
          <w:color w:val="000000"/>
          <w:sz w:val="24"/>
        </w:rPr>
        <w:t xml:space="preserve">and the restrictive legend requirements set forth on the face of this Warrant Certificate and further agrees that such Holder shall not offer, sell or otherwise dispose of this Warrant Certificate or any Warrant Shares to be issued upon exercise hereof except under circumstances that will not result in a violation of the Securities Act. Subject to </w:t>
      </w:r>
      <w:r>
        <w:rPr>
          <w:rFonts w:ascii="Times New Roman;sans-serif" w:hAnsi="Times New Roman;sans-serif"/>
          <w:b/>
          <w:color w:val="000000"/>
          <w:sz w:val="24"/>
        </w:rPr>
        <w:t xml:space="preserve">clause (ii) </w:t>
      </w:r>
      <w:r>
        <w:rPr>
          <w:rFonts w:ascii="Times New Roman;sans-serif" w:hAnsi="Times New Roman;sans-serif"/>
          <w:b w:val="false"/>
          <w:color w:val="000000"/>
          <w:sz w:val="24"/>
        </w:rPr>
        <w:t>below, this Warrant Certificate and all Warrant Shares issued upon exercise of this Warrant Certificate (unless registered under the Securities Act) shall be stamped or imprinted with a legend in substantially the following form:</w:t>
      </w:r>
    </w:p>
    <w:p>
      <w:pPr>
        <w:pStyle w:val="TextBody"/>
        <w:bidi w:val="0"/>
        <w:spacing w:before="10" w:after="283"/>
        <w:jc w:val="left"/>
        <w:rPr/>
      </w:pPr>
      <w:r>
        <w:rPr/>
      </w:r>
    </w:p>
    <w:p>
      <w:pPr>
        <w:pStyle w:val="TextBody"/>
        <w:bidi w:val="0"/>
        <w:spacing w:lineRule="auto" w:line="240" w:before="0" w:after="0"/>
        <w:jc w:val="both"/>
        <w:rPr/>
      </w:pPr>
      <w:r>
        <w:rPr>
          <w:color w:val="000000"/>
        </w:rPr>
        <w:t>“</w:t>
      </w:r>
      <w:r>
        <w:rPr>
          <w:rFonts w:ascii="Times New Roman;sans-serif" w:hAnsi="Times New Roman;sans-serif"/>
          <w:b w:val="false"/>
          <w:color w:val="000000"/>
          <w:sz w:val="24"/>
        </w:rPr>
        <w:t>THIS WARRANT CERTIFICATE AND THE SECURITIES ISSUABLE UPON EXERCISE OF THIS WARRANT CERTIFICATE HAVE NOT BEEN REGISTERED UNDER THE SECURITIES ACT OF 1933, AS AMENDED (THE “</w:t>
      </w:r>
      <w:r>
        <w:rPr>
          <w:rFonts w:ascii="Times New Roman;sans-serif" w:hAnsi="Times New Roman;sans-serif"/>
          <w:b/>
          <w:i/>
          <w:color w:val="000000"/>
          <w:sz w:val="24"/>
        </w:rPr>
        <w:t>ACT</w:t>
      </w:r>
      <w:r>
        <w:rPr>
          <w:color w:val="000000"/>
        </w:rPr>
        <w:t>”</w:t>
      </w:r>
      <w:r>
        <w:rPr>
          <w:rFonts w:ascii="Times New Roman;sans-serif" w:hAnsi="Times New Roman;sans-serif"/>
          <w:b w:val="false"/>
          <w:color w:val="000000"/>
          <w:sz w:val="24"/>
        </w:rPr>
        <w:t>), OR QUALIFIED UNDER ANY STATE OR FOREIGN SECURITIES LAWS AND MAY NOT BE OFFERED FOR SALE, SOLD, PLEDGED, HYPOTHECATED OR OTHERWISE TRANSFERRED OR ASSIGNED UNLESS (I) A REGISTRATION STATEMENT COVERING SUCH SECURITIES IS EFFECTIVE UNDER THE ACT AND IS QUALIFIED UNDER APPLICABLE STATE AND FOREIGN LAW OR (II) THE TRANSACTION IS EXEMPT FROM THE REGISTRATION AND PROSPECTUS DELIVERY REQUIREMENTS UNDER THE ACT AND THE QUALIFICATION REQUIREMENTS UNDER APPLICABLE STATE AND FOREIGN LAW AND, IF THE COMPANY REQUESTS, AN OPINION SATISFACTORY TO THE COMPANY TO SUCH EFFECT HAS BEEN RENDERED BY COUNSEL.”</w:t>
      </w:r>
    </w:p>
    <w:p>
      <w:pPr>
        <w:pStyle w:val="TextBody"/>
        <w:bidi w:val="0"/>
        <w:spacing w:before="11"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(ii)</w:t>
      </w:r>
      <w:r>
        <w:rPr>
          <w:rFonts w:ascii="Times New Roman;sans-serif" w:hAnsi="Times New Roman;sans-serif"/>
          <w:b/>
          <w:color w:val="000000"/>
          <w:sz w:val="24"/>
        </w:rPr>
        <w:t>Removal of Restrictive Legends</w:t>
      </w:r>
      <w:r>
        <w:rPr>
          <w:rFonts w:ascii="Times New Roman;sans-serif" w:hAnsi="Times New Roman;sans-serif"/>
          <w:b w:val="false"/>
          <w:color w:val="000000"/>
          <w:sz w:val="24"/>
        </w:rPr>
        <w:t xml:space="preserve">. Neither this Warrant Certificate nor any certificates evidencing Warrant Shares or any other shares of Common Stock issuable or deliverable under or in connection with this Warrant Certificate shall contain any legend restricting the transfer thereof (including the legend set forth above in </w:t>
      </w:r>
      <w:r>
        <w:rPr>
          <w:rFonts w:ascii="Times New Roman;sans-serif" w:hAnsi="Times New Roman;sans-serif"/>
          <w:b/>
          <w:color w:val="000000"/>
          <w:sz w:val="24"/>
        </w:rPr>
        <w:t>clause (i)</w:t>
      </w:r>
      <w:r>
        <w:rPr>
          <w:rFonts w:ascii="Times New Roman;sans-serif" w:hAnsi="Times New Roman;sans-serif"/>
          <w:b w:val="false"/>
          <w:color w:val="000000"/>
          <w:sz w:val="24"/>
        </w:rPr>
        <w:t>) in any of the following circumstances: (A) while a Registration Statement covering the sale or resale of Warrant Shares is effective under the Securities Act, (B) following any sale of this Warrant Certificate, any Warrant Shares or any other shares of Common Stock issued or delivered to the Holder under or in connection here with pursuant to SEC Rule 144, (C) if this Warrant Certificate, Warrant Shares or any other such share of Common Stock are eligible for sale under SEC Rule 144(b)(1), or (D) if such legend is not required under applicable requirements of the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1050"/>
                <wp:effectExtent l="0" t="0" r="0" b="0"/>
                <wp:wrapNone/>
                <wp:docPr id="31" name="Frame2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pPr>
      <w:r>
        <w:rPr>
          <w:rFonts w:ascii="Times New Roman;sans-serif" w:hAnsi="Times New Roman;sans-serif"/>
          <w:b w:val="false"/>
          <w:color w:val="000000"/>
          <w:sz w:val="24"/>
        </w:rPr>
        <w:t>Securities Act (including judicial interpretations and pronouncements issued by the staff of the SEC) (collectively, the “</w:t>
      </w:r>
      <w:r>
        <w:rPr>
          <w:rFonts w:ascii="Times New Roman;sans-serif" w:hAnsi="Times New Roman;sans-serif"/>
          <w:b/>
          <w:i/>
          <w:color w:val="000000"/>
          <w:sz w:val="24"/>
        </w:rPr>
        <w:t>Unrestricted Conditions</w:t>
      </w:r>
      <w:r>
        <w:rPr>
          <w:color w:val="000000"/>
        </w:rPr>
        <w:t>”</w:t>
      </w:r>
      <w:r>
        <w:rPr>
          <w:rFonts w:ascii="Times New Roman;sans-serif" w:hAnsi="Times New Roman;sans-serif"/>
          <w:b w:val="false"/>
          <w:color w:val="000000"/>
          <w:sz w:val="24"/>
        </w:rPr>
        <w:t>). The Company shall cause its counsel to issue a legal opinion to the Transfer Agent if required by such Transfer Agent to effect the issuance of Warrant Shares or any other shares of equity securities issuable or deliverable under or in connection with this Warrant Certificate, as applicable, without a restrictive legend or removal of the legend hereunder. If the Unrestricted Conditions are met at the time of issuance of this Warrant Certificate, the Warrant Shares or such other shares of equity securities, then this Warrant Certificate, Warrant Shares or other equity securities, as the case may be, shall be issued free of all legends.</w:t>
      </w:r>
    </w:p>
    <w:p>
      <w:pPr>
        <w:pStyle w:val="TextBody"/>
        <w:bidi w:val="0"/>
        <w:spacing w:before="8"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(iii)</w:t>
      </w:r>
      <w:r>
        <w:rPr>
          <w:rFonts w:ascii="Times New Roman;sans-serif" w:hAnsi="Times New Roman;sans-serif"/>
          <w:b/>
          <w:color w:val="000000"/>
          <w:sz w:val="24"/>
        </w:rPr>
        <w:t>Replacement Warrant Certificate</w:t>
      </w:r>
      <w:r>
        <w:rPr>
          <w:rFonts w:ascii="Times New Roman;sans-serif" w:hAnsi="Times New Roman;sans-serif"/>
          <w:b w:val="false"/>
          <w:color w:val="000000"/>
          <w:sz w:val="24"/>
        </w:rPr>
        <w:t>. The Company agrees that at such time as the Unrestricted Conditions have been satisfied it shall promptly (but in any event within five (5) Business Days) following written request from the Holder issue a replacement Warrant Certificate or replacement Warrant Shares or replacement shares in respect of such other Common Stock, as the case may be, free of all restrictive legends.</w:t>
      </w:r>
    </w:p>
    <w:p>
      <w:pPr>
        <w:pStyle w:val="TextBody"/>
        <w:bidi w:val="0"/>
        <w:spacing w:before="1" w:after="283"/>
        <w:jc w:val="left"/>
        <w:rPr/>
      </w:pPr>
      <w:r>
        <w:rPr/>
      </w:r>
    </w:p>
    <w:p>
      <w:pPr>
        <w:pStyle w:val="TextBody"/>
        <w:bidi w:val="0"/>
        <w:spacing w:lineRule="auto" w:line="240" w:before="0" w:after="0"/>
        <w:ind w:left="0" w:right="0" w:firstLine="1440"/>
        <w:jc w:val="left"/>
        <w:rPr/>
      </w:pPr>
      <w:r>
        <w:rPr>
          <w:rFonts w:ascii="Times New Roman;sans-serif" w:hAnsi="Times New Roman;sans-serif"/>
          <w:b w:val="false"/>
          <w:color w:val="000000"/>
          <w:sz w:val="24"/>
        </w:rPr>
        <w:t>(iv)</w:t>
      </w:r>
      <w:r>
        <w:rPr>
          <w:rFonts w:ascii="Times New Roman;sans-serif" w:hAnsi="Times New Roman;sans-serif"/>
          <w:b/>
          <w:color w:val="000000"/>
          <w:sz w:val="24"/>
        </w:rPr>
        <w:t>Sale of Unlegended Shares</w:t>
      </w:r>
      <w:r>
        <w:rPr>
          <w:rFonts w:ascii="Times New Roman;sans-serif" w:hAnsi="Times New Roman;sans-serif"/>
          <w:b w:val="false"/>
          <w:color w:val="000000"/>
          <w:sz w:val="24"/>
        </w:rPr>
        <w:t xml:space="preserve">. The Holder agrees that the removal of the restrictive legend from this Warrant Certificate and any certificates representing securities as set forth in </w:t>
      </w:r>
      <w:r>
        <w:rPr>
          <w:rFonts w:ascii="Times New Roman;sans-serif" w:hAnsi="Times New Roman;sans-serif"/>
          <w:b/>
          <w:color w:val="000000"/>
          <w:sz w:val="24"/>
        </w:rPr>
        <w:t xml:space="preserve">Section 12(a)(ii) </w:t>
      </w:r>
      <w:r>
        <w:rPr>
          <w:rFonts w:ascii="Times New Roman;sans-serif" w:hAnsi="Times New Roman;sans-serif"/>
          <w:b w:val="false"/>
          <w:color w:val="000000"/>
          <w:sz w:val="24"/>
        </w:rPr>
        <w:t>above is predicated upon the Company’s reliance that the Holder will sell this Warrant Certificate or any such securities pursuant to either an effective Registration Statement or otherwise pursuant to the requirements of the Securities Act, including any applicable prospectus delivery requirements, or an exemption therefrom, and that if such securities are sold pursuant to a Registration Statement, they will be sold in compliance with the plan of distribution set forth therein.</w:t>
      </w:r>
    </w:p>
    <w:p>
      <w:pPr>
        <w:pStyle w:val="TextBody"/>
        <w:bidi w:val="0"/>
        <w:spacing w:before="10" w:after="283"/>
        <w:jc w:val="left"/>
        <w:rPr/>
      </w:pPr>
      <w:r>
        <w:rPr/>
      </w:r>
    </w:p>
    <w:p>
      <w:pPr>
        <w:pStyle w:val="TextBody"/>
        <w:bidi w:val="0"/>
        <w:spacing w:lineRule="auto" w:line="280" w:before="1" w:after="283"/>
        <w:ind w:left="0" w:right="0" w:firstLine="720"/>
        <w:jc w:val="left"/>
        <w:rPr/>
      </w:pPr>
      <w:r>
        <w:rPr>
          <w:rFonts w:ascii="Times New Roman;sans-serif" w:hAnsi="Times New Roman;sans-serif"/>
          <w:b w:val="false"/>
          <w:color w:val="000000"/>
          <w:sz w:val="24"/>
        </w:rPr>
        <w:t>(b)</w:t>
      </w:r>
      <w:r>
        <w:rPr>
          <w:rFonts w:ascii="Times New Roman;sans-serif" w:hAnsi="Times New Roman;sans-serif"/>
          <w:b/>
          <w:color w:val="000000"/>
          <w:sz w:val="24"/>
        </w:rPr>
        <w:t>Representations of the Holder</w:t>
      </w:r>
      <w:r>
        <w:rPr>
          <w:rFonts w:ascii="Times New Roman;sans-serif" w:hAnsi="Times New Roman;sans-serif"/>
          <w:b w:val="false"/>
          <w:color w:val="000000"/>
          <w:sz w:val="24"/>
        </w:rPr>
        <w:t>. In connection with the issuance of this Warrant Certificate, the Holder specifically represents, as of the date hereof, to the Company by acceptance of this Warrant Certificate as follows:</w:t>
      </w:r>
    </w:p>
    <w:p>
      <w:pPr>
        <w:pStyle w:val="TextBody"/>
        <w:bidi w:val="0"/>
        <w:spacing w:lineRule="auto" w:line="280" w:before="229"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(i)The Holder is an “accredited investor” as defined in Rule 501 of Regulation D promulgated under the Securities Act. The Holder is acquiring this Warrant Certificate and the Warrant Shares to be issued upon exercise hereof for investment for its own account and not with a view towards, or for resale in connection with, the public sale or distribution of this Warrant Certificate or the Warrant Shares, except pursuant to sales registered or exempted under the Securities Act.</w:t>
      </w:r>
    </w:p>
    <w:p>
      <w:pPr>
        <w:pStyle w:val="TextBody"/>
        <w:bidi w:val="0"/>
        <w:spacing w:lineRule="auto" w:line="240" w:before="223" w:after="283"/>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(ii)The Holder understands and acknowledges that this Warrant Certificate and the Warrant Shares to be issued upon exercise hereof are “restricted securities” under the federal securities laws inasmuch as they are being acquired from the Company in a transaction not involving a public offering and that, under such laws and applicable regulations, such securities may be resold without registration under the Securities Act only in certain limited circumstances. In addition, the Holder represents that it is familiar with SEC Rule 144 under the Securities Act, as presently in effect, and understands the resale limitations imposed thereby and by the Securities Act.</w:t>
      </w:r>
    </w:p>
    <w:p>
      <w:pPr>
        <w:pStyle w:val="TextBody"/>
        <w:bidi w:val="0"/>
        <w:spacing w:before="11" w:after="283"/>
        <w:jc w:val="left"/>
        <w:rPr/>
      </w:pPr>
      <w:r>
        <w:rPr/>
      </w:r>
    </w:p>
    <w:p>
      <w:pPr>
        <w:pStyle w:val="TextBody"/>
        <w:bidi w:val="0"/>
        <w:spacing w:lineRule="auto" w:line="280" w:before="0" w:after="0"/>
        <w:ind w:left="0" w:right="0" w:firstLine="1440"/>
        <w:jc w:val="left"/>
        <w:rPr>
          <w:rFonts w:ascii="Times New Roman;sans-serif" w:hAnsi="Times New Roman;sans-serif"/>
          <w:b w:val="false"/>
          <w:color w:val="000000"/>
          <w:sz w:val="24"/>
        </w:rPr>
      </w:pPr>
      <w:r>
        <w:rPr>
          <w:rFonts w:ascii="Times New Roman;sans-serif" w:hAnsi="Times New Roman;sans-serif"/>
          <w:b w:val="false"/>
          <w:color w:val="000000"/>
          <w:sz w:val="24"/>
        </w:rPr>
        <w:t>(iii)The Holder acknowledges that it can bear the economic and financial risk of its investment for an indefinite period, and has such knowledge and experience in financial or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1050"/>
                <wp:effectExtent l="0" t="0" r="0" b="0"/>
                <wp:wrapNone/>
                <wp:docPr id="32" name="Frame2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business matters that it is capable of evaluating the merits and risks of the investment in this Warrant Certificate and the Warrant Shares. The Holder has had an opportunity to ask questions and receive answers from the Company regarding the terms and conditions of the offering of this Warrant Certificate and the business, properties, prospects and financial condition of the Company.</w:t>
      </w:r>
    </w:p>
    <w:p>
      <w:pPr>
        <w:pStyle w:val="TextBody"/>
        <w:bidi w:val="0"/>
        <w:spacing w:before="8"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13.    Notices</w:t>
      </w:r>
      <w:r>
        <w:rPr>
          <w:rFonts w:ascii="Times New Roman;sans-serif" w:hAnsi="Times New Roman;sans-serif"/>
          <w:b w:val="false"/>
          <w:color w:val="000000"/>
          <w:sz w:val="24"/>
        </w:rPr>
        <w:t xml:space="preserve">. All notices, requests, consents, claims, demands, waivers and other communications hereunder shall be in writing and shall be deemed to have been given: (a) when delivered by hand (with written confirmation of receipt); (b) when received by the addressee if sent by a nationally recognized overnight courier (receipt requested); (c) on the date sent by e- mail of a PDF document (with confirmation of transmission) if sent during normal business hours of the recipient, and on the next Business Day if sent after normal business hours of the recipient; or (d) on the third day after the date mailed, by certified or registered mail, return receipt requested, postage prepaid. Such communications must be sent to the respective parties at the addresses indicated below (or at such other address for a party as shall be specified in a notice given in accordance with this </w:t>
      </w:r>
      <w:r>
        <w:rPr>
          <w:rFonts w:ascii="Times New Roman;sans-serif" w:hAnsi="Times New Roman;sans-serif"/>
          <w:b/>
          <w:color w:val="000000"/>
          <w:sz w:val="24"/>
        </w:rPr>
        <w:t>Section 13</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If to the Company:    GeneDx Holdings Corp.</w:t>
      </w:r>
    </w:p>
    <w:p>
      <w:pPr>
        <w:pStyle w:val="TextBody"/>
        <w:bidi w:val="0"/>
        <w:spacing w:lineRule="auto" w:line="240" w:before="3" w:after="283"/>
        <w:jc w:val="left"/>
        <w:rPr>
          <w:rFonts w:ascii="Times New Roman;sans-serif" w:hAnsi="Times New Roman;sans-serif"/>
          <w:b w:val="false"/>
          <w:color w:val="000000"/>
          <w:sz w:val="24"/>
        </w:rPr>
      </w:pPr>
      <w:r>
        <w:rPr>
          <w:rFonts w:ascii="Times New Roman;sans-serif" w:hAnsi="Times New Roman;sans-serif"/>
          <w:b w:val="false"/>
          <w:color w:val="000000"/>
          <w:sz w:val="24"/>
        </w:rPr>
        <w:t>333 Ludlow Street North Tower, 6th Floor Stamford, CT 06902</w:t>
      </w:r>
    </w:p>
    <w:p>
      <w:pPr>
        <w:pStyle w:val="TextBody"/>
        <w:bidi w:val="0"/>
        <w:spacing w:lineRule="auto" w:line="273"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lineRule="auto" w:line="240"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2" w:after="283"/>
        <w:jc w:val="left"/>
        <w:rPr/>
      </w:pPr>
      <w:r>
        <w:rPr/>
      </w:r>
    </w:p>
    <w:p>
      <w:pPr>
        <w:pStyle w:val="TextBody"/>
        <w:bidi w:val="0"/>
        <w:spacing w:lineRule="auto" w:line="276"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w:t>
      </w:r>
    </w:p>
    <w:p>
      <w:pPr>
        <w:pStyle w:val="TextBody"/>
        <w:bidi w:val="0"/>
        <w:spacing w:lineRule="auto" w:line="28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Fenwick &amp; West LLP 902 Broadway</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18th Floor</w:t>
      </w:r>
    </w:p>
    <w:p>
      <w:pPr>
        <w:pStyle w:val="TextBody"/>
        <w:bidi w:val="0"/>
        <w:spacing w:lineRule="auto" w:line="276"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York, NY 10010-6035</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Ethan Skerry</w:t>
      </w:r>
    </w:p>
    <w:p>
      <w:pPr>
        <w:pStyle w:val="TextBody"/>
        <w:bidi w:val="0"/>
        <w:spacing w:lineRule="auto" w:line="240"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7" w:after="283"/>
        <w:jc w:val="left"/>
        <w:rPr/>
      </w:pPr>
      <w:r>
        <w:rPr/>
      </w:r>
    </w:p>
    <w:p>
      <w:pPr>
        <w:pStyle w:val="TextBody"/>
        <w:bidi w:val="0"/>
        <w:spacing w:lineRule="auto" w:line="276"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If to the Holder:    Perceptive Credit Holdings IV, LP</w:t>
      </w:r>
    </w:p>
    <w:p>
      <w:pPr>
        <w:pStyle w:val="TextBody"/>
        <w:bidi w:val="0"/>
        <w:spacing w:lineRule="auto" w:line="28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c/o Perceptive Advisors LLC 51 Astor Place, 10th Floor New York, NY 10003 Attention:Sandeep Dixit</w:t>
      </w:r>
    </w:p>
    <w:p>
      <w:pPr>
        <w:pStyle w:val="TextBody"/>
        <w:bidi w:val="0"/>
        <w:spacing w:lineRule="auto" w:line="280" w:before="0" w:after="0"/>
        <w:ind w:left="0" w:right="0" w:hanging="78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40"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with a copy to:    Chapman and Cutler LLP</w:t>
      </w:r>
    </w:p>
    <w:p>
      <w:pPr>
        <w:pStyle w:val="TextBody"/>
        <w:bidi w:val="0"/>
        <w:spacing w:lineRule="auto" w:line="240"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1270 Avenue of the Americas New York, NY 10020 Attention: Nicholas Whitney [*]</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81050"/>
                <wp:effectExtent l="0" t="0" r="0" b="0"/>
                <wp:wrapNone/>
                <wp:docPr id="33" name="Frame29"/>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6" w:after="283"/>
        <w:jc w:val="left"/>
        <w:rPr/>
      </w:pPr>
      <w:r>
        <w:rPr>
          <w:rFonts w:ascii="Times New Roman;sans-serif" w:hAnsi="Times New Roman;sans-serif"/>
          <w:b/>
          <w:color w:val="000000"/>
          <w:sz w:val="24"/>
        </w:rPr>
        <w:t>Section 14.    Cumulative Remedies</w:t>
      </w:r>
      <w:r>
        <w:rPr>
          <w:rFonts w:ascii="Times New Roman;sans-serif" w:hAnsi="Times New Roman;sans-serif"/>
          <w:b w:val="false"/>
          <w:color w:val="000000"/>
          <w:sz w:val="24"/>
        </w:rPr>
        <w:t>. The rights and remedies provided in this Warrant Certificate are cumulative and are not exclusive of, and are in addition to and not in substitution for, any other rights or remedies available at law, in equity or otherwise.</w:t>
      </w:r>
    </w:p>
    <w:p>
      <w:pPr>
        <w:pStyle w:val="TextBody"/>
        <w:bidi w:val="0"/>
        <w:spacing w:lineRule="auto" w:line="240" w:before="230" w:after="283"/>
        <w:jc w:val="left"/>
        <w:rPr/>
      </w:pPr>
      <w:r>
        <w:rPr>
          <w:rFonts w:ascii="Times New Roman;sans-serif" w:hAnsi="Times New Roman;sans-serif"/>
          <w:b/>
          <w:color w:val="000000"/>
          <w:sz w:val="24"/>
        </w:rPr>
        <w:t>Section 15.    Equitable Relief</w:t>
      </w:r>
      <w:r>
        <w:rPr>
          <w:rFonts w:ascii="Times New Roman;sans-serif" w:hAnsi="Times New Roman;sans-serif"/>
          <w:b w:val="false"/>
          <w:color w:val="000000"/>
          <w:sz w:val="24"/>
        </w:rPr>
        <w:t>. Each of the Company and the Holder acknowledges that a breach or threatened breach by such party of any of its obligations under this Warrant Certificate would give rise to irreparable harm to the other party hereto for which monetary damages would not be an adequate remedy and hereby agrees that in the event of a breach or a threatened breach by such party of any such obligations, the other party hereto shall, in addition to any and all other rights and remedies that may be available to it in respect of such breach, be entitled to equitable relief, including a restraining order, an injunction, specific performance and any other relief that may be available from a court of competent jurisdiction. The Holder and the Company further acknowledge and agree that (i) sums payable hereunder are meant to be treated as liquidated damages and not penalties, (ii) the amount of loss or damages likely to be incurred by the Holder as a result of the Company’s breach of any its obligations hereunder is incapable or is difficult to precisely estimate, (iii) the amounts payable hereunder (and calculations in respect thereof) are reasonable and are not plainly or grossly disproportionate to the probable loss likely to be incurred by the Holder, and (iv) the parties hereto are sophisticated business parties and have been represented by sophisticated and able legal and financial counsel and negotiated this Agreement at arm’s length.</w:t>
      </w:r>
    </w:p>
    <w:p>
      <w:pPr>
        <w:pStyle w:val="TextBody"/>
        <w:bidi w:val="0"/>
        <w:spacing w:before="10" w:after="283"/>
        <w:jc w:val="left"/>
        <w:rPr/>
      </w:pPr>
      <w:r>
        <w:rPr/>
      </w:r>
    </w:p>
    <w:p>
      <w:pPr>
        <w:pStyle w:val="TextBody"/>
        <w:bidi w:val="0"/>
        <w:spacing w:lineRule="auto" w:line="280" w:before="0" w:after="0"/>
        <w:jc w:val="left"/>
        <w:rPr/>
      </w:pPr>
      <w:r>
        <w:rPr>
          <w:rFonts w:ascii="Times New Roman;sans-serif" w:hAnsi="Times New Roman;sans-serif"/>
          <w:b/>
          <w:color w:val="000000"/>
          <w:sz w:val="24"/>
        </w:rPr>
        <w:t>Section 16.    Entire Agreement</w:t>
      </w:r>
      <w:r>
        <w:rPr>
          <w:rFonts w:ascii="Times New Roman;sans-serif" w:hAnsi="Times New Roman;sans-serif"/>
          <w:b w:val="false"/>
          <w:color w:val="000000"/>
          <w:sz w:val="24"/>
        </w:rPr>
        <w:t>. This Warrant Certificate constitutes the sole and entire agreement of the parties to this Warrant Certificate with respect to the subject matter contained herein, and supersedes all prior and contemporaneous understandings and agreements, both written and oral, with respect to such subject matter.</w:t>
      </w:r>
    </w:p>
    <w:p>
      <w:pPr>
        <w:pStyle w:val="TextBody"/>
        <w:bidi w:val="0"/>
        <w:spacing w:lineRule="auto" w:line="280" w:before="229" w:after="283"/>
        <w:jc w:val="left"/>
        <w:rPr/>
      </w:pPr>
      <w:r>
        <w:rPr>
          <w:rFonts w:ascii="Times New Roman;sans-serif" w:hAnsi="Times New Roman;sans-serif"/>
          <w:b/>
          <w:color w:val="000000"/>
          <w:sz w:val="24"/>
        </w:rPr>
        <w:t>Section 17.    Successor and Assigns</w:t>
      </w:r>
      <w:r>
        <w:rPr>
          <w:rFonts w:ascii="Times New Roman;sans-serif" w:hAnsi="Times New Roman;sans-serif"/>
          <w:b w:val="false"/>
          <w:color w:val="000000"/>
          <w:sz w:val="24"/>
        </w:rPr>
        <w:t>. This Warrant Certificate and the rights evidenced hereby shall be binding upon and shall inure to the benefit of the parties hereto and the successors of the Company and the successors and permitted assigns of the Holder. Such successors and/or permitted assigns of the Holder shall be deemed to be a “Holder” for all purposes hereunder.</w:t>
      </w:r>
    </w:p>
    <w:p>
      <w:pPr>
        <w:pStyle w:val="TextBody"/>
        <w:bidi w:val="0"/>
        <w:spacing w:lineRule="auto" w:line="240" w:before="229" w:after="283"/>
        <w:jc w:val="left"/>
        <w:rPr/>
      </w:pPr>
      <w:r>
        <w:rPr>
          <w:rFonts w:ascii="Times New Roman;sans-serif" w:hAnsi="Times New Roman;sans-serif"/>
          <w:b/>
          <w:color w:val="000000"/>
          <w:sz w:val="24"/>
        </w:rPr>
        <w:t>Section 18.    No Third-Party Beneficiaries</w:t>
      </w:r>
      <w:r>
        <w:rPr>
          <w:rFonts w:ascii="Times New Roman;sans-serif" w:hAnsi="Times New Roman;sans-serif"/>
          <w:b w:val="false"/>
          <w:color w:val="000000"/>
          <w:sz w:val="24"/>
        </w:rPr>
        <w:t>. This Warrant Certificate is for the sole benefit of the Company and the Holder and their respective successors and, in the case of the Holder, permitted assigns and nothing herein, express or implied, is intended to or shall confer upon any other Person any legal or equitable right, benefit or remedy of any nature whatsoever, under or by reason of this Warrant Certificate.</w:t>
      </w:r>
    </w:p>
    <w:p>
      <w:pPr>
        <w:pStyle w:val="TextBody"/>
        <w:bidi w:val="0"/>
        <w:spacing w:before="1" w:after="283"/>
        <w:jc w:val="left"/>
        <w:rPr/>
      </w:pPr>
      <w:r>
        <w:rPr/>
      </w:r>
    </w:p>
    <w:p>
      <w:pPr>
        <w:pStyle w:val="TextBody"/>
        <w:bidi w:val="0"/>
        <w:spacing w:lineRule="auto" w:line="280" w:before="0" w:after="0"/>
        <w:jc w:val="left"/>
        <w:rPr/>
      </w:pPr>
      <w:r>
        <w:rPr>
          <w:rFonts w:ascii="Times New Roman;sans-serif" w:hAnsi="Times New Roman;sans-serif"/>
          <w:b/>
          <w:color w:val="000000"/>
          <w:sz w:val="24"/>
        </w:rPr>
        <w:t>Section 19.    Headings</w:t>
      </w:r>
      <w:r>
        <w:rPr>
          <w:rFonts w:ascii="Times New Roman;sans-serif" w:hAnsi="Times New Roman;sans-serif"/>
          <w:b w:val="false"/>
          <w:color w:val="000000"/>
          <w:sz w:val="24"/>
        </w:rPr>
        <w:t>. The headings in this Warrant Certificate are for reference only and shall not affect the interpretation of this Warrant Certificate.</w:t>
      </w:r>
    </w:p>
    <w:p>
      <w:pPr>
        <w:pStyle w:val="TextBody"/>
        <w:bidi w:val="0"/>
        <w:spacing w:before="5" w:after="283"/>
        <w:jc w:val="left"/>
        <w:rPr/>
      </w:pPr>
      <w:r>
        <w:rPr/>
      </w:r>
    </w:p>
    <w:p>
      <w:pPr>
        <w:pStyle w:val="TextBody"/>
        <w:bidi w:val="0"/>
        <w:spacing w:lineRule="auto" w:line="240" w:before="0" w:after="0"/>
        <w:jc w:val="left"/>
        <w:rPr/>
      </w:pPr>
      <w:r>
        <w:rPr>
          <w:rFonts w:ascii="Times New Roman;sans-serif" w:hAnsi="Times New Roman;sans-serif"/>
          <w:b/>
          <w:color w:val="000000"/>
          <w:sz w:val="24"/>
        </w:rPr>
        <w:t>Section 20.    Amendment and Modification; Waiver</w:t>
      </w:r>
      <w:r>
        <w:rPr>
          <w:rFonts w:ascii="Times New Roman;sans-serif" w:hAnsi="Times New Roman;sans-serif"/>
          <w:b w:val="false"/>
          <w:color w:val="000000"/>
          <w:sz w:val="24"/>
        </w:rPr>
        <w:t>. Except as otherwise provided herein, this Warrant Certificate may only be amended, modified or supplemented by an agreement in writing signed by each party hereto. No waiver by the Company or the Holder of any of the provisions hereof shall be effective unless explicitly set forth in writing and signed by the party so waiving. No waiver by any party shall operate or be construed as a waiver in respect of any failure, breach or default not expressly identified by such written waiver, whether of a similar or different character, and whether occurring before or after that waiver. No failure to exercise, or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1050"/>
                <wp:effectExtent l="0" t="0" r="0" b="0"/>
                <wp:wrapNone/>
                <wp:docPr id="34" name="Frame30"/>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76" w:after="283"/>
        <w:jc w:val="left"/>
        <w:rPr>
          <w:rFonts w:ascii="Times New Roman;sans-serif" w:hAnsi="Times New Roman;sans-serif"/>
          <w:b w:val="false"/>
          <w:color w:val="000000"/>
          <w:sz w:val="24"/>
        </w:rPr>
      </w:pPr>
      <w:r>
        <w:rPr>
          <w:rFonts w:ascii="Times New Roman;sans-serif" w:hAnsi="Times New Roman;sans-serif"/>
          <w:b w:val="false"/>
          <w:color w:val="000000"/>
          <w:sz w:val="24"/>
        </w:rPr>
        <w:t>delay in exercising, any rights, remedy, power or privilege arising from this Warrant Certificate shall operate or be construed as a waiver thereof; nor shall any single or partial exercise of any right, remedy, power or privilege hereunder preclude any other or further exercise thereof or the exercise of any other right, remedy, power or privilege.</w:t>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color w:val="000000"/>
          <w:sz w:val="24"/>
        </w:rPr>
        <w:t>Section 21.    Severability</w:t>
      </w:r>
      <w:r>
        <w:rPr>
          <w:rFonts w:ascii="Times New Roman;sans-serif" w:hAnsi="Times New Roman;sans-serif"/>
          <w:b w:val="false"/>
          <w:color w:val="000000"/>
          <w:sz w:val="24"/>
        </w:rPr>
        <w:t>. If any term or provision of this Warrant Certificate is invalid, illegal or unenforceable in any jurisdiction, such invalidity, illegality or unenforceability shall not affect any other term or provision of this Warrant Certificate or invalidate or render unenforceable such term or provision in any other jurisdiction.</w:t>
      </w:r>
    </w:p>
    <w:p>
      <w:pPr>
        <w:pStyle w:val="TextBody"/>
        <w:bidi w:val="0"/>
        <w:spacing w:before="9" w:after="283"/>
        <w:jc w:val="left"/>
        <w:rPr/>
      </w:pPr>
      <w:r>
        <w:rPr/>
      </w:r>
    </w:p>
    <w:p>
      <w:pPr>
        <w:pStyle w:val="TextBody"/>
        <w:bidi w:val="0"/>
        <w:spacing w:lineRule="auto" w:line="240" w:before="1" w:after="283"/>
        <w:jc w:val="left"/>
        <w:rPr/>
      </w:pPr>
      <w:r>
        <w:rPr>
          <w:rFonts w:ascii="Times New Roman;sans-serif" w:hAnsi="Times New Roman;sans-serif"/>
          <w:b/>
          <w:color w:val="000000"/>
          <w:sz w:val="24"/>
        </w:rPr>
        <w:t>Section 22.    Governing Law</w:t>
      </w:r>
      <w:r>
        <w:rPr>
          <w:rFonts w:ascii="Times New Roman;sans-serif" w:hAnsi="Times New Roman;sans-serif"/>
          <w:b w:val="false"/>
          <w:color w:val="000000"/>
          <w:sz w:val="24"/>
        </w:rPr>
        <w:t>. This Warrant Certificate shall be governed by and construed in accordance with the internal laws of the State of New York without giving effect to any choice or conflict of law provision or rule (whether of the State of New York or any other jurisdiction) that would cause the application of laws of any jurisdiction other than those of the State of</w:t>
      </w:r>
    </w:p>
    <w:p>
      <w:pPr>
        <w:pStyle w:val="TextBody"/>
        <w:bidi w:val="0"/>
        <w:spacing w:lineRule="auto" w:line="240" w:before="5" w:after="283"/>
        <w:jc w:val="left"/>
        <w:rPr>
          <w:rFonts w:ascii="Times New Roman;sans-serif" w:hAnsi="Times New Roman;sans-serif"/>
          <w:b w:val="false"/>
          <w:color w:val="000000"/>
          <w:sz w:val="24"/>
        </w:rPr>
      </w:pPr>
      <w:r>
        <w:rPr>
          <w:rFonts w:ascii="Times New Roman;sans-serif" w:hAnsi="Times New Roman;sans-serif"/>
          <w:b w:val="false"/>
          <w:color w:val="000000"/>
          <w:sz w:val="24"/>
        </w:rPr>
        <w:t>New York.</w:t>
      </w:r>
    </w:p>
    <w:p>
      <w:pPr>
        <w:pStyle w:val="TextBody"/>
        <w:bidi w:val="0"/>
        <w:spacing w:lineRule="auto" w:line="240" w:before="232" w:after="283"/>
        <w:jc w:val="left"/>
        <w:rPr/>
      </w:pPr>
      <w:r>
        <w:rPr>
          <w:rFonts w:ascii="Times New Roman;sans-serif" w:hAnsi="Times New Roman;sans-serif"/>
          <w:b/>
          <w:color w:val="000000"/>
          <w:sz w:val="24"/>
        </w:rPr>
        <w:t>Section 23.    Submission to Jurisdiction</w:t>
      </w:r>
      <w:r>
        <w:rPr>
          <w:rFonts w:ascii="Times New Roman;sans-serif" w:hAnsi="Times New Roman;sans-serif"/>
          <w:b w:val="false"/>
          <w:color w:val="000000"/>
          <w:sz w:val="24"/>
        </w:rPr>
        <w:t>. Any legal suit, action or proceeding arising out of or based upon this Warrant Certificate or the transactions contemplated hereby may be instituted in the federal courts of the United States of America or the courts of the State of New York in each case located in the city of New York and County of New York, and each party irrevocably submits to the exclusive jurisdiction of such courts in any such suit, action or proceeding.</w:t>
      </w:r>
    </w:p>
    <w:p>
      <w:pPr>
        <w:pStyle w:val="TextBody"/>
        <w:bidi w:val="0"/>
        <w:spacing w:lineRule="auto" w:line="240" w:before="3"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Service of process, summons, notice or other document by certified or registered mail to such party’s address set forth herein shall be effective service of process for any suit, action or other proceeding brought in any such court. The parties irrevocably and unconditionally waive any objection to the laying of venue of any suit, action or any proceeding in such courts and irrevocably waive and agree not to plead or claim in any such court that any such suit, action or proceeding brought in any such court has been brought in an inconvenient forum.</w:t>
      </w:r>
    </w:p>
    <w:p>
      <w:pPr>
        <w:pStyle w:val="TextBody"/>
        <w:bidi w:val="0"/>
        <w:spacing w:before="10" w:after="283"/>
        <w:jc w:val="left"/>
        <w:rPr/>
      </w:pPr>
      <w:r>
        <w:rPr/>
      </w:r>
    </w:p>
    <w:p>
      <w:pPr>
        <w:pStyle w:val="TextBody"/>
        <w:bidi w:val="0"/>
        <w:spacing w:lineRule="auto" w:line="297" w:before="0" w:after="0"/>
        <w:jc w:val="left"/>
        <w:rPr/>
      </w:pPr>
      <w:r>
        <w:rPr>
          <w:rFonts w:ascii="Times New Roman;sans-serif" w:hAnsi="Times New Roman;sans-serif"/>
          <w:b/>
          <w:color w:val="000000"/>
          <w:sz w:val="24"/>
        </w:rPr>
        <w:t>Section 24.    Waiver of Jury Trial</w:t>
      </w:r>
      <w:r>
        <w:rPr>
          <w:rFonts w:ascii="Times New Roman;sans-serif" w:hAnsi="Times New Roman;sans-serif"/>
          <w:b w:val="false"/>
          <w:color w:val="000000"/>
          <w:sz w:val="24"/>
        </w:rPr>
        <w:t xml:space="preserve">. </w:t>
      </w:r>
      <w:r>
        <w:rPr>
          <w:rFonts w:ascii="Times New Roman;sans-serif" w:hAnsi="Times New Roman;sans-serif"/>
          <w:b/>
          <w:color w:val="000000"/>
          <w:sz w:val="24"/>
        </w:rPr>
        <w:t>E</w:t>
      </w:r>
      <w:r>
        <w:rPr>
          <w:rFonts w:ascii="Times New Roman;sans-serif" w:hAnsi="Times New Roman;sans-serif"/>
          <w:b/>
          <w:color w:val="000000"/>
          <w:sz w:val="19"/>
        </w:rPr>
        <w:t xml:space="preserve">ACH OF THE </w:t>
      </w:r>
      <w:r>
        <w:rPr>
          <w:rFonts w:ascii="Times New Roman;sans-serif" w:hAnsi="Times New Roman;sans-serif"/>
          <w:b/>
          <w:color w:val="000000"/>
          <w:sz w:val="24"/>
        </w:rPr>
        <w:t>C</w:t>
      </w:r>
      <w:r>
        <w:rPr>
          <w:rFonts w:ascii="Times New Roman;sans-serif" w:hAnsi="Times New Roman;sans-serif"/>
          <w:b/>
          <w:color w:val="000000"/>
          <w:sz w:val="19"/>
        </w:rPr>
        <w:t xml:space="preserve">OMPANY AND THE </w:t>
      </w:r>
      <w:r>
        <w:rPr>
          <w:rFonts w:ascii="Times New Roman;sans-serif" w:hAnsi="Times New Roman;sans-serif"/>
          <w:b/>
          <w:color w:val="000000"/>
          <w:sz w:val="24"/>
        </w:rPr>
        <w:t>H</w:t>
      </w:r>
      <w:r>
        <w:rPr>
          <w:rFonts w:ascii="Times New Roman;sans-serif" w:hAnsi="Times New Roman;sans-serif"/>
          <w:b/>
          <w:color w:val="000000"/>
          <w:sz w:val="19"/>
        </w:rPr>
        <w:t xml:space="preserve">OLDER ACKNOWLEDGES AND AGREES THAT ANY CONTROVERSY WHICH MAY ARISE UNDER THIS </w:t>
      </w:r>
      <w:r>
        <w:rPr>
          <w:rFonts w:ascii="Times New Roman;sans-serif" w:hAnsi="Times New Roman;sans-serif"/>
          <w:b/>
          <w:color w:val="000000"/>
          <w:sz w:val="24"/>
        </w:rPr>
        <w:t>W</w:t>
      </w:r>
      <w:r>
        <w:rPr>
          <w:rFonts w:ascii="Times New Roman;sans-serif" w:hAnsi="Times New Roman;sans-serif"/>
          <w:b/>
          <w:color w:val="000000"/>
          <w:sz w:val="19"/>
        </w:rPr>
        <w:t xml:space="preserve">ARRANT </w:t>
      </w:r>
      <w:r>
        <w:rPr>
          <w:rFonts w:ascii="Times New Roman;sans-serif" w:hAnsi="Times New Roman;sans-serif"/>
          <w:b/>
          <w:color w:val="000000"/>
          <w:sz w:val="24"/>
        </w:rPr>
        <w:t>C</w:t>
      </w:r>
      <w:r>
        <w:rPr>
          <w:rFonts w:ascii="Times New Roman;sans-serif" w:hAnsi="Times New Roman;sans-serif"/>
          <w:b/>
          <w:color w:val="000000"/>
          <w:sz w:val="19"/>
        </w:rPr>
        <w:t>ERTIFICATE IS LIKELY TO INVOLVE COMPLICATED AND DIFFICULT ISSUES AND</w:t>
      </w:r>
      <w:r>
        <w:rPr>
          <w:rFonts w:ascii="Times New Roman;sans-serif" w:hAnsi="Times New Roman;sans-serif"/>
          <w:b/>
          <w:color w:val="000000"/>
          <w:sz w:val="24"/>
        </w:rPr>
        <w:t xml:space="preserve">, </w:t>
      </w:r>
      <w:r>
        <w:rPr>
          <w:rFonts w:ascii="Times New Roman;sans-serif" w:hAnsi="Times New Roman;sans-serif"/>
          <w:b/>
          <w:color w:val="000000"/>
          <w:sz w:val="19"/>
        </w:rPr>
        <w:t>THEREFORE</w:t>
      </w:r>
      <w:r>
        <w:rPr>
          <w:rFonts w:ascii="Times New Roman;sans-serif" w:hAnsi="Times New Roman;sans-serif"/>
          <w:b/>
          <w:color w:val="000000"/>
          <w:sz w:val="24"/>
        </w:rPr>
        <w:t xml:space="preserve">, </w:t>
      </w:r>
      <w:r>
        <w:rPr>
          <w:rFonts w:ascii="Times New Roman;sans-serif" w:hAnsi="Times New Roman;sans-serif"/>
          <w:b/>
          <w:color w:val="000000"/>
          <w:sz w:val="19"/>
        </w:rPr>
        <w:t>EACH SUCH PARTY IRREVOCABLY AND UNCONDITIONALLY WAIVES ANY RIGHT IT</w:t>
      </w:r>
    </w:p>
    <w:p>
      <w:pPr>
        <w:pStyle w:val="TextBody"/>
        <w:bidi w:val="0"/>
        <w:spacing w:lineRule="auto" w:line="295" w:before="31" w:after="283"/>
        <w:jc w:val="left"/>
        <w:rPr>
          <w:rFonts w:ascii="Times New Roman;sans-serif" w:hAnsi="Times New Roman;sans-serif"/>
          <w:b/>
          <w:color w:val="000000"/>
          <w:sz w:val="24"/>
        </w:rPr>
      </w:pPr>
      <w:r>
        <w:rPr>
          <w:rFonts w:ascii="Times New Roman;sans-serif" w:hAnsi="Times New Roman;sans-serif"/>
          <w:b/>
          <w:color w:val="000000"/>
          <w:sz w:val="24"/>
        </w:rPr>
        <w:t>may have to a trial by jury in respect of any legal action arising out of or relating to this Warrant Certificate or the transactions contemplated hereby.</w:t>
      </w:r>
    </w:p>
    <w:p>
      <w:pPr>
        <w:pStyle w:val="TextBody"/>
        <w:bidi w:val="0"/>
        <w:spacing w:lineRule="auto" w:line="240" w:before="221" w:after="283"/>
        <w:jc w:val="left"/>
        <w:rPr/>
      </w:pPr>
      <w:r>
        <w:rPr>
          <w:rFonts w:ascii="Times New Roman;sans-serif" w:hAnsi="Times New Roman;sans-serif"/>
          <w:b/>
          <w:color w:val="000000"/>
          <w:sz w:val="24"/>
        </w:rPr>
        <w:t>Section 25.    Counterparts</w:t>
      </w:r>
      <w:r>
        <w:rPr>
          <w:rFonts w:ascii="Times New Roman;sans-serif" w:hAnsi="Times New Roman;sans-serif"/>
          <w:b w:val="false"/>
          <w:color w:val="000000"/>
          <w:sz w:val="24"/>
        </w:rPr>
        <w:t>. This Warrant Certificate may be executed in counterparts, each of which shall be deemed an original, but all of which together shall be deemed to be one and the same agreement. A signed copy of this Warrant Certificate delivered by facsimile, e-mail or other means of electronic transmission shall be deemed to have the same legal effect as delivery of an original signed copy of this Warrant Certificate.</w:t>
      </w:r>
    </w:p>
    <w:p>
      <w:pPr>
        <w:pStyle w:val="TextBody"/>
        <w:bidi w:val="0"/>
        <w:spacing w:before="8" w:after="283"/>
        <w:jc w:val="left"/>
        <w:rPr/>
      </w:pPr>
      <w:r>
        <w:rPr/>
      </w:r>
    </w:p>
    <w:p>
      <w:pPr>
        <w:pStyle w:val="TextBody"/>
        <w:bidi w:val="0"/>
        <w:spacing w:lineRule="auto" w:line="280" w:before="0" w:after="0"/>
        <w:jc w:val="left"/>
        <w:rPr/>
      </w:pPr>
      <w:r>
        <w:rPr>
          <w:rFonts w:ascii="Times New Roman;sans-serif" w:hAnsi="Times New Roman;sans-serif"/>
          <w:b/>
          <w:color w:val="000000"/>
          <w:sz w:val="24"/>
        </w:rPr>
        <w:t>Section 26.    No Strict Construction</w:t>
      </w:r>
      <w:r>
        <w:rPr>
          <w:rFonts w:ascii="Times New Roman;sans-serif" w:hAnsi="Times New Roman;sans-serif"/>
          <w:b w:val="false"/>
          <w:color w:val="000000"/>
          <w:sz w:val="24"/>
        </w:rPr>
        <w:t>. This Warrant Certificate shall be construed without regard to any presumption or rule requiring construction or interpretation against the party drafting an instrument or causing any instrument to be drafted.</w:t>
      </w:r>
    </w:p>
    <w:p>
      <w:pPr>
        <w:pStyle w:val="TextBody"/>
        <w:bidi w:val="0"/>
        <w:spacing w:before="4"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81050"/>
                <wp:effectExtent l="0" t="0" r="0" b="0"/>
                <wp:wrapNone/>
                <wp:docPr id="35" name="Frame31"/>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r>
                                    <w:br w:type="page"/>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76" w:before="92"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Company has duly executed this Warrant Certificate on the Issue Date.</w:t>
      </w:r>
    </w:p>
    <w:p>
      <w:pPr>
        <w:pStyle w:val="TextBody"/>
        <w:bidi w:val="0"/>
        <w:spacing w:before="5" w:after="283"/>
        <w:jc w:val="left"/>
        <w:rPr/>
      </w:pPr>
      <w:r>
        <w:rPr/>
      </w:r>
    </w:p>
    <w:p>
      <w:pPr>
        <w:pStyle w:val="TextBody"/>
        <w:bidi w:val="0"/>
        <w:spacing w:lineRule="auto" w:line="240" w:before="0" w:after="0"/>
        <w:jc w:val="left"/>
        <w:rPr>
          <w:rFonts w:ascii="Times New Roman;sans-serif" w:hAnsi="Times New Roman;sans-serif"/>
          <w:b/>
          <w:color w:val="000000"/>
          <w:sz w:val="22"/>
        </w:rPr>
      </w:pPr>
      <w:r>
        <w:rPr>
          <w:rFonts w:ascii="Times New Roman;sans-serif" w:hAnsi="Times New Roman;sans-serif"/>
          <w:b/>
          <w:color w:val="000000"/>
          <w:sz w:val="22"/>
        </w:rPr>
        <w:t>GENEDX HOLDINGS CORP.</w:t>
      </w:r>
    </w:p>
    <w:p>
      <w:pPr>
        <w:pStyle w:val="TextBody"/>
        <w:bidi w:val="0"/>
        <w:spacing w:before="0" w:after="0"/>
        <w:jc w:val="left"/>
        <w:rPr/>
      </w:pPr>
      <w:r>
        <w:rPr/>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40" w:before="1"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    </w:t>
      </w:r>
    </w:p>
    <w:p>
      <w:pPr>
        <w:pStyle w:val="TextBody"/>
        <w:bidi w:val="0"/>
        <w:spacing w:lineRule="auto" w:line="240"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Kevin Feeley</w:t>
      </w:r>
    </w:p>
    <w:p>
      <w:pPr>
        <w:pStyle w:val="TextBody"/>
        <w:bidi w:val="0"/>
        <w:spacing w:lineRule="auto" w:line="240"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58190"/>
                <wp:effectExtent l="0" t="0" r="0" b="0"/>
                <wp:wrapNone/>
                <wp:docPr id="36" name="Frame32"/>
                <a:graphic xmlns:a="http://schemas.openxmlformats.org/drawingml/2006/main">
                  <a:graphicData uri="http://schemas.microsoft.com/office/word/2010/wordprocessingShape">
                    <wps:wsp>
                      <wps:cNvSpPr txBox="1"/>
                      <wps:spPr>
                        <a:xfrm>
                          <a:off x="0" y="0"/>
                          <a:ext cx="6480175" cy="758190"/>
                        </a:xfrm>
                        <a:prstGeom prst="rect"/>
                        <a:solidFill>
                          <a:srgbClr val="FFFFFF"/>
                        </a:solidFill>
                      </wps:spPr>
                      <wps:txbx>
                        <w:txbxContent>
                          <w:tbl>
                            <w:tblPr>
                              <w:tblW w:w="2764" w:type="dxa"/>
                              <w:jc w:val="left"/>
                              <w:tblInd w:w="0" w:type="dxa"/>
                              <w:tblLayout w:type="fixed"/>
                              <w:tblCellMar>
                                <w:top w:w="28" w:type="dxa"/>
                                <w:left w:w="28" w:type="dxa"/>
                                <w:bottom w:w="28" w:type="dxa"/>
                                <w:right w:w="28" w:type="dxa"/>
                              </w:tblCellMar>
                            </w:tblPr>
                            <w:tblGrid>
                              <w:gridCol w:w="885"/>
                              <w:gridCol w:w="776"/>
                              <w:gridCol w:w="1103"/>
                            </w:tblGrid>
                            <w:tr>
                              <w:trPr/>
                              <w:tc>
                                <w:tcPr>
                                  <w:tcW w:w="885" w:type="dxa"/>
                                  <w:tcBorders/>
                                  <w:vAlign w:val="center"/>
                                </w:tcPr>
                                <w:p>
                                  <w:pPr>
                                    <w:pStyle w:val="TableContents"/>
                                    <w:bidi w:val="0"/>
                                    <w:spacing w:before="0" w:after="283"/>
                                    <w:jc w:val="left"/>
                                    <w:rPr>
                                      <w:sz w:val="4"/>
                                      <w:szCs w:val="4"/>
                                    </w:rPr>
                                  </w:pPr>
                                  <w:r>
                                    <w:rPr>
                                      <w:sz w:val="4"/>
                                      <w:szCs w:val="4"/>
                                    </w:rPr>
                                  </w:r>
                                  <w:r>
                                    <w:br w:type="page"/>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68" w:before="19" w:after="283"/>
                                    <w:ind w:left="0" w:right="0" w:firstLine="154"/>
                                    <w:jc w:val="left"/>
                                    <w:rPr>
                                      <w:rFonts w:ascii="Times New Roman;sans-serif" w:hAnsi="Times New Roman;sans-serif"/>
                                      <w:b w:val="false"/>
                                      <w:color w:val="000000"/>
                                      <w:sz w:val="18"/>
                                    </w:rPr>
                                  </w:pPr>
                                  <w:r>
                                    <w:rPr>
                                      <w:rFonts w:ascii="Times New Roman;sans-serif" w:hAnsi="Times New Roman;sans-serif"/>
                                      <w:b w:val="false"/>
                                      <w:color w:val="000000"/>
                                      <w:sz w:val="18"/>
                                    </w:rPr>
                                    <w:t>Signature Page Warrant Certificate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pt;mso-wrap-distance-left:0pt;mso-wrap-distance-right:0pt;mso-wrap-distance-top:0pt;mso-wrap-distance-bottom:0pt;margin-top:0pt;mso-position-vertical:top;mso-position-vertical-relative:text;margin-left:0pt;mso-position-horizontal:left;mso-position-horizontal-relative:text">
                <v:textbox>
                  <w:txbxContent>
                    <w:tbl>
                      <w:tblPr>
                        <w:tblW w:w="2764" w:type="dxa"/>
                        <w:jc w:val="left"/>
                        <w:tblInd w:w="0" w:type="dxa"/>
                        <w:tblLayout w:type="fixed"/>
                        <w:tblCellMar>
                          <w:top w:w="28" w:type="dxa"/>
                          <w:left w:w="28" w:type="dxa"/>
                          <w:bottom w:w="28" w:type="dxa"/>
                          <w:right w:w="28" w:type="dxa"/>
                        </w:tblCellMar>
                      </w:tblPr>
                      <w:tblGrid>
                        <w:gridCol w:w="885"/>
                        <w:gridCol w:w="776"/>
                        <w:gridCol w:w="1103"/>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68" w:before="19" w:after="283"/>
                              <w:ind w:left="0" w:right="0" w:firstLine="154"/>
                              <w:jc w:val="left"/>
                              <w:rPr>
                                <w:rFonts w:ascii="Times New Roman;sans-serif" w:hAnsi="Times New Roman;sans-serif"/>
                                <w:b w:val="false"/>
                                <w:color w:val="000000"/>
                                <w:sz w:val="18"/>
                              </w:rPr>
                            </w:pPr>
                            <w:r>
                              <w:rPr>
                                <w:rFonts w:ascii="Times New Roman;sans-serif" w:hAnsi="Times New Roman;sans-serif"/>
                                <w:b w:val="false"/>
                                <w:color w:val="000000"/>
                                <w:sz w:val="18"/>
                              </w:rPr>
                              <w:t>Signature Page Warrant Certificate</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40"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Perceptive Credit Opportunities GP, LLC, its general partner</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76"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Sandeep Dixit    </w:t>
      </w:r>
    </w:p>
    <w:p>
      <w:pPr>
        <w:pStyle w:val="TextBody"/>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Sandeep Dixit Title: Chief Credit Officer</w:t>
      </w:r>
    </w:p>
    <w:p>
      <w:pPr>
        <w:pStyle w:val="TextBody"/>
        <w:bidi w:val="0"/>
        <w:spacing w:before="4" w:after="283"/>
        <w:jc w:val="left"/>
        <w:rPr/>
      </w:pPr>
      <w:r>
        <w:rPr/>
      </w:r>
    </w:p>
    <w:p>
      <w:pPr>
        <w:pStyle w:val="TextBody"/>
        <w:bidi w:val="0"/>
        <w:spacing w:lineRule="auto" w:line="276"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Sam Chawla    </w:t>
      </w:r>
    </w:p>
    <w:p>
      <w:pPr>
        <w:pStyle w:val="TextBody"/>
        <w:bidi w:val="0"/>
        <w:spacing w:lineRule="auto" w:line="276"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Sam Chawla Title: Portfolio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58190"/>
                <wp:effectExtent l="0" t="0" r="0" b="0"/>
                <wp:wrapNone/>
                <wp:docPr id="37" name="Frame33"/>
                <a:graphic xmlns:a="http://schemas.openxmlformats.org/drawingml/2006/main">
                  <a:graphicData uri="http://schemas.microsoft.com/office/word/2010/wordprocessingShape">
                    <wps:wsp>
                      <wps:cNvSpPr txBox="1"/>
                      <wps:spPr>
                        <a:xfrm>
                          <a:off x="0" y="0"/>
                          <a:ext cx="6480175" cy="758190"/>
                        </a:xfrm>
                        <a:prstGeom prst="rect"/>
                        <a:solidFill>
                          <a:srgbClr val="FFFFFF"/>
                        </a:solidFill>
                      </wps:spPr>
                      <wps:txbx>
                        <w:txbxContent>
                          <w:tbl>
                            <w:tblPr>
                              <w:tblW w:w="2764" w:type="dxa"/>
                              <w:jc w:val="left"/>
                              <w:tblInd w:w="0" w:type="dxa"/>
                              <w:tblLayout w:type="fixed"/>
                              <w:tblCellMar>
                                <w:top w:w="28" w:type="dxa"/>
                                <w:left w:w="28" w:type="dxa"/>
                                <w:bottom w:w="28" w:type="dxa"/>
                                <w:right w:w="28" w:type="dxa"/>
                              </w:tblCellMar>
                            </w:tblPr>
                            <w:tblGrid>
                              <w:gridCol w:w="885"/>
                              <w:gridCol w:w="776"/>
                              <w:gridCol w:w="1103"/>
                            </w:tblGrid>
                            <w:tr>
                              <w:trPr/>
                              <w:tc>
                                <w:tcPr>
                                  <w:tcW w:w="885" w:type="dxa"/>
                                  <w:tcBorders/>
                                  <w:vAlign w:val="center"/>
                                </w:tcPr>
                                <w:p>
                                  <w:pPr>
                                    <w:pStyle w:val="TableContents"/>
                                    <w:bidi w:val="0"/>
                                    <w:spacing w:before="0" w:after="283"/>
                                    <w:jc w:val="left"/>
                                    <w:rPr>
                                      <w:sz w:val="4"/>
                                      <w:szCs w:val="4"/>
                                    </w:rPr>
                                  </w:pPr>
                                  <w:r>
                                    <w:rPr>
                                      <w:sz w:val="4"/>
                                      <w:szCs w:val="4"/>
                                    </w:rPr>
                                  </w:r>
                                  <w:r>
                                    <w:br w:type="page"/>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68" w:before="19" w:after="283"/>
                                    <w:ind w:left="0" w:right="0" w:firstLine="154"/>
                                    <w:jc w:val="left"/>
                                    <w:rPr>
                                      <w:rFonts w:ascii="Times New Roman;sans-serif" w:hAnsi="Times New Roman;sans-serif"/>
                                      <w:b w:val="false"/>
                                      <w:color w:val="000000"/>
                                      <w:sz w:val="18"/>
                                    </w:rPr>
                                  </w:pPr>
                                  <w:r>
                                    <w:rPr>
                                      <w:rFonts w:ascii="Times New Roman;sans-serif" w:hAnsi="Times New Roman;sans-serif"/>
                                      <w:b w:val="false"/>
                                      <w:color w:val="000000"/>
                                      <w:sz w:val="18"/>
                                    </w:rPr>
                                    <w:t>Signature Page Warrant Certificate</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7pt;mso-wrap-distance-left:0pt;mso-wrap-distance-right:0pt;mso-wrap-distance-top:0pt;mso-wrap-distance-bottom:0pt;margin-top:0pt;mso-position-vertical:top;mso-position-vertical-relative:text;margin-left:0pt;mso-position-horizontal:left;mso-position-horizontal-relative:text">
                <v:textbox>
                  <w:txbxContent>
                    <w:tbl>
                      <w:tblPr>
                        <w:tblW w:w="2764" w:type="dxa"/>
                        <w:jc w:val="left"/>
                        <w:tblInd w:w="0" w:type="dxa"/>
                        <w:tblLayout w:type="fixed"/>
                        <w:tblCellMar>
                          <w:top w:w="28" w:type="dxa"/>
                          <w:left w:w="28" w:type="dxa"/>
                          <w:bottom w:w="28" w:type="dxa"/>
                          <w:right w:w="28" w:type="dxa"/>
                        </w:tblCellMar>
                      </w:tblPr>
                      <w:tblGrid>
                        <w:gridCol w:w="885"/>
                        <w:gridCol w:w="776"/>
                        <w:gridCol w:w="1103"/>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68" w:before="19" w:after="283"/>
                              <w:ind w:left="0" w:right="0" w:firstLine="154"/>
                              <w:jc w:val="left"/>
                              <w:rPr>
                                <w:rFonts w:ascii="Times New Roman;sans-serif" w:hAnsi="Times New Roman;sans-serif"/>
                                <w:b w:val="false"/>
                                <w:color w:val="000000"/>
                                <w:sz w:val="18"/>
                              </w:rPr>
                            </w:pPr>
                            <w:r>
                              <w:rPr>
                                <w:rFonts w:ascii="Times New Roman;sans-serif" w:hAnsi="Times New Roman;sans-serif"/>
                                <w:b w:val="false"/>
                                <w:color w:val="000000"/>
                                <w:sz w:val="18"/>
                              </w:rPr>
                              <w:t>Signature Page Warrant Certificate</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FORM OF EXERCISE CERTIFICATE</w:t>
      </w:r>
    </w:p>
    <w:p>
      <w:pPr>
        <w:pStyle w:val="TextBody"/>
        <w:bidi w:val="0"/>
        <w:spacing w:before="76" w:after="283"/>
        <w:ind w:left="0" w:right="0" w:firstLine="1325"/>
        <w:jc w:val="left"/>
        <w:rPr/>
      </w:pPr>
      <w:r>
        <w:rPr/>
      </w:r>
    </w:p>
    <w:p>
      <w:pPr>
        <w:pStyle w:val="TextBody"/>
        <w:bidi w:val="0"/>
        <w:spacing w:lineRule="auto" w:line="280" w:before="0" w:after="0"/>
        <w:ind w:left="0" w:right="0" w:firstLine="1325"/>
        <w:jc w:val="left"/>
        <w:rPr>
          <w:rFonts w:ascii="Times New Roman;sans-serif" w:hAnsi="Times New Roman;sans-serif"/>
          <w:b/>
          <w:color w:val="000000"/>
          <w:sz w:val="24"/>
        </w:rPr>
      </w:pPr>
      <w:r>
        <w:rPr>
          <w:rFonts w:ascii="Times New Roman;sans-serif" w:hAnsi="Times New Roman;sans-serif"/>
          <w:b/>
          <w:color w:val="000000"/>
          <w:sz w:val="24"/>
        </w:rPr>
        <w:t>Exhibit A to Warrant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1050"/>
                <wp:effectExtent l="0" t="0" r="0" b="0"/>
                <wp:wrapNone/>
                <wp:docPr id="38" name="Frame34"/>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A-1</w:t>
                            </w:r>
                          </w:p>
                        </w:tc>
                      </w:tr>
                    </w:tbl>
                    <w:p>
                      <w:pPr>
                        <w:pStyle w:val="TextBody"/>
                        <w:bidi w:val="0"/>
                        <w:spacing w:before="0" w:after="283"/>
                        <w:jc w:val="left"/>
                        <w:rPr/>
                      </w:pPr>
                      <w:r>
                        <w:rPr/>
                      </w:r>
                    </w:p>
                  </w:txbxContent>
                </v:textbox>
                <w10:wrap type="none"/>
              </v:rect>
            </w:pict>
          </mc:Fallback>
        </mc:AlternateContent>
      </w:r>
    </w:p>
    <w:p>
      <w:pPr>
        <w:pStyle w:val="TextBody"/>
        <w:bidi w:val="0"/>
        <w:spacing w:before="5" w:after="283"/>
        <w:jc w:val="left"/>
        <w:rPr/>
      </w:pPr>
      <w:r>
        <w:rPr/>
      </w:r>
    </w:p>
    <w:p>
      <w:pPr>
        <w:pStyle w:val="TextBody"/>
        <w:bidi w:val="0"/>
        <w:spacing w:lineRule="auto" w:line="561" w:before="90" w:after="283"/>
        <w:ind w:left="0" w:right="0" w:firstLine="1954"/>
        <w:jc w:val="left"/>
        <w:rPr/>
      </w:pPr>
      <w:r>
        <w:rPr>
          <w:rFonts w:ascii="Times New Roman;sans-serif" w:hAnsi="Times New Roman;sans-serif"/>
          <w:b w:val="false"/>
          <w:color w:val="000000"/>
          <w:sz w:val="24"/>
        </w:rPr>
        <w:t xml:space="preserve">(To be signed only upon exercise of Warrant Certificate) To: </w:t>
      </w:r>
      <w:r>
        <w:rPr>
          <w:color w:val="000000"/>
          <w:u w:val="single"/>
        </w:rPr>
        <w:t>    </w:t>
      </w:r>
    </w:p>
    <w:p>
      <w:pPr>
        <w:pStyle w:val="TextBody"/>
        <w:bidi w:val="0"/>
        <w:spacing w:lineRule="auto" w:line="23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The undersigned, as holder of a right to purchase shares of Common Stock of GENEDX</w:t>
      </w:r>
    </w:p>
    <w:p>
      <w:pPr>
        <w:pStyle w:val="TextBody"/>
        <w:bidi w:val="0"/>
        <w:spacing w:lineRule="auto" w:line="280" w:before="0" w:after="0"/>
        <w:jc w:val="left"/>
        <w:rPr/>
      </w:pPr>
      <w:r>
        <w:rPr>
          <w:rFonts w:ascii="Times New Roman;sans-serif" w:hAnsi="Times New Roman;sans-serif"/>
          <w:b w:val="false"/>
          <w:color w:val="000000"/>
          <w:sz w:val="24"/>
        </w:rPr>
        <w:t>HOLDINGS CORP.,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pursuant to that certain Warrant Certificate of the Company, dated as of October 27, 2023 and bearing Warrant Certificate No.</w:t>
      </w:r>
    </w:p>
    <w:p>
      <w:pPr>
        <w:pStyle w:val="TextBody"/>
        <w:bidi w:val="0"/>
        <w:spacing w:lineRule="auto" w:line="240" w:before="0" w:after="0"/>
        <w:jc w:val="left"/>
        <w:rPr/>
      </w:pPr>
      <w:r>
        <w:rPr>
          <w:rFonts w:ascii="Times New Roman;sans-serif" w:hAnsi="Times New Roman;sans-serif"/>
          <w:b w:val="false"/>
          <w:color w:val="000000"/>
          <w:sz w:val="24"/>
        </w:rPr>
        <w:t>001 (the “</w:t>
      </w:r>
      <w:r>
        <w:rPr>
          <w:rFonts w:ascii="Times New Roman;sans-serif" w:hAnsi="Times New Roman;sans-serif"/>
          <w:b/>
          <w:i/>
          <w:color w:val="000000"/>
          <w:sz w:val="24"/>
        </w:rPr>
        <w:t>Warrant Certificate</w:t>
      </w:r>
      <w:r>
        <w:rPr>
          <w:color w:val="000000"/>
        </w:rPr>
        <w:t>”</w:t>
      </w:r>
      <w:r>
        <w:rPr>
          <w:rFonts w:ascii="Times New Roman;sans-serif" w:hAnsi="Times New Roman;sans-serif"/>
          <w:b w:val="false"/>
          <w:color w:val="000000"/>
          <w:sz w:val="24"/>
        </w:rPr>
        <w:t>), hereby irrevocably elects to exercise the purchase right represented by such Warrant Certificate for, and to purchase thereunder, [</w:t>
      </w:r>
      <w:r>
        <w:rPr>
          <w:color w:val="000000"/>
          <w:u w:val="single"/>
        </w:rPr>
        <w:t>    </w:t>
      </w:r>
      <w:r>
        <w:rPr>
          <w:color w:val="000000"/>
        </w:rPr>
        <w:t xml:space="preserve"> </w:t>
      </w:r>
      <w:r>
        <w:rPr>
          <w:rFonts w:ascii="Times New Roman;sans-serif" w:hAnsi="Times New Roman;sans-serif"/>
          <w:b w:val="false"/>
          <w:color w:val="000000"/>
          <w:sz w:val="24"/>
        </w:rPr>
        <w:t>(</w:t>
      </w:r>
      <w:r>
        <w:rPr>
          <w:color w:val="000000"/>
          <w:u w:val="single"/>
        </w:rPr>
        <w:t>    </w:t>
      </w:r>
      <w:r>
        <w:rPr>
          <w:rFonts w:ascii="Times New Roman;sans-serif" w:hAnsi="Times New Roman;sans-serif"/>
          <w:b w:val="false"/>
          <w:color w:val="000000"/>
          <w:sz w:val="24"/>
        </w:rPr>
        <w:t>)] shares of Common Stock of the Company comprising [Initial Warrant Shares][Tranche B Warrant Shares] and herewith makes payment of [</w:t>
      </w:r>
      <w:r>
        <w:rPr>
          <w:color w:val="000000"/>
          <w:u w:val="single"/>
        </w:rPr>
        <w:t>    </w:t>
      </w:r>
      <w:r>
        <w:rPr>
          <w:color w:val="000000"/>
        </w:rPr>
        <w:t xml:space="preserve"> </w:t>
      </w:r>
      <w:r>
        <w:rPr>
          <w:rFonts w:ascii="Times New Roman;sans-serif" w:hAnsi="Times New Roman;sans-serif"/>
          <w:b w:val="false"/>
          <w:color w:val="000000"/>
          <w:sz w:val="24"/>
        </w:rPr>
        <w:t>Dollars ($</w:t>
      </w:r>
      <w:r>
        <w:rPr>
          <w:color w:val="000000"/>
          <w:u w:val="single"/>
        </w:rPr>
        <w:t>        </w:t>
      </w:r>
      <w:r>
        <w:rPr>
          <w:rFonts w:ascii="Times New Roman;sans-serif" w:hAnsi="Times New Roman;sans-serif"/>
          <w:b w:val="false"/>
          <w:color w:val="000000"/>
          <w:sz w:val="24"/>
        </w:rPr>
        <w:t>)] therefor by the following method:</w:t>
      </w:r>
    </w:p>
    <w:p>
      <w:pPr>
        <w:pStyle w:val="TextBody"/>
        <w:bidi w:val="0"/>
        <w:spacing w:before="10"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(Check all that apply):</w:t>
      </w:r>
    </w:p>
    <w:p>
      <w:pPr>
        <w:pStyle w:val="TextBody"/>
        <w:bidi w:val="0"/>
        <w:spacing w:lineRule="auto" w:line="280" w:before="233" w:after="283"/>
        <w:ind w:left="0" w:right="0" w:firstLine="720"/>
        <w:jc w:val="left"/>
        <w:rPr/>
      </w:pPr>
      <w:r>
        <w:rPr>
          <w:color w:val="000000"/>
          <w:u w:val="single"/>
        </w:rPr>
        <w:t>    </w:t>
      </w:r>
      <w:r>
        <w:rPr>
          <w:color w:val="000000"/>
        </w:rPr>
        <w:t xml:space="preserve"> </w:t>
      </w:r>
      <w:r>
        <w:rPr>
          <w:rFonts w:ascii="Times New Roman;sans-serif" w:hAnsi="Times New Roman;sans-serif"/>
          <w:b w:val="false"/>
          <w:color w:val="000000"/>
          <w:sz w:val="24"/>
        </w:rPr>
        <w:t>(check if applicable) The undersigned hereby elects to make payment of the Aggregate Exercise Price of [</w:t>
      </w:r>
      <w:r>
        <w:rPr>
          <w:color w:val="000000"/>
          <w:u w:val="single"/>
        </w:rPr>
        <w:t>    </w:t>
      </w:r>
      <w:r>
        <w:rPr>
          <w:color w:val="000000"/>
        </w:rPr>
        <w:t xml:space="preserve"> </w:t>
      </w:r>
      <w:r>
        <w:rPr>
          <w:rFonts w:ascii="Times New Roman;sans-serif" w:hAnsi="Times New Roman;sans-serif"/>
          <w:b w:val="false"/>
          <w:color w:val="000000"/>
          <w:sz w:val="24"/>
        </w:rPr>
        <w:t>Dollars ($</w:t>
      </w:r>
      <w:r>
        <w:rPr>
          <w:color w:val="000000"/>
          <w:u w:val="single"/>
        </w:rPr>
        <w:t>    </w:t>
      </w:r>
      <w:r>
        <w:rPr>
          <w:rFonts w:ascii="Times New Roman;sans-serif" w:hAnsi="Times New Roman;sans-serif"/>
          <w:b w:val="false"/>
          <w:color w:val="000000"/>
          <w:sz w:val="24"/>
        </w:rPr>
        <w:t>)] for [(</w:t>
      </w:r>
      <w:r>
        <w:rPr>
          <w:color w:val="000000"/>
          <w:u w:val="single"/>
        </w:rPr>
        <w:t>    </w:t>
      </w:r>
      <w:r>
        <w:rPr>
          <w:rFonts w:ascii="Times New Roman;sans-serif" w:hAnsi="Times New Roman;sans-serif"/>
          <w:b w:val="false"/>
          <w:color w:val="000000"/>
          <w:sz w:val="24"/>
        </w:rPr>
        <w:t xml:space="preserve">)] shares of Common Stock comprising [Initial Warrant Shares][Tranche B Warrant Shares] using the method described in </w:t>
      </w:r>
      <w:r>
        <w:rPr>
          <w:rFonts w:ascii="Times New Roman;sans-serif" w:hAnsi="Times New Roman;sans-serif"/>
          <w:b/>
          <w:color w:val="000000"/>
          <w:sz w:val="24"/>
        </w:rPr>
        <w:t>Section 3(b)(i)</w:t>
      </w:r>
      <w:r>
        <w:rPr>
          <w:rFonts w:ascii="Times New Roman;sans-serif" w:hAnsi="Times New Roman;sans-serif"/>
          <w:b w:val="false"/>
          <w:color w:val="000000"/>
          <w:sz w:val="24"/>
        </w:rPr>
        <w:t>.</w:t>
      </w:r>
    </w:p>
    <w:p>
      <w:pPr>
        <w:pStyle w:val="TextBody"/>
        <w:bidi w:val="0"/>
        <w:spacing w:lineRule="auto" w:line="280" w:before="229" w:after="283"/>
        <w:ind w:left="0" w:right="0" w:firstLine="720"/>
        <w:jc w:val="left"/>
        <w:rPr/>
      </w:pPr>
      <w:r>
        <w:rPr>
          <w:color w:val="000000"/>
          <w:u w:val="single"/>
        </w:rPr>
        <w:t>    </w:t>
      </w:r>
      <w:r>
        <w:rPr>
          <w:color w:val="000000"/>
        </w:rPr>
        <w:t xml:space="preserve"> </w:t>
      </w:r>
      <w:r>
        <w:rPr>
          <w:rFonts w:ascii="Times New Roman;sans-serif" w:hAnsi="Times New Roman;sans-serif"/>
          <w:b w:val="false"/>
          <w:color w:val="000000"/>
          <w:sz w:val="24"/>
        </w:rPr>
        <w:t>(check if applicable) The undersigned hereby elects to make payment of the Aggregate Exercise Price of [</w:t>
      </w:r>
      <w:r>
        <w:rPr>
          <w:color w:val="000000"/>
          <w:u w:val="single"/>
        </w:rPr>
        <w:t>    </w:t>
      </w:r>
      <w:r>
        <w:rPr>
          <w:color w:val="000000"/>
        </w:rPr>
        <w:t xml:space="preserve"> </w:t>
      </w:r>
      <w:r>
        <w:rPr>
          <w:rFonts w:ascii="Times New Roman;sans-serif" w:hAnsi="Times New Roman;sans-serif"/>
          <w:b w:val="false"/>
          <w:color w:val="000000"/>
          <w:sz w:val="24"/>
        </w:rPr>
        <w:t>Dollars ($</w:t>
      </w:r>
      <w:r>
        <w:rPr>
          <w:color w:val="000000"/>
          <w:u w:val="single"/>
        </w:rPr>
        <w:t>    </w:t>
      </w:r>
      <w:r>
        <w:rPr>
          <w:rFonts w:ascii="Times New Roman;sans-serif" w:hAnsi="Times New Roman;sans-serif"/>
          <w:b w:val="false"/>
          <w:color w:val="000000"/>
          <w:sz w:val="24"/>
        </w:rPr>
        <w:t>)] for [(</w:t>
      </w:r>
      <w:r>
        <w:rPr>
          <w:color w:val="000000"/>
          <w:u w:val="single"/>
        </w:rPr>
        <w:t>    </w:t>
      </w:r>
      <w:r>
        <w:rPr>
          <w:rFonts w:ascii="Times New Roman;sans-serif" w:hAnsi="Times New Roman;sans-serif"/>
          <w:b w:val="false"/>
          <w:color w:val="000000"/>
          <w:sz w:val="24"/>
        </w:rPr>
        <w:t xml:space="preserve">)] shares of Common Stock comprising [Initial Warrant Shares][Tranche B Warrant Shares] using the method described in </w:t>
      </w:r>
      <w:r>
        <w:rPr>
          <w:rFonts w:ascii="Times New Roman;sans-serif" w:hAnsi="Times New Roman;sans-serif"/>
          <w:b/>
          <w:color w:val="000000"/>
          <w:sz w:val="24"/>
        </w:rPr>
        <w:t>Section 3(b)(ii)</w:t>
      </w:r>
      <w:r>
        <w:rPr>
          <w:rFonts w:ascii="Times New Roman;sans-serif" w:hAnsi="Times New Roman;sans-serif"/>
          <w:b w:val="false"/>
          <w:color w:val="000000"/>
          <w:sz w:val="24"/>
        </w:rPr>
        <w:t>.</w:t>
      </w:r>
    </w:p>
    <w:p>
      <w:pPr>
        <w:pStyle w:val="TextBody"/>
        <w:bidi w:val="0"/>
        <w:spacing w:lineRule="auto" w:line="280" w:before="229" w:after="283"/>
        <w:ind w:left="0" w:right="0" w:firstLine="720"/>
        <w:jc w:val="left"/>
        <w:rPr/>
      </w:pPr>
      <w:r>
        <w:rPr>
          <w:color w:val="000000"/>
          <w:u w:val="single"/>
        </w:rPr>
        <w:t>    </w:t>
      </w:r>
      <w:r>
        <w:rPr>
          <w:color w:val="000000"/>
        </w:rPr>
        <w:t xml:space="preserve"> </w:t>
      </w:r>
      <w:r>
        <w:rPr>
          <w:rFonts w:ascii="Times New Roman;sans-serif" w:hAnsi="Times New Roman;sans-serif"/>
          <w:b w:val="false"/>
          <w:color w:val="000000"/>
          <w:sz w:val="24"/>
        </w:rPr>
        <w:t>(check if applicable) The undersigned hereby elects to make payment of the Aggregate Exercise Price of [</w:t>
      </w:r>
      <w:r>
        <w:rPr>
          <w:color w:val="000000"/>
          <w:u w:val="single"/>
        </w:rPr>
        <w:t>    </w:t>
      </w:r>
      <w:r>
        <w:rPr>
          <w:color w:val="000000"/>
        </w:rPr>
        <w:t xml:space="preserve"> </w:t>
      </w:r>
      <w:r>
        <w:rPr>
          <w:rFonts w:ascii="Times New Roman;sans-serif" w:hAnsi="Times New Roman;sans-serif"/>
          <w:b w:val="false"/>
          <w:color w:val="000000"/>
          <w:sz w:val="24"/>
        </w:rPr>
        <w:t>Dollars ($</w:t>
      </w:r>
      <w:r>
        <w:rPr>
          <w:color w:val="000000"/>
          <w:u w:val="single"/>
        </w:rPr>
        <w:t>    </w:t>
      </w:r>
      <w:r>
        <w:rPr>
          <w:rFonts w:ascii="Times New Roman;sans-serif" w:hAnsi="Times New Roman;sans-serif"/>
          <w:b w:val="false"/>
          <w:color w:val="000000"/>
          <w:sz w:val="24"/>
        </w:rPr>
        <w:t>)] for [(</w:t>
      </w:r>
      <w:r>
        <w:rPr>
          <w:color w:val="000000"/>
          <w:u w:val="single"/>
        </w:rPr>
        <w:t>    </w:t>
      </w:r>
      <w:r>
        <w:rPr>
          <w:rFonts w:ascii="Times New Roman;sans-serif" w:hAnsi="Times New Roman;sans-serif"/>
          <w:b w:val="false"/>
          <w:color w:val="000000"/>
          <w:sz w:val="24"/>
        </w:rPr>
        <w:t xml:space="preserve">)] shares of Common Stock comprising [Initial Warrant Shares][Tranche B Warrant Shares] the method described in </w:t>
      </w:r>
      <w:r>
        <w:rPr>
          <w:rFonts w:ascii="Times New Roman;sans-serif" w:hAnsi="Times New Roman;sans-serif"/>
          <w:b/>
          <w:color w:val="000000"/>
          <w:sz w:val="24"/>
        </w:rPr>
        <w:t>Section 3(b)(iii)</w:t>
      </w:r>
      <w:r>
        <w:rPr>
          <w:rFonts w:ascii="Times New Roman;sans-serif" w:hAnsi="Times New Roman;sans-serif"/>
          <w:b w:val="false"/>
          <w:color w:val="000000"/>
          <w:sz w:val="24"/>
        </w:rPr>
        <w:t>.</w:t>
      </w:r>
    </w:p>
    <w:p>
      <w:pPr>
        <w:pStyle w:val="TextBody"/>
        <w:bidi w:val="0"/>
        <w:spacing w:lineRule="auto" w:line="280" w:before="229"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As a condition to this exercise, the undersigned hereby represents and warrants to the Company that the representations and warranties set forth in the Warrant Certificate are true and correct in all material respects as of the date hereof as if they had been made on such date.</w:t>
      </w:r>
    </w:p>
    <w:p>
      <w:pPr>
        <w:pStyle w:val="TextBody"/>
        <w:bidi w:val="0"/>
        <w:spacing w:before="4" w:after="283"/>
        <w:jc w:val="left"/>
        <w:rPr/>
      </w:pPr>
      <w:r>
        <w:rPr/>
      </w:r>
    </w:p>
    <w:p>
      <w:pPr>
        <w:pStyle w:val="TextBody"/>
        <w:bidi w:val="0"/>
        <w:spacing w:lineRule="auto" w:line="280" w:before="1"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Unless otherwise defined herein, capitalized terms have the meanings provided in the Warrant Certificate.</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DATED: </w:t>
      </w:r>
      <w:r>
        <w:rPr>
          <w:color w:val="000000"/>
          <w:u w:val="single"/>
        </w:rPr>
        <w:t>    </w:t>
      </w:r>
    </w:p>
    <w:p>
      <w:pPr>
        <w:pStyle w:val="TextBody"/>
        <w:bidi w:val="0"/>
        <w:spacing w:before="11" w:after="283"/>
        <w:jc w:val="left"/>
        <w:rPr/>
      </w:pPr>
      <w:r>
        <w:rPr/>
      </w:r>
    </w:p>
    <w:p>
      <w:pPr>
        <w:pStyle w:val="TextBody"/>
        <w:bidi w:val="0"/>
        <w:spacing w:lineRule="auto" w:line="240" w:before="56"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before="9" w:after="283"/>
        <w:jc w:val="left"/>
        <w:rPr/>
      </w:pPr>
      <w:r>
        <w:rPr/>
      </w:r>
    </w:p>
    <w:p>
      <w:pPr>
        <w:pStyle w:val="TextBody"/>
        <w:bidi w:val="0"/>
        <w:spacing w:lineRule="auto" w:line="276" w:before="1" w:after="283"/>
        <w:jc w:val="left"/>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Name: Title: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81050"/>
                <wp:effectExtent l="0" t="0" r="0" b="0"/>
                <wp:wrapNone/>
                <wp:docPr id="39" name="Frame35"/>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r>
                                    <w:br w:type="page"/>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40" w:type="dxa"/>
                        <w:jc w:val="left"/>
                        <w:tblInd w:w="0" w:type="dxa"/>
                        <w:tblLayout w:type="fixed"/>
                        <w:tblCellMar>
                          <w:top w:w="28" w:type="dxa"/>
                          <w:left w:w="28" w:type="dxa"/>
                          <w:bottom w:w="28" w:type="dxa"/>
                          <w:right w:w="28" w:type="dxa"/>
                        </w:tblCellMar>
                      </w:tblPr>
                      <w:tblGrid>
                        <w:gridCol w:w="172"/>
                        <w:gridCol w:w="151"/>
                        <w:gridCol w:w="217"/>
                      </w:tblGrid>
                      <w:tr>
                        <w:trPr/>
                        <w:tc>
                          <w:tcPr>
                            <w:tcW w:w="17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540"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FORM OF ASSIGNMENT</w:t>
      </w:r>
    </w:p>
    <w:p>
      <w:pPr>
        <w:pStyle w:val="TextBody"/>
        <w:bidi w:val="0"/>
        <w:spacing w:before="76" w:after="283"/>
        <w:ind w:left="0" w:right="0" w:firstLine="1338"/>
        <w:jc w:val="left"/>
        <w:rPr/>
      </w:pPr>
      <w:r>
        <w:rPr/>
      </w:r>
    </w:p>
    <w:p>
      <w:pPr>
        <w:pStyle w:val="TextBody"/>
        <w:bidi w:val="0"/>
        <w:spacing w:lineRule="auto" w:line="280" w:before="0" w:after="0"/>
        <w:ind w:left="0" w:right="0" w:firstLine="1338"/>
        <w:jc w:val="left"/>
        <w:rPr>
          <w:rFonts w:ascii="Times New Roman;sans-serif" w:hAnsi="Times New Roman;sans-serif"/>
          <w:b/>
          <w:color w:val="000000"/>
          <w:sz w:val="24"/>
        </w:rPr>
      </w:pPr>
      <w:r>
        <w:rPr>
          <w:rFonts w:ascii="Times New Roman;sans-serif" w:hAnsi="Times New Roman;sans-serif"/>
          <w:b/>
          <w:color w:val="000000"/>
          <w:sz w:val="24"/>
        </w:rPr>
        <w:t>Exhibit B to Warrant Certificate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81050"/>
                <wp:effectExtent l="0" t="0" r="0" b="0"/>
                <wp:wrapNone/>
                <wp:docPr id="40" name="Frame36"/>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B-1</w:t>
                            </w:r>
                          </w:p>
                        </w:tc>
                      </w:tr>
                    </w:tbl>
                    <w:p>
                      <w:pPr>
                        <w:pStyle w:val="TextBody"/>
                        <w:bidi w:val="0"/>
                        <w:spacing w:before="0" w:after="283"/>
                        <w:jc w:val="left"/>
                        <w:rPr/>
                      </w:pPr>
                      <w:r>
                        <w:rPr/>
                      </w:r>
                    </w:p>
                  </w:txbxContent>
                </v:textbox>
                <w10:wrap type="none"/>
              </v:rect>
            </w:pict>
          </mc:Fallback>
        </mc:AlternateContent>
      </w:r>
    </w:p>
    <w:p>
      <w:pPr>
        <w:pStyle w:val="TextBody"/>
        <w:bidi w:val="0"/>
        <w:spacing w:before="9" w:after="283"/>
        <w:jc w:val="left"/>
        <w:rPr/>
      </w:pPr>
      <w:r>
        <w:rPr/>
      </w:r>
    </w:p>
    <w:p>
      <w:pPr>
        <w:pStyle w:val="TextBody"/>
        <w:bidi w:val="0"/>
        <w:spacing w:lineRule="auto" w:line="280" w:before="90" w:after="283"/>
        <w:ind w:left="0" w:right="0" w:firstLine="720"/>
        <w:jc w:val="left"/>
        <w:rPr/>
      </w:pPr>
      <w:r>
        <w:rPr>
          <w:rFonts w:ascii="Times New Roman;sans-serif" w:hAnsi="Times New Roman;sans-serif"/>
          <w:b w:val="false"/>
          <w:color w:val="000000"/>
          <w:sz w:val="24"/>
        </w:rPr>
        <w:t>THE UNDERSIGNED, Perceptive Credit Holdings IV, LP, is the holder (in such capacity, the “</w:t>
      </w:r>
      <w:r>
        <w:rPr>
          <w:rFonts w:ascii="Times New Roman;sans-serif" w:hAnsi="Times New Roman;sans-serif"/>
          <w:b/>
          <w:i/>
          <w:color w:val="000000"/>
          <w:sz w:val="24"/>
        </w:rPr>
        <w:t>Holder</w:t>
      </w:r>
      <w:r>
        <w:rPr>
          <w:color w:val="000000"/>
        </w:rPr>
        <w:t>”</w:t>
      </w:r>
      <w:r>
        <w:rPr>
          <w:rFonts w:ascii="Times New Roman;sans-serif" w:hAnsi="Times New Roman;sans-serif"/>
          <w:b w:val="false"/>
          <w:color w:val="000000"/>
          <w:sz w:val="24"/>
        </w:rPr>
        <w:t>) of a warrant certificate issued by GENEDX HOLDINGS CORP., a Delaware corporation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bearing Warrant Certificate No. 001 (the “</w:t>
      </w:r>
      <w:r>
        <w:rPr>
          <w:rFonts w:ascii="Times New Roman;sans-serif" w:hAnsi="Times New Roman;sans-serif"/>
          <w:b/>
          <w:i/>
          <w:color w:val="000000"/>
          <w:sz w:val="24"/>
        </w:rPr>
        <w:t>Warrant Certificate</w:t>
      </w:r>
      <w:r>
        <w:rPr>
          <w:color w:val="000000"/>
        </w:rPr>
        <w:t>”</w:t>
      </w:r>
      <w:r>
        <w:rPr>
          <w:rFonts w:ascii="Times New Roman;sans-serif" w:hAnsi="Times New Roman;sans-serif"/>
          <w:b w:val="false"/>
          <w:color w:val="000000"/>
          <w:sz w:val="24"/>
        </w:rPr>
        <w:t>), entitling the Holder to purchase up to 1,200,000 shares of the Company’s Common Stock. Unless otherwise defined, capitalized terms used herein have the meanings ascribed thereto in the Warrant Certificate.</w:t>
      </w:r>
    </w:p>
    <w:p>
      <w:pPr>
        <w:pStyle w:val="TextBody"/>
        <w:bidi w:val="0"/>
        <w:spacing w:lineRule="auto" w:line="240" w:before="229" w:after="283"/>
        <w:ind w:left="0" w:right="0" w:firstLine="720"/>
        <w:jc w:val="left"/>
        <w:rPr/>
      </w:pPr>
      <w:r>
        <w:rPr>
          <w:rFonts w:ascii="Times New Roman;sans-serif" w:hAnsi="Times New Roman;sans-serif"/>
          <w:b w:val="false"/>
          <w:color w:val="000000"/>
          <w:sz w:val="24"/>
        </w:rPr>
        <w:t>FOR VALUE RECEIVED, the Holder hereby sells, assigns and transfers to [NAME OF ASSIGNEE] (the “</w:t>
      </w:r>
      <w:r>
        <w:rPr>
          <w:rFonts w:ascii="Times New Roman;sans-serif" w:hAnsi="Times New Roman;sans-serif"/>
          <w:b/>
          <w:i/>
          <w:color w:val="000000"/>
          <w:sz w:val="24"/>
        </w:rPr>
        <w:t>Assignee</w:t>
      </w:r>
      <w:r>
        <w:rPr>
          <w:color w:val="000000"/>
        </w:rPr>
        <w:t>”</w:t>
      </w:r>
      <w:r>
        <w:rPr>
          <w:rFonts w:ascii="Times New Roman;sans-serif" w:hAnsi="Times New Roman;sans-serif"/>
          <w:b w:val="false"/>
          <w:color w:val="000000"/>
          <w:sz w:val="24"/>
        </w:rPr>
        <w:t>) the right to acquire [all Warrant Shares entitled to be purchased upon exercise of the Warrant Certificate] [</w:t>
      </w:r>
      <w:r>
        <w:rPr>
          <w:color w:val="000000"/>
          <w:u w:val="single"/>
        </w:rPr>
        <w:t>    </w:t>
      </w:r>
      <w:r>
        <w:rPr>
          <w:color w:val="000000"/>
        </w:rPr>
        <w:t xml:space="preserve"> </w:t>
      </w:r>
      <w:r>
        <w:rPr>
          <w:rFonts w:ascii="Times New Roman;sans-serif" w:hAnsi="Times New Roman;sans-serif"/>
          <w:b w:val="false"/>
          <w:color w:val="000000"/>
          <w:sz w:val="24"/>
        </w:rPr>
        <w:t>of the [Initial Warrant Shares][Tranche B Warrant Shares] entitled to be purchased upon exercise of the Warrant Certificate]. In furtherance of the foregoing assignment, the Holder hereby irrevocably instructs the Company to</w:t>
      </w:r>
    </w:p>
    <w:p>
      <w:pPr>
        <w:pStyle w:val="TextBody"/>
        <w:bidi w:val="0"/>
        <w:spacing w:lineRule="auto" w:line="240" w:before="2" w:after="283"/>
        <w:jc w:val="both"/>
        <w:rPr/>
      </w:pPr>
      <w:r>
        <w:rPr>
          <w:rFonts w:ascii="Times New Roman;sans-serif" w:hAnsi="Times New Roman;sans-serif"/>
          <w:b w:val="false"/>
          <w:color w:val="000000"/>
          <w:sz w:val="24"/>
        </w:rPr>
        <w:t xml:space="preserve">(i) memorialize such assignment on the Warrant Register as required pursuant to </w:t>
      </w:r>
      <w:r>
        <w:rPr>
          <w:rFonts w:ascii="Times New Roman;sans-serif" w:hAnsi="Times New Roman;sans-serif"/>
          <w:b/>
          <w:color w:val="000000"/>
          <w:sz w:val="24"/>
        </w:rPr>
        <w:t xml:space="preserve">Section 7 </w:t>
      </w:r>
      <w:r>
        <w:rPr>
          <w:rFonts w:ascii="Times New Roman;sans-serif" w:hAnsi="Times New Roman;sans-serif"/>
          <w:b w:val="false"/>
          <w:color w:val="000000"/>
          <w:sz w:val="24"/>
        </w:rPr>
        <w:t xml:space="preserve">of the Warrant Certificate, and (ii) pursuant to </w:t>
      </w:r>
      <w:r>
        <w:rPr>
          <w:rFonts w:ascii="Times New Roman;sans-serif" w:hAnsi="Times New Roman;sans-serif"/>
          <w:b/>
          <w:color w:val="000000"/>
          <w:sz w:val="24"/>
        </w:rPr>
        <w:t xml:space="preserve">Section 8 </w:t>
      </w:r>
      <w:r>
        <w:rPr>
          <w:rFonts w:ascii="Times New Roman;sans-serif" w:hAnsi="Times New Roman;sans-serif"/>
          <w:b w:val="false"/>
          <w:color w:val="000000"/>
          <w:sz w:val="24"/>
        </w:rPr>
        <w:t>of the Warrant Certificate, execute and deliver to the Assignee [and the Holder] a new Warrant Certificate [new Warrant Certificates] reflecting the foregoing assignment ([each] a “</w:t>
      </w:r>
      <w:r>
        <w:rPr>
          <w:rFonts w:ascii="Times New Roman;sans-serif" w:hAnsi="Times New Roman;sans-serif"/>
          <w:b/>
          <w:i/>
          <w:color w:val="000000"/>
          <w:sz w:val="24"/>
        </w:rPr>
        <w:t>Substitute Warrant Certificate</w:t>
      </w:r>
      <w:r>
        <w:rPr>
          <w:color w:val="000000"/>
        </w:rPr>
        <w:t>”</w:t>
      </w:r>
      <w:r>
        <w:rPr>
          <w:rFonts w:ascii="Times New Roman;sans-serif" w:hAnsi="Times New Roman;sans-serif"/>
          <w:b w:val="false"/>
          <w:color w:val="000000"/>
          <w:sz w:val="24"/>
        </w:rPr>
        <w:t>).</w:t>
      </w:r>
    </w:p>
    <w:p>
      <w:pPr>
        <w:pStyle w:val="TextBody"/>
        <w:bidi w:val="0"/>
        <w:spacing w:before="10" w:after="283"/>
        <w:jc w:val="left"/>
        <w:rPr/>
      </w:pPr>
      <w:r>
        <w:rPr/>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The Assignee acknowledges and agrees that its Substitute Warrant Certificate and the Warrant Shares to be issued upon exercise thereof are being acquired for investment and that the Assignee will not offer, sell or otherwise dispose of its Substitute Warrant Certificate or any Warrant Shares to be issued upon exercise or conversion thereof except under circumstances which will not result in a violation of the Securities Act or any applicable state securities laws. The Assignee represents and warrants for the benefit of the Company that the Assignee is an “accredited investor” within the meaning of Rule 501 of Regulation D promulgated under the Securities Act of 1933, as amended.</w:t>
      </w:r>
    </w:p>
    <w:p>
      <w:pPr>
        <w:pStyle w:val="TextBody"/>
        <w:bidi w:val="0"/>
        <w:spacing w:before="10" w:after="283"/>
        <w:jc w:val="left"/>
        <w:rPr/>
      </w:pPr>
      <w:r>
        <w:rPr/>
      </w:r>
    </w:p>
    <w:p>
      <w:pPr>
        <w:pStyle w:val="TextBody"/>
        <w:bidi w:val="0"/>
        <w:spacing w:lineRule="auto" w:line="240" w:before="1" w:after="283"/>
        <w:ind w:left="0" w:right="0" w:firstLine="720"/>
        <w:jc w:val="left"/>
        <w:rPr/>
      </w:pPr>
      <w:r>
        <w:rPr>
          <w:rFonts w:ascii="Times New Roman;sans-serif" w:hAnsi="Times New Roman;sans-serif"/>
          <w:b w:val="false"/>
          <w:color w:val="000000"/>
          <w:sz w:val="24"/>
        </w:rPr>
        <w:t xml:space="preserve">To the extent required pursuant to </w:t>
      </w:r>
      <w:r>
        <w:rPr>
          <w:rFonts w:ascii="Times New Roman;sans-serif" w:hAnsi="Times New Roman;sans-serif"/>
          <w:b/>
          <w:color w:val="000000"/>
          <w:sz w:val="24"/>
        </w:rPr>
        <w:t xml:space="preserve">Section 12 </w:t>
      </w:r>
      <w:r>
        <w:rPr>
          <w:rFonts w:ascii="Times New Roman;sans-serif" w:hAnsi="Times New Roman;sans-serif"/>
          <w:b w:val="false"/>
          <w:color w:val="000000"/>
          <w:sz w:val="24"/>
        </w:rPr>
        <w:t xml:space="preserve">of the Warrant Certificate, the Assignee acknowledges and agrees that a restrictive legend shall be applied to the Assignee’s Substitute Warrant Certificate and the Warrant Shares issuable upon exercise of such certificate substantially consistent with the legend set forth in </w:t>
      </w:r>
      <w:r>
        <w:rPr>
          <w:rFonts w:ascii="Times New Roman;sans-serif" w:hAnsi="Times New Roman;sans-serif"/>
          <w:b/>
          <w:color w:val="000000"/>
          <w:sz w:val="24"/>
        </w:rPr>
        <w:t>Section 12(a)(i)</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214"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81050"/>
                <wp:effectExtent l="0" t="0" r="0" b="0"/>
                <wp:wrapNone/>
                <wp:docPr id="41" name="Frame37"/>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r>
                                    <w:br w:type="page"/>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0pt;mso-position-horizontal:left;mso-position-horizontal-relative:text">
                <v:textbo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32"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76" w:before="0" w:after="0"/>
        <w:jc w:val="left"/>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Name: Title:</w:t>
      </w:r>
    </w:p>
    <w:p>
      <w:pPr>
        <w:pStyle w:val="TextBody"/>
        <w:bidi w:val="0"/>
        <w:spacing w:before="9" w:after="283"/>
        <w:jc w:val="left"/>
        <w:rPr/>
      </w:pPr>
      <w:r>
        <w:rPr/>
      </w:r>
    </w:p>
    <w:p>
      <w:pPr>
        <w:pStyle w:val="TextBody"/>
        <w:bidi w:val="0"/>
        <w:spacing w:lineRule="auto" w:line="556" w:before="9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Accepted and agreed, [NAME OF ASSIGNEE]</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 xml:space="preserve">By </w:t>
      </w:r>
      <w:r>
        <w:rPr>
          <w:color w:val="000000"/>
          <w:u w:val="single"/>
        </w:rPr>
        <w:t>    </w:t>
      </w:r>
    </w:p>
    <w:p>
      <w:pPr>
        <w:pStyle w:val="TextBody"/>
        <w:bidi w:val="0"/>
        <w:spacing w:lineRule="auto" w:line="276" w:before="5"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w:t>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81050"/>
                <wp:effectExtent l="0" t="0" r="0" b="0"/>
                <wp:wrapNone/>
                <wp:docPr id="42" name="Frame38"/>
                <a:graphic xmlns:a="http://schemas.openxmlformats.org/drawingml/2006/main">
                  <a:graphicData uri="http://schemas.microsoft.com/office/word/2010/wordprocessingShape">
                    <wps:wsp>
                      <wps:cNvSpPr txBox="1"/>
                      <wps:spPr>
                        <a:xfrm>
                          <a:off x="0" y="0"/>
                          <a:ext cx="6480175" cy="781050"/>
                        </a:xfrm>
                        <a:prstGeom prst="rect"/>
                        <a:solidFill>
                          <a:srgbClr val="FFFFFF"/>
                        </a:solidFill>
                      </wps:spPr>
                      <wps:txb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5pt;mso-wrap-distance-left:0pt;mso-wrap-distance-right:0pt;mso-wrap-distance-top:0pt;mso-wrap-distance-bottom:0pt;margin-top:0pt;mso-position-vertical:top;mso-position-vertical-relative:text;margin-left:-420pt;mso-position-horizontal:left;mso-position-horizontal-relative:text">
                <v:textbox>
                  <w:txbxContent>
                    <w:tbl>
                      <w:tblPr>
                        <w:tblW w:w="524" w:type="dxa"/>
                        <w:jc w:val="left"/>
                        <w:tblInd w:w="0" w:type="dxa"/>
                        <w:tblLayout w:type="fixed"/>
                        <w:tblCellMar>
                          <w:top w:w="28" w:type="dxa"/>
                          <w:left w:w="28" w:type="dxa"/>
                          <w:bottom w:w="28" w:type="dxa"/>
                          <w:right w:w="28" w:type="dxa"/>
                        </w:tblCellMar>
                      </w:tblPr>
                      <w:tblGrid>
                        <w:gridCol w:w="168"/>
                        <w:gridCol w:w="147"/>
                        <w:gridCol w:w="209"/>
                      </w:tblGrid>
                      <w:tr>
                        <w:trPr/>
                        <w:tc>
                          <w:tcPr>
                            <w:tcW w:w="16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cMar>
                              <w:top w:w="0" w:type="dxa"/>
                              <w:left w:w="0" w:type="dxa"/>
                              <w:bottom w:w="0" w:type="dxa"/>
                              <w:right w:w="0" w:type="dxa"/>
                            </w:tcMar>
                            <w:vAlign w:val="center"/>
                          </w:tcPr>
                          <w:p>
                            <w:pPr>
                              <w:pStyle w:val="TableContents"/>
                              <w:bidi w:val="0"/>
                              <w:spacing w:lineRule="auto" w:line="240" w:before="1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5"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Credit Agreement and Guaranty</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October 27, 2023</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among</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Sema4 OpCo, Inc.,</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GeneDx, LLC,</w:t>
        <w:br/>
        <w:t>as Borrowers,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The Guarantors from Time to Time Party hereto,</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Guarantors,</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The Lenders from Time to Time Party hereto, </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Lenders,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the Administrative Agent and as a Lender</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43"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Heading    Page</w:t>
      </w:r>
    </w:p>
    <w:tbl>
      <w:tblPr>
        <w:tblW w:w="8176" w:type="dxa"/>
        <w:jc w:val="left"/>
        <w:tblInd w:w="0" w:type="dxa"/>
        <w:tblLayout w:type="fixed"/>
        <w:tblCellMar>
          <w:top w:w="28" w:type="dxa"/>
          <w:left w:w="28" w:type="dxa"/>
          <w:bottom w:w="28" w:type="dxa"/>
          <w:right w:w="28" w:type="dxa"/>
        </w:tblCellMar>
      </w:tblPr>
      <w:tblGrid>
        <w:gridCol w:w="2819"/>
        <w:gridCol w:w="2478"/>
        <w:gridCol w:w="2488"/>
        <w:gridCol w:w="114"/>
        <w:gridCol w:w="114"/>
        <w:gridCol w:w="163"/>
      </w:tblGrid>
      <w:tr>
        <w:trPr/>
        <w:tc>
          <w:tcPr>
            <w:tcW w:w="2819"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I    Definitions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1.01.    Certain Defined Terms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1.02.    Accounting Terms and Principles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1.03.    Interpretation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34</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1.04.    Divisions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34</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2    The Commitments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2.01.    Term Loan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2.02.    Proportionate Shares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2.03.    Fees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2.04.    Notes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2.05.    Use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3    Payments of Principal and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3.01.    Repayment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3.02.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37</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3.03.    Prepayments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39</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4    Payments,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42</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4.01.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42</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4.02.    Computations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4.03.    Notices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4.04.    Set-Off</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44</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5    Yield Protection,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44</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5.01.    Additional Costs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44</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5.02.    Illegality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5.03.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46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5.04.    Delay in Requests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50</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6    Conditions Precedent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6.01.    Conditions to Closing Date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6.02.    Conditions to Tranche B Loan; Tranche B Loan Borrowing Date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53</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7    Representations and Warranties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7.01.    Power and Authority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7.02.    Authorization; Enforceability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7.03.    Governmental and Other Approvals; No Conflicts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55</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7.04.    Financial Statements; Projections; Material Adverse Change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7.05.    Properties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56</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7.06.    No Actions or Proceedings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58</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7.07.    Compliance with Laws and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59</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7.08.    Taxes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61</w:t>
              </w:r>
            </w:hyperlink>
          </w:p>
        </w:tc>
      </w:tr>
      <w:tr>
        <w:trPr/>
        <w:tc>
          <w:tcPr>
            <w:tcW w:w="77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7.09.    Full Disclosure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61</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44"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w:t>
                      </w:r>
                    </w:p>
                  </w:txbxContent>
                </v:textbox>
                <w10:wrap type="none"/>
              </v:rect>
            </w:pict>
          </mc:Fallback>
        </mc:AlternateContent>
      </w:r>
    </w:p>
    <w:tbl>
      <w:tblPr>
        <w:tblW w:w="9165" w:type="dxa"/>
        <w:jc w:val="left"/>
        <w:tblInd w:w="0" w:type="dxa"/>
        <w:tblLayout w:type="fixed"/>
        <w:tblCellMar>
          <w:top w:w="28" w:type="dxa"/>
          <w:left w:w="28" w:type="dxa"/>
          <w:bottom w:w="28" w:type="dxa"/>
          <w:right w:w="28" w:type="dxa"/>
        </w:tblCellMar>
      </w:tblPr>
      <w:tblGrid>
        <w:gridCol w:w="3176"/>
        <w:gridCol w:w="2795"/>
        <w:gridCol w:w="2803"/>
        <w:gridCol w:w="114"/>
        <w:gridCol w:w="114"/>
        <w:gridCol w:w="163"/>
      </w:tblGrid>
      <w:tr>
        <w:trPr/>
        <w:tc>
          <w:tcPr>
            <w:tcW w:w="3176"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80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7.10.    Regulation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7.11.    Solvency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7.12.    Subsidiaries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7.13.    Indebtedness and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7.14.    Material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7.15.    Restrictive Agreements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7.16.    Real Property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63</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7.17.    Pension and Other Plans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63</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7.18.    Collateral; Security Interest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63</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7.19.    Regulatory Approvals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63</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7.20.    Capitalization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65</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7.21.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65</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7.22.    Certain Fees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7.23.    Sanctions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7.24.    Anti-Corruption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7.25.    Anti-Terrorism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7.26.    Royalty and Other Payments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8    Affirmative Covenants and Financial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8.01.    Financial Statements and Other Information</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8.02.    Notices of Material Events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69</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8.03.    Existence; Maintenance of Properties,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72</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8.04.    Payment of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73</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8.05.    Insurance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73</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8.06.    Books and Records; Inspection Rights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74</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8.07.    Compliance with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75</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8.08.    Licenses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75</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8.09.    Action under Environmental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75</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8.10.    Use of Proceeds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75</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8.11.    Certain Obligations Respecting Subsidiaries; Further Assurances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76</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8.12.    Termination of Non-Permitted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77</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8.13.    [Reserved]</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77</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8.14.    Anti-Terrorism and Anti-Corruption Laws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77</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8.15.    Minimum Liquidity</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78</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8.16.    Minimum Total Revenue</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78</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8.17.    Maintenance of Regulatory Approvals, Contracts, Intellectual Property, Etc.</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79</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8.18.    Cash Management</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79</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8.19.    Certain Post-Funding Obligations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80</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9    Negative Covenants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80</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9.01.    Indebtedness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80</w:t>
              </w:r>
            </w:hyperlink>
          </w:p>
        </w:tc>
      </w:tr>
      <w:tr>
        <w:trPr/>
        <w:tc>
          <w:tcPr>
            <w:tcW w:w="87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9.02.    Liens</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82</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45"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w:t>
                      </w:r>
                    </w:p>
                  </w:txbxContent>
                </v:textbox>
                <w10:wrap type="none"/>
              </v:rect>
            </w:pict>
          </mc:Fallback>
        </mc:AlternateContent>
      </w:r>
    </w:p>
    <w:tbl>
      <w:tblPr>
        <w:tblW w:w="7786" w:type="dxa"/>
        <w:jc w:val="left"/>
        <w:tblInd w:w="0" w:type="dxa"/>
        <w:tblLayout w:type="fixed"/>
        <w:tblCellMar>
          <w:top w:w="28" w:type="dxa"/>
          <w:left w:w="28" w:type="dxa"/>
          <w:bottom w:w="28" w:type="dxa"/>
          <w:right w:w="28" w:type="dxa"/>
        </w:tblCellMar>
      </w:tblPr>
      <w:tblGrid>
        <w:gridCol w:w="2635"/>
        <w:gridCol w:w="2318"/>
        <w:gridCol w:w="2322"/>
        <w:gridCol w:w="148"/>
        <w:gridCol w:w="148"/>
        <w:gridCol w:w="215"/>
      </w:tblGrid>
      <w:tr>
        <w:trPr/>
        <w:tc>
          <w:tcPr>
            <w:tcW w:w="2635" w:type="dxa"/>
            <w:tcBorders/>
            <w:vAlign w:val="center"/>
          </w:tcPr>
          <w:p>
            <w:pPr>
              <w:pStyle w:val="TableContents"/>
              <w:bidi w:val="0"/>
              <w:spacing w:before="0" w:after="283"/>
              <w:jc w:val="left"/>
              <w:rPr>
                <w:sz w:val="4"/>
                <w:szCs w:val="4"/>
              </w:rPr>
            </w:pPr>
            <w:r>
              <w:rPr>
                <w:sz w:val="4"/>
                <w:szCs w:val="4"/>
              </w:rPr>
            </w:r>
          </w:p>
        </w:tc>
        <w:tc>
          <w:tcPr>
            <w:tcW w:w="2318"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9.03.    Fundamental Changes and Acquisitions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84</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9.04.    Lines of Business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85</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9.05.    Investments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85</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9.06.    Restricted Payments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87</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9.07.    Payments of Indebtedness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87</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9.08.    Change in Fiscal Year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87</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9.09.    Sales of Assets,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88</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9.10.    Transactions with Affiliates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89</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9.11.    Restrictive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90</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9.12.    Organizational Documents, Material Agreements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90</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9.13.    Holding Company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9.14.    Sales and Leasebacks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9.15.    Hazardous Material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9.16.    Accounting Changes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9.17.    Compliance with ERISA</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9.18.    Deposit Accounts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92</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9.19.    Outbound Licenses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92</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9.20.    Inbound Licenses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92</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10    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92</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10.01.    Events of Default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92</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10.02.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95</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10.03.    Prepayment Premium and Redemption Price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96</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11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96</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11.01.    The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96</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11.02.    Obligations Unconditional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97</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11.03.    Reinstatement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98</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11.04.    Subrogation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99</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11.05.    Remedies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99</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11.06.    Instrument for the Payment of Money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99</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11.07.    Continuing Guarantee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99</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11.08.    Rights of Contribution</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100</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11.09.    General Limitation on Guarantee Obligations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100</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12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12.01.    Appointment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12.02.    Rights as a Lender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12.03.    Exculpatory Provisions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101</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12.04.    Reliance by Administrative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102</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12.05.    Delegation of Duties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103</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12.06.    Resignation of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103</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12.07.    Non-Reliance on Administrative Agent and Other Lenders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104</w:t>
              </w:r>
            </w:hyperlink>
          </w:p>
        </w:tc>
      </w:tr>
      <w:tr>
        <w:trPr/>
        <w:tc>
          <w:tcPr>
            <w:tcW w:w="72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12.08.    Administrative Agent May File Proofs of Claim</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104</w:t>
              </w:r>
            </w:hyperlink>
          </w:p>
        </w:tc>
      </w:tr>
    </w:tbl>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46"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-iii-</w:t>
                      </w:r>
                    </w:p>
                  </w:txbxContent>
                </v:textbox>
                <w10:wrap type="none"/>
              </v:rect>
            </w:pict>
          </mc:Fallback>
        </mc:AlternateContent>
      </w:r>
    </w:p>
    <w:tbl>
      <w:tblPr>
        <w:tblW w:w="9060" w:type="dxa"/>
        <w:jc w:val="left"/>
        <w:tblInd w:w="0" w:type="dxa"/>
        <w:tblLayout w:type="fixed"/>
        <w:tblCellMar>
          <w:top w:w="28" w:type="dxa"/>
          <w:left w:w="28" w:type="dxa"/>
          <w:bottom w:w="28" w:type="dxa"/>
          <w:right w:w="28" w:type="dxa"/>
        </w:tblCellMar>
      </w:tblPr>
      <w:tblGrid>
        <w:gridCol w:w="3099"/>
        <w:gridCol w:w="2722"/>
        <w:gridCol w:w="2728"/>
        <w:gridCol w:w="149"/>
        <w:gridCol w:w="149"/>
        <w:gridCol w:w="213"/>
      </w:tblGrid>
      <w:tr>
        <w:trPr/>
        <w:tc>
          <w:tcPr>
            <w:tcW w:w="3099" w:type="dxa"/>
            <w:tcBorders/>
            <w:vAlign w:val="center"/>
          </w:tcPr>
          <w:p>
            <w:pPr>
              <w:pStyle w:val="TableContents"/>
              <w:bidi w:val="0"/>
              <w:spacing w:before="0" w:after="283"/>
              <w:jc w:val="left"/>
              <w:rPr>
                <w:sz w:val="4"/>
                <w:szCs w:val="4"/>
              </w:rPr>
            </w:pPr>
            <w:r>
              <w:rPr>
                <w:sz w:val="4"/>
                <w:szCs w:val="4"/>
              </w:rPr>
            </w:r>
          </w:p>
        </w:tc>
        <w:tc>
          <w:tcPr>
            <w:tcW w:w="2722"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12.09.    Collateral and Guaranty Matters; Appointment of Collateral Agent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104</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Article 13    Miscellaneous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13.01.    No Waiver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13.02.    Notices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13.03.    Expenses, Indemnification,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106</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13.04.    Amendments, Etc</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107</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13.05.    Successors and Assigns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108</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13.06.    Survival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13.07.    Captions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13.08.    Counterparts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111</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13.09.    Governing Law</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112</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13.10.    Jurisdiction, Service of Process and Venue</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112</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13.11.    Waiver of Jury Trial</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13.12.    Waiver of Immunity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13.13.    Entire Agreement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13.14.    Severability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13.15.    No Fiduciary Relationship</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13.16.    USA Patriot Act</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113</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13.17.    Treatment of Certain Information; Confidentiality</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114</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13.18.    Releases of Guarantees and Liens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13.19.    Acknowledgement and Consent to Bail-In of EEA Financial Institutions</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115</w:t>
              </w:r>
            </w:hyperlink>
          </w:p>
        </w:tc>
      </w:tr>
      <w:tr>
        <w:trPr/>
        <w:tc>
          <w:tcPr>
            <w:tcW w:w="85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13.20.    Administrative Borrower</w:t>
            </w:r>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3f9461c6c1b49b08b9592b06f455e95_7">
              <w:r>
                <w:rPr>
                  <w:rStyle w:val="InternetLink"/>
                  <w:rFonts w:ascii="Times New Roman;sans-serif" w:hAnsi="Times New Roman;sans-serif"/>
                  <w:b w:val="false"/>
                  <w:strike w:val="false"/>
                  <w:dstrike w:val="false"/>
                  <w:color w:val="000000"/>
                  <w:sz w:val="24"/>
                  <w:u w:val="none"/>
                  <w:effect w:val="none"/>
                </w:rPr>
                <w:t>116</w:t>
              </w:r>
            </w:hyperlink>
          </w:p>
        </w:tc>
      </w:tr>
    </w:tbl>
    <w:p>
      <w:pPr>
        <w:pStyle w:val="TextBody"/>
        <w:bidi w:val="0"/>
        <w:spacing w:before="0" w:after="0"/>
        <w:jc w:val="left"/>
        <w:rPr/>
      </w:pPr>
      <w:r>
        <w:rPr/>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Schedules:</w:t>
      </w:r>
    </w:p>
    <w:p>
      <w:pPr>
        <w:pStyle w:val="TextBody"/>
        <w:bidi w:val="0"/>
        <w:spacing w:lineRule="auto" w:line="259" w:before="20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Schedule 1    —    Commitments and Warrant Shares</w:t>
        <w:br/>
        <w:t>Schedule 2    —    Notice Addresses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3    —    Products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7.05(b)    —    Obligor Intellectual Property</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7.14    —    Material Agreements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7.15    —    Restrictive Agreements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7.16    —    Real Property</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7.17    —    Pension Matters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7.19(b)    —    Regulatory Approvals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7.22    —    Broker’s Fee</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7.26    —    Royalty and Other Payments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8.17    —    Sweep Accounts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8.18    —    Post-Closing Obligations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9.01(a)    —    Permitted Indebtedness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9.02(b)    —    Permitted Liens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9.05    —    Existing Investments</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 9.10    —    Transactions with Affiliates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7"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-iv-</w:t>
                      </w:r>
                    </w:p>
                  </w:txbxContent>
                </v:textbox>
                <w10:wrap type="none"/>
              </v:rect>
            </w:pict>
          </mc:Fallback>
        </mc:AlternateConten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p>
      <w:pPr>
        <w:pStyle w:val="TextBody"/>
        <w:bidi w:val="0"/>
        <w:spacing w:lineRule="auto" w:line="259" w:before="20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 A    —    Form of Guarantee Assumption Agreement</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B    —    Form of Borrowing Notice</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C    —    Form of Note</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D    —    Form of U.S. Tax Compliance Certificate</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E    —    Form of Compliance Certificate</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F    —    Form of Assignment Agreement</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G    —    Form of Security Agreement</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H-1    —    Form of Patent &amp; Trademark Security Agreement</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H-2    —    Form of Copyright Security Agreement</w:t>
      </w:r>
    </w:p>
    <w:p>
      <w:pPr>
        <w:pStyle w:val="TextBody"/>
        <w:bidi w:val="0"/>
        <w:spacing w:lineRule="auto" w:line="259"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I    —    Form of Collateral Questionnaire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8"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-v-</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Credit Agreement And Guaranty, dated as of October 27, 2023 (this </w:t>
      </w:r>
      <w:r>
        <w:rPr>
          <w:color w:val="000000"/>
        </w:rPr>
        <w:t>“</w:t>
      </w:r>
      <w:r>
        <w:rPr>
          <w:rFonts w:ascii="Times New Roman;sans-serif" w:hAnsi="Times New Roman;sans-serif"/>
          <w:b w:val="false"/>
          <w:i/>
          <w:color w:val="000000"/>
          <w:sz w:val="24"/>
        </w:rPr>
        <w:t>Agreement”</w:t>
      </w:r>
      <w:r>
        <w:rPr>
          <w:rFonts w:ascii="Times New Roman;sans-serif" w:hAnsi="Times New Roman;sans-serif"/>
          <w:b w:val="false"/>
          <w:color w:val="000000"/>
          <w:sz w:val="24"/>
        </w:rPr>
        <w:t>), among GeneDx Holdings Corp., a Delaware corporation (</w:t>
      </w:r>
      <w:r>
        <w:rPr>
          <w:color w:val="000000"/>
        </w:rPr>
        <w:t>“</w:t>
      </w:r>
      <w:r>
        <w:rPr>
          <w:rFonts w:ascii="Times New Roman;sans-serif" w:hAnsi="Times New Roman;sans-serif"/>
          <w:b w:val="false"/>
          <w:i/>
          <w:color w:val="000000"/>
          <w:sz w:val="24"/>
        </w:rPr>
        <w:t>Holdings”</w:t>
      </w:r>
      <w:r>
        <w:rPr>
          <w:rFonts w:ascii="Times New Roman;sans-serif" w:hAnsi="Times New Roman;sans-serif"/>
          <w:b w:val="false"/>
          <w:color w:val="000000"/>
          <w:sz w:val="24"/>
        </w:rPr>
        <w:t>), Sema4 OpCo, Inc. (f/k/a Mount Sinai Genomics, Inc.), a Delaware corporation (</w:t>
      </w:r>
      <w:r>
        <w:rPr>
          <w:color w:val="000000"/>
        </w:rPr>
        <w:t>“</w:t>
      </w:r>
      <w:r>
        <w:rPr>
          <w:rFonts w:ascii="Times New Roman;sans-serif" w:hAnsi="Times New Roman;sans-serif"/>
          <w:b w:val="false"/>
          <w:i/>
          <w:color w:val="000000"/>
          <w:sz w:val="24"/>
        </w:rPr>
        <w:t>Sema4”</w:t>
      </w:r>
      <w:r>
        <w:rPr>
          <w:rFonts w:ascii="Times New Roman;sans-serif" w:hAnsi="Times New Roman;sans-serif"/>
          <w:b w:val="false"/>
          <w:color w:val="000000"/>
          <w:sz w:val="24"/>
        </w:rPr>
        <w:t>), and GeneDx, LLC (f/k/a GeneDx, Inc.), a Delaware limited liability company (</w:t>
      </w:r>
      <w:r>
        <w:rPr>
          <w:color w:val="000000"/>
        </w:rPr>
        <w:t>“</w:t>
      </w:r>
      <w:r>
        <w:rPr>
          <w:rFonts w:ascii="Times New Roman;sans-serif" w:hAnsi="Times New Roman;sans-serif"/>
          <w:b w:val="false"/>
          <w:i/>
          <w:color w:val="000000"/>
          <w:sz w:val="24"/>
        </w:rPr>
        <w:t>GeneDx, LLC”</w:t>
      </w:r>
      <w:r>
        <w:rPr>
          <w:color w:val="000000"/>
        </w:rPr>
        <w:t xml:space="preserve"> </w:t>
      </w:r>
      <w:r>
        <w:rPr>
          <w:rFonts w:ascii="Times New Roman;sans-serif" w:hAnsi="Times New Roman;sans-serif"/>
          <w:b w:val="false"/>
          <w:color w:val="000000"/>
          <w:sz w:val="24"/>
        </w:rPr>
        <w:t xml:space="preserve">and together with Sema4, each a </w:t>
      </w:r>
      <w:r>
        <w:rPr>
          <w:color w:val="000000"/>
        </w:rPr>
        <w:t>“</w:t>
      </w:r>
      <w:r>
        <w:rPr>
          <w:rFonts w:ascii="Times New Roman;sans-serif" w:hAnsi="Times New Roman;sans-serif"/>
          <w:b w:val="false"/>
          <w:i/>
          <w:color w:val="000000"/>
          <w:sz w:val="24"/>
        </w:rPr>
        <w:t>Borrower”</w:t>
      </w:r>
      <w:r>
        <w:rPr>
          <w:color w:val="000000"/>
        </w:rPr>
        <w:t xml:space="preserve"> </w:t>
      </w:r>
      <w:r>
        <w:rPr>
          <w:rFonts w:ascii="Times New Roman;sans-serif" w:hAnsi="Times New Roman;sans-serif"/>
          <w:b w:val="false"/>
          <w:color w:val="000000"/>
          <w:sz w:val="24"/>
        </w:rPr>
        <w:t xml:space="preserve">and collectively, the </w:t>
      </w:r>
      <w:r>
        <w:rPr>
          <w:color w:val="000000"/>
        </w:rPr>
        <w:t>“</w:t>
      </w:r>
      <w:r>
        <w:rPr>
          <w:rFonts w:ascii="Times New Roman;sans-serif" w:hAnsi="Times New Roman;sans-serif"/>
          <w:b w:val="false"/>
          <w:i/>
          <w:color w:val="000000"/>
          <w:sz w:val="24"/>
        </w:rPr>
        <w:t>Borrowers”</w:t>
      </w:r>
      <w:r>
        <w:rPr>
          <w:rFonts w:ascii="Times New Roman;sans-serif" w:hAnsi="Times New Roman;sans-serif"/>
          <w:b w:val="false"/>
          <w:color w:val="000000"/>
          <w:sz w:val="24"/>
        </w:rPr>
        <w:t xml:space="preserve">), certain Guarantors from time to time parties hereto, the lenders from time to time party hereto (each, as a </w:t>
      </w:r>
      <w:r>
        <w:rPr>
          <w:color w:val="000000"/>
        </w:rPr>
        <w:t>“</w:t>
      </w:r>
      <w:r>
        <w:rPr>
          <w:rFonts w:ascii="Times New Roman;sans-serif" w:hAnsi="Times New Roman;sans-serif"/>
          <w:b w:val="false"/>
          <w:i/>
          <w:color w:val="000000"/>
          <w:sz w:val="24"/>
        </w:rPr>
        <w:t>Lender”</w:t>
      </w:r>
      <w:r>
        <w:rPr>
          <w:color w:val="000000"/>
        </w:rPr>
        <w:t xml:space="preserve"> </w:t>
      </w:r>
      <w:r>
        <w:rPr>
          <w:rFonts w:ascii="Times New Roman;sans-serif" w:hAnsi="Times New Roman;sans-serif"/>
          <w:b w:val="false"/>
          <w:color w:val="000000"/>
          <w:sz w:val="24"/>
        </w:rPr>
        <w:t xml:space="preserve">and collectively, the </w:t>
      </w:r>
      <w:r>
        <w:rPr>
          <w:color w:val="000000"/>
        </w:rPr>
        <w:t>“</w:t>
      </w:r>
      <w:r>
        <w:rPr>
          <w:rFonts w:ascii="Times New Roman;sans-serif" w:hAnsi="Times New Roman;sans-serif"/>
          <w:b w:val="false"/>
          <w:i/>
          <w:color w:val="000000"/>
          <w:sz w:val="24"/>
        </w:rPr>
        <w:t>Lenders”</w:t>
      </w:r>
      <w:r>
        <w:rPr>
          <w:rFonts w:ascii="Times New Roman;sans-serif" w:hAnsi="Times New Roman;sans-serif"/>
          <w:b w:val="false"/>
          <w:color w:val="000000"/>
          <w:sz w:val="24"/>
        </w:rPr>
        <w:t>) and Perceptive Credit Holdings IV, LP, a Delaware limited partnership (</w:t>
      </w:r>
      <w:r>
        <w:rPr>
          <w:color w:val="000000"/>
        </w:rPr>
        <w:t>“</w:t>
      </w:r>
      <w:r>
        <w:rPr>
          <w:rFonts w:ascii="Times New Roman;sans-serif" w:hAnsi="Times New Roman;sans-serif"/>
          <w:b w:val="false"/>
          <w:i/>
          <w:color w:val="000000"/>
          <w:sz w:val="24"/>
        </w:rPr>
        <w:t>Perceptive”</w:t>
      </w:r>
      <w:r>
        <w:rPr>
          <w:rFonts w:ascii="Times New Roman;sans-serif" w:hAnsi="Times New Roman;sans-serif"/>
          <w:b w:val="false"/>
          <w:color w:val="000000"/>
          <w:sz w:val="24"/>
        </w:rPr>
        <w:t xml:space="preserve">), as administrative agent for the Lenders (in such capacity, together with its successors and assigns, the </w:t>
      </w:r>
      <w:r>
        <w:rPr>
          <w:color w:val="000000"/>
        </w:rPr>
        <w:t>“</w:t>
      </w:r>
      <w:r>
        <w:rPr>
          <w:rFonts w:ascii="Times New Roman;sans-serif" w:hAnsi="Times New Roman;sans-serif"/>
          <w:b w:val="false"/>
          <w:i/>
          <w:color w:val="000000"/>
          <w:sz w:val="24"/>
        </w:rPr>
        <w:t>Administrative Agent”</w:t>
      </w:r>
      <w:r>
        <w:rPr>
          <w:rFonts w:ascii="Times New Roman;sans-serif" w:hAnsi="Times New Roman;sans-serif"/>
          <w:b w:val="false"/>
          <w:color w:val="000000"/>
          <w:sz w:val="24"/>
        </w:rPr>
        <w:t>).</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Witnesseth:</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Borrowers have requested the Lenders to make term loans to Borrowers, and the Lenders are prepared to make such loans on and subject to the terms and conditions hereof. Accordingly, the parties agree as follows:</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I</w:t>
        <w:br/>
        <w:br/>
        <w:t>Definitions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1.01.    Certain Defined Terms</w:t>
      </w:r>
      <w:r>
        <w:rPr>
          <w:rFonts w:ascii="Times New Roman;sans-serif" w:hAnsi="Times New Roman;sans-serif"/>
          <w:b w:val="false"/>
          <w:color w:val="000000"/>
          <w:sz w:val="24"/>
        </w:rPr>
        <w:t>. As used herein, the following terms have the following respective meanings: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510(k)” </w:t>
      </w:r>
      <w:r>
        <w:rPr>
          <w:rFonts w:ascii="Times New Roman;sans-serif" w:hAnsi="Times New Roman;sans-serif"/>
          <w:b w:val="false"/>
          <w:color w:val="000000"/>
          <w:sz w:val="24"/>
        </w:rPr>
        <w:t>means (a) any premarket notification and corresponding FDA clearance for a Device pursuant to FDA regulations and (b) all amendments, supplements and other additions and modifications thereto, and all documents, data and other information concerning any applicable Device which are necessary for, filed with, incorporated by reference in, or otherwise supportive of any of the foregoing.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Accounting Change”</w:t>
      </w:r>
      <w:r>
        <w:rPr>
          <w:color w:val="000000"/>
        </w:rPr>
        <w:t xml:space="preserve"> </w:t>
      </w:r>
      <w:r>
        <w:rPr>
          <w:rFonts w:ascii="Times New Roman;sans-serif" w:hAnsi="Times New Roman;sans-serif"/>
          <w:b w:val="false"/>
          <w:color w:val="000000"/>
          <w:sz w:val="24"/>
        </w:rPr>
        <w:t>has the meaning set forth in Section 1.02.</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Accounting Change Notice”</w:t>
      </w:r>
      <w:r>
        <w:rPr>
          <w:color w:val="000000"/>
        </w:rPr>
        <w:t xml:space="preserve"> </w:t>
      </w:r>
      <w:r>
        <w:rPr>
          <w:rFonts w:ascii="Times New Roman;sans-serif" w:hAnsi="Times New Roman;sans-serif"/>
          <w:b w:val="false"/>
          <w:color w:val="000000"/>
          <w:sz w:val="24"/>
        </w:rPr>
        <w:t>has the meaning set forth in Section 1.02.</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Acquisition”</w:t>
      </w:r>
      <w:r>
        <w:rPr>
          <w:color w:val="000000"/>
        </w:rPr>
        <w:t xml:space="preserve"> </w:t>
      </w:r>
      <w:r>
        <w:rPr>
          <w:rFonts w:ascii="Times New Roman;sans-serif" w:hAnsi="Times New Roman;sans-serif"/>
          <w:b w:val="false"/>
          <w:color w:val="000000"/>
          <w:sz w:val="24"/>
        </w:rPr>
        <w:t>means any transaction, or any series of related transactions, by which any Person directly or indirectly, by means of a take-over bid, tender offer, amalgamation, merger, purchase of assets, or similar transaction having the same effect as any of the foregoing, (a) acquires all or substantially all of the assets of any Person engaged in any business, (b) acquires all or substantially all of a business line or unit or division of any other Person, (c) acquires Control of securities of a Person engaged in a business representing more than 50% of the ordinary voting power for the election of directors or other governing body if the business affairs of such Person are managed by a Board or other governing body, determined on a fully diluted basis, or (d) acquires Control of more than 50% of the ownership interest in any Person engaged in any business that is not managed by a Board or other governing body, determined on a fully diluted basis.</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9"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Act”</w:t>
      </w:r>
      <w:r>
        <w:rPr>
          <w:color w:val="000000"/>
        </w:rPr>
        <w:t xml:space="preserve"> </w:t>
      </w:r>
      <w:r>
        <w:rPr>
          <w:rFonts w:ascii="Times New Roman;sans-serif" w:hAnsi="Times New Roman;sans-serif"/>
          <w:b w:val="false"/>
          <w:color w:val="000000"/>
          <w:sz w:val="24"/>
        </w:rPr>
        <w:t>has the meaning set forth in Section 13.16.</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Administrative Agent”</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Administrative Borrower”</w:t>
      </w:r>
      <w:r>
        <w:rPr>
          <w:color w:val="000000"/>
        </w:rPr>
        <w:t xml:space="preserve"> </w:t>
      </w:r>
      <w:r>
        <w:rPr>
          <w:rFonts w:ascii="Times New Roman;sans-serif" w:hAnsi="Times New Roman;sans-serif"/>
          <w:b w:val="false"/>
          <w:color w:val="000000"/>
          <w:sz w:val="24"/>
        </w:rPr>
        <w:t>has the meaning set forth in Section 13.20.</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Affected Financial Institution</w:t>
      </w:r>
      <w:r>
        <w:rPr>
          <w:color w:val="000000"/>
        </w:rPr>
        <w:t xml:space="preserve">” </w:t>
      </w:r>
      <w:r>
        <w:rPr>
          <w:rFonts w:ascii="Times New Roman;sans-serif" w:hAnsi="Times New Roman;sans-serif"/>
          <w:b w:val="false"/>
          <w:color w:val="000000"/>
          <w:sz w:val="24"/>
        </w:rPr>
        <w:t>means (a) any EEA Financial Institution or (b) any UK Financial Institution.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Affiliate”</w:t>
      </w:r>
      <w:r>
        <w:rPr>
          <w:color w:val="000000"/>
        </w:rPr>
        <w:t xml:space="preserve"> </w:t>
      </w:r>
      <w:r>
        <w:rPr>
          <w:rFonts w:ascii="Times New Roman;sans-serif" w:hAnsi="Times New Roman;sans-serif"/>
          <w:b w:val="false"/>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Agreement”</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Anti-Corruption Laws”</w:t>
      </w:r>
      <w:r>
        <w:rPr>
          <w:color w:val="000000"/>
        </w:rPr>
        <w:t xml:space="preserve"> </w:t>
      </w:r>
      <w:r>
        <w:rPr>
          <w:rFonts w:ascii="Times New Roman;sans-serif" w:hAnsi="Times New Roman;sans-serif"/>
          <w:b w:val="false"/>
          <w:color w:val="000000"/>
          <w:sz w:val="24"/>
        </w:rPr>
        <w:t>means all laws, rules and regulations of any jurisdiction applicable to the Obligors and their Affiliates concerning or relating to bribery or corruption, including, without limitation, the Foreign Corrupt Practices Act of 1977, as amended.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Anti-Terrorism Laws”</w:t>
      </w:r>
      <w:r>
        <w:rPr>
          <w:color w:val="000000"/>
        </w:rPr>
        <w:t xml:space="preserve"> </w:t>
      </w:r>
      <w:r>
        <w:rPr>
          <w:rFonts w:ascii="Times New Roman;sans-serif" w:hAnsi="Times New Roman;sans-serif"/>
          <w:b w:val="false"/>
          <w:color w:val="000000"/>
          <w:sz w:val="24"/>
        </w:rPr>
        <w:t xml:space="preserve">means any laws or regulations relating to terrorism or money laundering, including, without limitation the </w:t>
      </w:r>
      <w:r>
        <w:rPr>
          <w:rFonts w:ascii="Times New Roman;sans-serif" w:hAnsi="Times New Roman;sans-serif"/>
          <w:b w:val="false"/>
          <w:i/>
          <w:color w:val="000000"/>
          <w:sz w:val="24"/>
        </w:rPr>
        <w:t>Bank Secrecy Act</w:t>
      </w:r>
      <w:r>
        <w:rPr>
          <w:color w:val="000000"/>
        </w:rPr>
        <w:t xml:space="preserve"> </w:t>
      </w:r>
      <w:r>
        <w:rPr>
          <w:rFonts w:ascii="Times New Roman;sans-serif" w:hAnsi="Times New Roman;sans-serif"/>
          <w:b w:val="false"/>
          <w:color w:val="000000"/>
          <w:sz w:val="24"/>
        </w:rPr>
        <w:t xml:space="preserve">(31 U.S.C. §§ 5311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the </w:t>
      </w:r>
      <w:r>
        <w:rPr>
          <w:rFonts w:ascii="Times New Roman;sans-serif" w:hAnsi="Times New Roman;sans-serif"/>
          <w:b w:val="false"/>
          <w:i/>
          <w:color w:val="000000"/>
          <w:sz w:val="24"/>
        </w:rPr>
        <w:t>Money Laundering Control Act of 1986</w:t>
      </w:r>
      <w:r>
        <w:rPr>
          <w:color w:val="000000"/>
        </w:rPr>
        <w:t xml:space="preserve"> </w:t>
      </w:r>
      <w:r>
        <w:rPr>
          <w:rFonts w:ascii="Times New Roman;sans-serif" w:hAnsi="Times New Roman;sans-serif"/>
          <w:b w:val="false"/>
          <w:color w:val="000000"/>
          <w:sz w:val="24"/>
        </w:rPr>
        <w:t xml:space="preserve">(18 U.S.C. §§ 1956 </w:t>
      </w:r>
      <w:r>
        <w:rPr>
          <w:rFonts w:ascii="Times New Roman;sans-serif" w:hAnsi="Times New Roman;sans-serif"/>
          <w:b w:val="false"/>
          <w:i/>
          <w:color w:val="000000"/>
          <w:sz w:val="24"/>
        </w:rPr>
        <w:t>et seq.</w:t>
      </w:r>
      <w:r>
        <w:rPr>
          <w:rFonts w:ascii="Times New Roman;sans-serif" w:hAnsi="Times New Roman;sans-serif"/>
          <w:b w:val="false"/>
          <w:color w:val="000000"/>
          <w:sz w:val="24"/>
        </w:rPr>
        <w:t>), the USA Patriot Act and any similar law enacted in the United States after the date of this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Applicable Margin”</w:t>
      </w:r>
      <w:r>
        <w:rPr>
          <w:color w:val="000000"/>
        </w:rPr>
        <w:t xml:space="preserve"> </w:t>
      </w:r>
      <w:r>
        <w:rPr>
          <w:rFonts w:ascii="Times New Roman;sans-serif" w:hAnsi="Times New Roman;sans-serif"/>
          <w:b w:val="false"/>
          <w:color w:val="000000"/>
          <w:sz w:val="24"/>
        </w:rPr>
        <w:t>means 7.50% per annum.</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Approved Fund” </w:t>
      </w:r>
      <w:r>
        <w:rPr>
          <w:rFonts w:ascii="Times New Roman;sans-serif" w:hAnsi="Times New Roman;sans-serif"/>
          <w:b w:val="false"/>
          <w:color w:val="000000"/>
          <w:sz w:val="24"/>
        </w:rPr>
        <w:t>means any Person (other than a natural person and any holding company, investment vehicle or trust for, or owned and operated for the primary benefit of,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Asset Sale”</w:t>
      </w:r>
      <w:r>
        <w:rPr>
          <w:color w:val="000000"/>
        </w:rPr>
        <w:t xml:space="preserve"> </w:t>
      </w:r>
      <w:r>
        <w:rPr>
          <w:rFonts w:ascii="Times New Roman;sans-serif" w:hAnsi="Times New Roman;sans-serif"/>
          <w:b w:val="false"/>
          <w:color w:val="000000"/>
          <w:sz w:val="24"/>
        </w:rPr>
        <w:t>has the meaning set forth in Section 9.09.</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Assignment Agreement” </w:t>
      </w:r>
      <w:r>
        <w:rPr>
          <w:rFonts w:ascii="Times New Roman;sans-serif" w:hAnsi="Times New Roman;sans-serif"/>
          <w:b w:val="false"/>
          <w:color w:val="000000"/>
          <w:sz w:val="24"/>
        </w:rPr>
        <w:t>means an assignment and assumption entered into by a Lender and an assignee of such Lender in substantially the form of Exhibit 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Available Tenor</w:t>
      </w:r>
      <w:r>
        <w:rPr>
          <w:color w:val="000000"/>
        </w:rPr>
        <w:t xml:space="preserve">” </w:t>
      </w:r>
      <w:r>
        <w:rPr>
          <w:rFonts w:ascii="Times New Roman;sans-serif" w:hAnsi="Times New Roman;sans-serif"/>
          <w:b w:val="false"/>
          <w:color w:val="000000"/>
          <w:sz w:val="24"/>
        </w:rPr>
        <w:t xml:space="preserve">means, as of the Closing Date, the only Available Tenor for Term SOFR is an interest period of one (1) month;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Administrative Agent may select to use additional interest periods in accordance with the terms of Section 3.02(c)(iv) and such interest periods shall become Available Tenors upon such selection.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Bail-In Action”</w:t>
      </w:r>
      <w:r>
        <w:rPr>
          <w:color w:val="000000"/>
        </w:rPr>
        <w:t xml:space="preserve"> </w:t>
      </w:r>
      <w:r>
        <w:rPr>
          <w:rFonts w:ascii="Times New Roman;sans-serif" w:hAnsi="Times New Roman;sans-serif"/>
          <w:b w:val="false"/>
          <w:color w:val="000000"/>
          <w:sz w:val="24"/>
        </w:rPr>
        <w:t>means the exercise of any Write-Down and Conversion Powers by the applicable Resolution Authority in respect of any liability of an Affected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0"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Bail-In Legislation”</w:t>
      </w:r>
      <w:r>
        <w:rPr>
          <w:color w:val="000000"/>
        </w:rPr>
        <w:t xml:space="preserve"> </w:t>
      </w:r>
      <w:r>
        <w:rPr>
          <w:rFonts w:ascii="Times New Roman;sans-serif" w:hAnsi="Times New Roman;sans-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rule or requirement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Bankruptcy Code”</w:t>
      </w:r>
      <w:r>
        <w:rPr>
          <w:color w:val="000000"/>
        </w:rPr>
        <w:t xml:space="preserve"> </w:t>
      </w:r>
      <w:r>
        <w:rPr>
          <w:rFonts w:ascii="Times New Roman;sans-serif" w:hAnsi="Times New Roman;sans-serif"/>
          <w:b w:val="false"/>
          <w:color w:val="000000"/>
          <w:sz w:val="24"/>
        </w:rPr>
        <w:t>means Title 11 of the United States Code entitled “Bankruptcy.”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Benchmark</w:t>
      </w:r>
      <w:r>
        <w:rPr>
          <w:color w:val="000000"/>
        </w:rPr>
        <w:t xml:space="preserve">” </w:t>
      </w:r>
      <w:r>
        <w:rPr>
          <w:rFonts w:ascii="Times New Roman;sans-serif" w:hAnsi="Times New Roman;sans-serif"/>
          <w:b w:val="false"/>
          <w:color w:val="000000"/>
          <w:sz w:val="24"/>
        </w:rPr>
        <w:t xml:space="preserve">means, initially, the Term SOFR Reference Rate;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a Benchmark Transition Event has occurred with respect to the Term SOFR Reference Rate or the then-current Benchmark, then “Benchmark” means the applicable Benchmark Replacement to the extent that such Benchmark Replacement has replaced such prior benchmark rate pursuant to Section 3.02(c).</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Benchmark Replacement</w:t>
      </w:r>
      <w:r>
        <w:rPr>
          <w:color w:val="000000"/>
        </w:rPr>
        <w:t xml:space="preserve">” </w:t>
      </w:r>
      <w:r>
        <w:rPr>
          <w:rFonts w:ascii="Times New Roman;sans-serif" w:hAnsi="Times New Roman;sans-serif"/>
          <w:b w:val="false"/>
          <w:color w:val="000000"/>
          <w:sz w:val="24"/>
        </w:rPr>
        <w:t>means the first alternative set forth in the order below that can be determined by the Administrative Agent for the applicable Benchmark Replacement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Daily Simple SOFR;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the sum of: (i) the alternate benchmark rate that has been selected by the Administrative Agent and Administrative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Benchmark Replacement Adjustment”</w:t>
      </w:r>
      <w:r>
        <w:rPr>
          <w:color w:val="000000"/>
        </w:rPr>
        <w:t xml:space="preserve"> </w:t>
      </w:r>
      <w:r>
        <w:rPr>
          <w:rFonts w:ascii="Times New Roman;sans-serif" w:hAnsi="Times New Roman;sans-serif"/>
          <w:b w:val="false"/>
          <w:color w:val="000000"/>
          <w:sz w:val="24"/>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Administrative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1"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Benchmark Replacement Date</w:t>
      </w:r>
      <w:r>
        <w:rPr>
          <w:color w:val="000000"/>
        </w:rPr>
        <w:t xml:space="preserve">” </w:t>
      </w:r>
      <w:r>
        <w:rPr>
          <w:rFonts w:ascii="Times New Roman;sans-serif" w:hAnsi="Times New Roman;sans-serif"/>
          <w:b w:val="false"/>
          <w:color w:val="000000"/>
          <w:sz w:val="24"/>
        </w:rPr>
        <w:t>means a date and time determined by the Administrative Agent, which date shall be no later than the earliest to occur of the following events with respect to the then-current Benchmark:</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Benchmark Transition Event</w:t>
      </w:r>
      <w:r>
        <w:rPr>
          <w:color w:val="000000"/>
        </w:rPr>
        <w:t xml:space="preserve">” </w:t>
      </w:r>
      <w:r>
        <w:rPr>
          <w:rFonts w:ascii="Times New Roman;sans-serif" w:hAnsi="Times New Roman;sans-serif"/>
          <w:b w:val="false"/>
          <w:color w:val="000000"/>
          <w:sz w:val="24"/>
        </w:rPr>
        <w:t>means the occurrence of one or more of the following events with respect to the then-current Benchmark:</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at the time of such statement or publication, there is no successor administrator that will continue to provide any Available Tenor of such Benchmark (or such component thereof);</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at the time of such statement or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52"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publication, there is no successor administrator that will continue to provide any Available Tenor of such Benchmark (or such component thereof);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Beneficial Ownership Regulation</w:t>
      </w:r>
      <w:r>
        <w:rPr>
          <w:color w:val="000000"/>
        </w:rPr>
        <w:t xml:space="preserve">” </w:t>
      </w:r>
      <w:r>
        <w:rPr>
          <w:rFonts w:ascii="Times New Roman;sans-serif" w:hAnsi="Times New Roman;sans-serif"/>
          <w:b w:val="false"/>
          <w:color w:val="000000"/>
          <w:sz w:val="24"/>
        </w:rPr>
        <w:t>has the meaning set forth in Section 13.16.</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Benefit Plan”</w:t>
      </w:r>
      <w:r>
        <w:rPr>
          <w:color w:val="000000"/>
        </w:rPr>
        <w:t xml:space="preserve"> </w:t>
      </w:r>
      <w:r>
        <w:rPr>
          <w:rFonts w:ascii="Times New Roman;sans-serif" w:hAnsi="Times New Roman;sans-serif"/>
          <w:b w:val="false"/>
          <w:color w:val="000000"/>
          <w:sz w:val="24"/>
        </w:rPr>
        <w:t>means any “employee benefit plan” as defined in Section 3(3) of ERISA (other than a Multiemployer Plan) to which any Obligor or Subsidiary thereof incurs or otherwise has any obligation or liability, contingent or otherwise.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Board</w:t>
      </w:r>
      <w:r>
        <w:rPr>
          <w:color w:val="000000"/>
        </w:rPr>
        <w:t xml:space="preserve">” </w:t>
      </w:r>
      <w:r>
        <w:rPr>
          <w:rFonts w:ascii="Times New Roman;sans-serif" w:hAnsi="Times New Roman;sans-serif"/>
          <w:b w:val="false"/>
          <w:color w:val="000000"/>
          <w:sz w:val="24"/>
        </w:rPr>
        <w:t>means, with respect to any Person, the board of managers or directors (as applicable) (or equivalent governing body) of such Person or any committee thereof.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Borrower”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val="false"/>
          <w:i/>
          <w:color w:val="000000"/>
          <w:sz w:val="24"/>
        </w:rPr>
        <w:t xml:space="preserve">Borrowers”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Borrowing</w:t>
      </w:r>
      <w:r>
        <w:rPr>
          <w:color w:val="000000"/>
        </w:rPr>
        <w:t xml:space="preserve">” </w:t>
      </w:r>
      <w:r>
        <w:rPr>
          <w:rFonts w:ascii="Times New Roman;sans-serif" w:hAnsi="Times New Roman;sans-serif"/>
          <w:b w:val="false"/>
          <w:color w:val="000000"/>
          <w:sz w:val="24"/>
        </w:rPr>
        <w:t>means a borrowing consisting of a Tranche A Term Loan made by the Lenders on the Closing Date or a Tranche B Term Loan made by the Lenders on the Tranche B Term Loan Borrowing Date, as applicable.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Borrowing Notice”</w:t>
      </w:r>
      <w:r>
        <w:rPr>
          <w:color w:val="000000"/>
        </w:rPr>
        <w:t xml:space="preserve"> </w:t>
      </w:r>
      <w:r>
        <w:rPr>
          <w:rFonts w:ascii="Times New Roman;sans-serif" w:hAnsi="Times New Roman;sans-serif"/>
          <w:b w:val="false"/>
          <w:color w:val="000000"/>
          <w:sz w:val="24"/>
        </w:rPr>
        <w:t>means a notice substantially in the form attached hereto as Exhibit B.</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Business Day”</w:t>
      </w:r>
      <w:r>
        <w:rPr>
          <w:color w:val="000000"/>
        </w:rPr>
        <w:t xml:space="preserve"> </w:t>
      </w:r>
      <w:r>
        <w:rPr>
          <w:rFonts w:ascii="Times New Roman;sans-serif" w:hAnsi="Times New Roman;sans-serif"/>
          <w:b w:val="false"/>
          <w:color w:val="000000"/>
          <w:sz w:val="24"/>
        </w:rPr>
        <w:t xml:space="preserve">means a day (other than a Saturday or Sunday) on which commercial banks are not authorized or required to close in New York City.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Capital Lease Obligations”</w:t>
      </w:r>
      <w:r>
        <w:rPr>
          <w:color w:val="000000"/>
        </w:rPr>
        <w:t xml:space="preserve"> </w:t>
      </w:r>
      <w:r>
        <w:rPr>
          <w:rFonts w:ascii="Times New Roman;sans-serif" w:hAnsi="Times New Roman;sans-serif"/>
          <w:b w:val="false"/>
          <w:color w:val="000000"/>
          <w:sz w:val="24"/>
        </w:rPr>
        <w:t>means, as to any Person, the obligations of such Person to pay rent or other amounts under a lease of (or other agreement conveying the right to use) real and/or personal Property which obligations are required to be classified and accounted for as a capital lease on a balance sheet of such Person under GAAP and, for purposes of this Agreement, the amount of such obligations shall be the capitalized amount thereof, determined substantially in accordance with GAAP (subject to Section 1.02).</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Casualty Event”</w:t>
      </w:r>
      <w:r>
        <w:rPr>
          <w:color w:val="000000"/>
        </w:rPr>
        <w:t xml:space="preserve"> </w:t>
      </w:r>
      <w:r>
        <w:rPr>
          <w:rFonts w:ascii="Times New Roman;sans-serif" w:hAnsi="Times New Roman;sans-serif"/>
          <w:b w:val="false"/>
          <w:color w:val="000000"/>
          <w:sz w:val="24"/>
        </w:rPr>
        <w:t>means any actual or constructive loss, condemnation, destruction, confiscation, requisition, seizure or forfeiture of all or any material portion of the assets of Borrowers or any other Obligor, excluding only those assets, individually or in the aggregate, subject to any such event during any calendar year with a fair market value as of the date thereof equal to or less than $500,000.</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53"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CDEC Assistance Agreement”</w:t>
      </w:r>
      <w:r>
        <w:rPr>
          <w:color w:val="000000"/>
        </w:rPr>
        <w:t xml:space="preserve"> </w:t>
      </w:r>
      <w:r>
        <w:rPr>
          <w:rFonts w:ascii="Times New Roman;sans-serif" w:hAnsi="Times New Roman;sans-serif"/>
          <w:b w:val="false"/>
          <w:color w:val="000000"/>
          <w:sz w:val="24"/>
        </w:rPr>
        <w:t xml:space="preserve">means that certain Amended and Restated Assistance Agreement with an effective date of December 30, 2022, entered into by the State of Connecticut, acting by its Commissioner of Economic and Community Development (the </w:t>
      </w:r>
      <w:r>
        <w:rPr>
          <w:color w:val="000000"/>
        </w:rPr>
        <w:t>“</w:t>
      </w:r>
      <w:r>
        <w:rPr>
          <w:rFonts w:ascii="Times New Roman;sans-serif" w:hAnsi="Times New Roman;sans-serif"/>
          <w:b w:val="false"/>
          <w:i/>
          <w:color w:val="000000"/>
          <w:sz w:val="24"/>
        </w:rPr>
        <w:t>State”</w:t>
      </w:r>
      <w:r>
        <w:rPr>
          <w:rFonts w:ascii="Times New Roman;sans-serif" w:hAnsi="Times New Roman;sans-serif"/>
          <w:b w:val="false"/>
          <w:color w:val="000000"/>
          <w:sz w:val="24"/>
        </w:rPr>
        <w:t>) and Sema4.</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CDEC Documents”</w:t>
      </w:r>
      <w:r>
        <w:rPr>
          <w:color w:val="000000"/>
        </w:rPr>
        <w:t xml:space="preserve"> </w:t>
      </w:r>
      <w:r>
        <w:rPr>
          <w:rFonts w:ascii="Times New Roman;sans-serif" w:hAnsi="Times New Roman;sans-serif"/>
          <w:b w:val="false"/>
          <w:color w:val="000000"/>
          <w:sz w:val="24"/>
        </w:rPr>
        <w:t>means collectively, the CDEC Assistance Agreement, the CDEC Security Agreement and any CDEC Note.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CDEC Note”</w:t>
      </w:r>
      <w:r>
        <w:rPr>
          <w:color w:val="000000"/>
        </w:rPr>
        <w:t xml:space="preserve"> </w:t>
      </w:r>
      <w:r>
        <w:rPr>
          <w:rFonts w:ascii="Times New Roman;sans-serif" w:hAnsi="Times New Roman;sans-serif"/>
          <w:b w:val="false"/>
          <w:color w:val="000000"/>
          <w:sz w:val="24"/>
        </w:rPr>
        <w:t>means that certain 2022 Replacement Promissory Note, dated as of December 30, 2022, made by Sema4, as maker in favor of the State, and any replacement promissory notes issued by Sema4 from time to time.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CDEC Security Agreement”</w:t>
      </w:r>
      <w:r>
        <w:rPr>
          <w:color w:val="000000"/>
        </w:rPr>
        <w:t xml:space="preserve"> </w:t>
      </w:r>
      <w:r>
        <w:rPr>
          <w:rFonts w:ascii="Times New Roman;sans-serif" w:hAnsi="Times New Roman;sans-serif"/>
          <w:b w:val="false"/>
          <w:color w:val="000000"/>
          <w:sz w:val="24"/>
        </w:rPr>
        <w:t>means that certain 2022 Replacement Security Agreement, dated as of December 30, 2022, by and between the State and Sema4.</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Change of Control” </w:t>
      </w:r>
      <w:r>
        <w:rPr>
          <w:rFonts w:ascii="Times New Roman;sans-serif" w:hAnsi="Times New Roman;sans-serif"/>
          <w:b w:val="false"/>
          <w:color w:val="000000"/>
          <w:sz w:val="24"/>
        </w:rPr>
        <w:t>means and shall be deemed to have occurred if:</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any “person” or “group” (within the meaning of Rule 13d-5 of the Exchange Act as in effect on the date hereof) shall own, directly or indirectly, beneficially or of record, shares representing 40% or more of the aggregate ordinary voting power represented by the issued and outstanding Equity Interests of Holdings;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during any period of twelve (12) consecutive calendar months, a majority of the seats (other than vacant seats) on the Board of Holdings cease to be comprised of Persons (i) who were members of the Board of Holdings on the first day of such period, (ii) whose election or nomination to the board was approved by Persons referred to in clause (i) above constituting at the time of such election or nomination at least a majority of the Board of Holdings, or (iii) whose election or nomination to the Board of Holdings was approved by Persons referred to in clauses (i) or (ii) above constituting at the time of such election or nomination at least a majority of the Board of Holdings;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each Obligor shall cease to own directly, beneficially and of record, determined on a fully diluted basis, 100% of the issued and outstanding Equity Interests of its Domestic Subsidiaries (except in connection with a transaction permitted pursuant to Section 9.03 and Section 9.05).</w:t>
      </w:r>
    </w:p>
    <w:p>
      <w:pPr>
        <w:pStyle w:val="TextBody"/>
        <w:bidi w:val="0"/>
        <w:spacing w:lineRule="auto" w:line="280" w:before="280" w:after="283"/>
        <w:ind w:left="0" w:right="0" w:firstLine="720"/>
        <w:jc w:val="both"/>
        <w:rPr/>
      </w:pPr>
      <w:r>
        <w:rPr>
          <w:color w:val="000000"/>
        </w:rPr>
        <w:t>    “</w:t>
      </w:r>
      <w:r>
        <w:rPr>
          <w:rFonts w:ascii="Times New Roman;sans-serif" w:hAnsi="Times New Roman;sans-serif"/>
          <w:b w:val="false"/>
          <w:i/>
          <w:color w:val="000000"/>
          <w:sz w:val="24"/>
        </w:rPr>
        <w:t>Claims”</w:t>
      </w:r>
      <w:r>
        <w:rPr>
          <w:color w:val="000000"/>
        </w:rPr>
        <w:t xml:space="preserve"> </w:t>
      </w:r>
      <w:r>
        <w:rPr>
          <w:rFonts w:ascii="Times New Roman;sans-serif" w:hAnsi="Times New Roman;sans-serif"/>
          <w:b w:val="false"/>
          <w:color w:val="000000"/>
          <w:sz w:val="24"/>
        </w:rPr>
        <w:t>includes claims, litigation, demands, complaints, grievances, actions, applications, suits, causes of action, orders, charges, indictments, prosecutions, information (brought by a public prosecutor without grand jury indictment) or other similar processes, assessments or reassessments.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CLIA”</w:t>
      </w:r>
      <w:r>
        <w:rPr>
          <w:color w:val="000000"/>
        </w:rPr>
        <w:t xml:space="preserve"> </w:t>
      </w:r>
      <w:r>
        <w:rPr>
          <w:rFonts w:ascii="Times New Roman;sans-serif" w:hAnsi="Times New Roman;sans-serif"/>
          <w:b w:val="false"/>
          <w:color w:val="000000"/>
          <w:sz w:val="24"/>
        </w:rPr>
        <w:t>means the Clinical Laboratory Improvement Amendments (CLIA) of 1988, as amended from time to time, and the rules, regulations, guidelines, guidance documents and compliance policy guides issued or promulgated thereunder.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54"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Closing Date”</w:t>
      </w:r>
      <w:r>
        <w:rPr>
          <w:color w:val="000000"/>
        </w:rPr>
        <w:t xml:space="preserve"> </w:t>
      </w:r>
      <w:r>
        <w:rPr>
          <w:rFonts w:ascii="Times New Roman;sans-serif" w:hAnsi="Times New Roman;sans-serif"/>
          <w:b w:val="false"/>
          <w:color w:val="000000"/>
          <w:sz w:val="24"/>
        </w:rPr>
        <w:t>means the Business Day on which all of the conditions set forth in Section 6.01 have been satisfied or waived by the Lenders and the Tranche A Term Loan is made.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Closing Fee</w:t>
      </w:r>
      <w:r>
        <w:rPr>
          <w:color w:val="000000"/>
        </w:rPr>
        <w:t xml:space="preserve">” </w:t>
      </w:r>
      <w:r>
        <w:rPr>
          <w:rFonts w:ascii="Times New Roman;sans-serif" w:hAnsi="Times New Roman;sans-serif"/>
          <w:b w:val="false"/>
          <w:color w:val="000000"/>
          <w:sz w:val="24"/>
        </w:rPr>
        <w:t>has the meaning set forth in the Fee Letter.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Code”</w:t>
      </w:r>
      <w:r>
        <w:rPr>
          <w:color w:val="000000"/>
        </w:rPr>
        <w:t xml:space="preserve"> </w:t>
      </w:r>
      <w:r>
        <w:rPr>
          <w:rFonts w:ascii="Times New Roman;sans-serif" w:hAnsi="Times New Roman;sans-serif"/>
          <w:b w:val="false"/>
          <w:color w:val="000000"/>
          <w:sz w:val="24"/>
        </w:rPr>
        <w:t>means the Internal Revenue Code of 1986, as amended from time to time.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Collateral”</w:t>
      </w:r>
      <w:r>
        <w:rPr>
          <w:color w:val="000000"/>
        </w:rPr>
        <w:t xml:space="preserve"> </w:t>
      </w:r>
      <w:r>
        <w:rPr>
          <w:rFonts w:ascii="Times New Roman;sans-serif" w:hAnsi="Times New Roman;sans-serif"/>
          <w:b w:val="false"/>
          <w:color w:val="000000"/>
          <w:sz w:val="24"/>
        </w:rPr>
        <w:t>means any Property in which a Lien is purported to be granted under any of the Security Documents (or all such Property, as the context may require).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Collateral Questionnaire”</w:t>
      </w:r>
      <w:r>
        <w:rPr>
          <w:color w:val="000000"/>
        </w:rPr>
        <w:t xml:space="preserve"> </w:t>
      </w:r>
      <w:r>
        <w:rPr>
          <w:rFonts w:ascii="Times New Roman;sans-serif" w:hAnsi="Times New Roman;sans-serif"/>
          <w:b w:val="false"/>
          <w:color w:val="000000"/>
          <w:sz w:val="24"/>
        </w:rPr>
        <w:t>means that certain Collateral Questionnaire and certification by a Responsible Officer of Holdings and each Borrower substantially in the form of attached hereto as Exhibit I and otherwise in form and substance reasonably satisfactory to the Administrative Agent.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Commitment”</w:t>
      </w:r>
      <w:r>
        <w:rPr>
          <w:color w:val="000000"/>
        </w:rPr>
        <w:t xml:space="preserve"> </w:t>
      </w:r>
      <w:r>
        <w:rPr>
          <w:rFonts w:ascii="Times New Roman;sans-serif" w:hAnsi="Times New Roman;sans-serif"/>
          <w:b w:val="false"/>
          <w:color w:val="000000"/>
          <w:sz w:val="24"/>
        </w:rPr>
        <w:t>means, with respect to each Lender, such Lender’s (a) Tranche A Term Loan Commitment and (b) Tranche B Term Loan Commitment and “Commitments” means all such commitments of all Lenders. The amount of each Lender’s Commitments is set forth on Schedule 1. The aggregate Commitments of all Lenders as of the Closing Date is $75,000,000.</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Commodity Account”</w:t>
      </w:r>
      <w:r>
        <w:rPr>
          <w:color w:val="000000"/>
        </w:rPr>
        <w:t xml:space="preserve"> </w:t>
      </w:r>
      <w:r>
        <w:rPr>
          <w:rFonts w:ascii="Times New Roman;sans-serif" w:hAnsi="Times New Roman;sans-serif"/>
          <w:b w:val="false"/>
          <w:color w:val="000000"/>
          <w:sz w:val="24"/>
        </w:rPr>
        <w:t>has the meaning set forth in the Security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Compliance Certificate”</w:t>
      </w:r>
      <w:r>
        <w:rPr>
          <w:color w:val="000000"/>
        </w:rPr>
        <w:t xml:space="preserve"> </w:t>
      </w:r>
      <w:r>
        <w:rPr>
          <w:rFonts w:ascii="Times New Roman;sans-serif" w:hAnsi="Times New Roman;sans-serif"/>
          <w:b w:val="false"/>
          <w:color w:val="000000"/>
          <w:sz w:val="24"/>
        </w:rPr>
        <w:t>has the meaning set forth in Section 8.01(c).</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Confidential Healthcare Information”</w:t>
      </w:r>
      <w:r>
        <w:rPr>
          <w:color w:val="000000"/>
        </w:rPr>
        <w:t xml:space="preserve"> </w:t>
      </w:r>
      <w:r>
        <w:rPr>
          <w:rFonts w:ascii="Times New Roman;sans-serif" w:hAnsi="Times New Roman;sans-serif"/>
          <w:b w:val="false"/>
          <w:color w:val="000000"/>
          <w:sz w:val="24"/>
        </w:rPr>
        <w:t>has the meaning set forth in Section 8.06.</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Conforming Changes</w:t>
      </w:r>
      <w:r>
        <w:rPr>
          <w:color w:val="000000"/>
        </w:rPr>
        <w:t xml:space="preserve">” </w:t>
      </w:r>
      <w:r>
        <w:rPr>
          <w:rFonts w:ascii="Times New Roman;sans-serif" w:hAnsi="Times New Roman;sans-serif"/>
          <w:b w:val="false"/>
          <w:color w:val="000000"/>
          <w:sz w:val="24"/>
        </w:rPr>
        <w:t>means, with respect to either the use or administration of Term SOFR or the use, administration, adoption or implementation of any Benchmark Replacement, any technical, administrative or operational changes (including changes to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and other technical, administrative or operational matters) that the Administrative Agent reasonably determines (in consultation with the Borrower) may be appropriate to reflect the adoption and implementation of any such rate or to permit the use and administration thereof by the Administrative Agent in a manner substantially consistent with market practice (or, if the Administrative Agent reasonably determines (in consultation with the Borrower)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determines (in consultation with the Borrower) is reasonably necessary in connection with the administration of this Agreement and the other Loan Documents).</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55"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Connection Income Taxes” </w:t>
      </w:r>
      <w:r>
        <w:rPr>
          <w:rFonts w:ascii="Times New Roman;sans-serif" w:hAnsi="Times New Roman;sans-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Contracts”</w:t>
      </w:r>
      <w:r>
        <w:rPr>
          <w:color w:val="000000"/>
        </w:rPr>
        <w:t xml:space="preserve"> </w:t>
      </w:r>
      <w:r>
        <w:rPr>
          <w:rFonts w:ascii="Times New Roman;sans-serif" w:hAnsi="Times New Roman;sans-serif"/>
          <w:b w:val="false"/>
          <w:color w:val="000000"/>
          <w:sz w:val="24"/>
        </w:rPr>
        <w:t>means any contract, license, instrument, lease, agreement, obligation, promise, undertaking, understanding, arrangement, document, commitment, entitlement or engagement under which a Person has, or will have, any liability or contingent liability (in each case, whether written or oral, express or implied, and whether in respect of monetary or payment obligations, performance obligations or otherwise), excluding the Loan Documents.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Control”</w:t>
      </w:r>
      <w:r>
        <w:rPr>
          <w:color w:val="000000"/>
        </w:rPr>
        <w:t xml:space="preserve"> </w:t>
      </w:r>
      <w:r>
        <w:rPr>
          <w:rFonts w:ascii="Times New Roman;sans-serif" w:hAnsi="Times New Roman;sans-serif"/>
          <w:b w:val="false"/>
          <w:color w:val="000000"/>
          <w:sz w:val="24"/>
        </w:rPr>
        <w:t>means, in respect of a particular Person, the possession, directly or indirectly, of the power to direct or cause the direction of the management or policies of such Person, whether through the ability to exercise voting power, by contract or otherwise. “</w:t>
      </w:r>
      <w:r>
        <w:rPr>
          <w:rFonts w:ascii="Times New Roman;sans-serif" w:hAnsi="Times New Roman;sans-serif"/>
          <w:b w:val="false"/>
          <w:i/>
          <w:color w:val="000000"/>
          <w:sz w:val="24"/>
        </w:rPr>
        <w:t>Controlling</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i/>
          <w:color w:val="000000"/>
          <w:sz w:val="24"/>
        </w:rPr>
        <w:t>Controlled</w:t>
      </w:r>
      <w:r>
        <w:rPr>
          <w:color w:val="000000"/>
        </w:rPr>
        <w:t xml:space="preserve">” </w:t>
      </w:r>
      <w:r>
        <w:rPr>
          <w:rFonts w:ascii="Times New Roman;sans-serif" w:hAnsi="Times New Roman;sans-serif"/>
          <w:b w:val="false"/>
          <w:color w:val="000000"/>
          <w:sz w:val="24"/>
        </w:rPr>
        <w:t>have meanings correlative thereto.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Controlled Account”</w:t>
      </w:r>
      <w:r>
        <w:rPr>
          <w:color w:val="000000"/>
        </w:rPr>
        <w:t xml:space="preserve"> </w:t>
      </w:r>
      <w:r>
        <w:rPr>
          <w:rFonts w:ascii="Times New Roman;sans-serif" w:hAnsi="Times New Roman;sans-serif"/>
          <w:b w:val="false"/>
          <w:color w:val="000000"/>
          <w:sz w:val="24"/>
        </w:rPr>
        <w:t>has the meaning set forth in Section 8.17(a).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Copyrights”</w:t>
      </w:r>
      <w:r>
        <w:rPr>
          <w:color w:val="000000"/>
        </w:rPr>
        <w:t xml:space="preserve"> </w:t>
      </w:r>
      <w:r>
        <w:rPr>
          <w:rFonts w:ascii="Times New Roman;sans-serif" w:hAnsi="Times New Roman;sans-serif"/>
          <w:b w:val="false"/>
          <w:color w:val="000000"/>
          <w:sz w:val="24"/>
        </w:rPr>
        <w:t>has the meaning set forth in the Security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Core Product Revenue”</w:t>
      </w:r>
      <w:r>
        <w:rPr>
          <w:color w:val="000000"/>
        </w:rPr>
        <w:t xml:space="preserve"> </w:t>
      </w:r>
      <w:r>
        <w:rPr>
          <w:rFonts w:ascii="Times New Roman;sans-serif" w:hAnsi="Times New Roman;sans-serif"/>
          <w:b w:val="false"/>
          <w:color w:val="000000"/>
          <w:sz w:val="24"/>
        </w:rPr>
        <w:t xml:space="preserve">means, with respect to the Obligors, all revenue from continuing operations as currently reported by Holdings as of the Closing Date.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Daily Simple SOFR</w:t>
      </w:r>
      <w:r>
        <w:rPr>
          <w:color w:val="000000"/>
        </w:rPr>
        <w:t xml:space="preserve">” </w:t>
      </w:r>
      <w:r>
        <w:rPr>
          <w:rFonts w:ascii="Times New Roman;sans-serif" w:hAnsi="Times New Roman;sans-serif"/>
          <w:b w:val="false"/>
          <w:color w:val="000000"/>
          <w:sz w:val="24"/>
        </w:rPr>
        <w:t xml:space="preserve">means, for any day (a “SOFR Rate Day”), a rate per annum equal to the greater of (a) SOFR for the day (such day, a “SOFR Determination Day”) that is two (2)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(2nd)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any SOFR determined pursuant to this sentence shall be utilized for purposes of calculation of Daily Simple SOFR for no more than three (3) consecutive SOFR Rate Days;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Daily Simple SOFR shall be rounded upwards to the next 1/100% (if necessary). Any change in Daily Simple SOFR due to a change in SOFR shall be effective from and including the effective date of such change in SOFR without notice to Administrative Borrower.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Default”</w:t>
      </w:r>
      <w:r>
        <w:rPr>
          <w:color w:val="000000"/>
        </w:rPr>
        <w:t xml:space="preserve"> </w:t>
      </w:r>
      <w:r>
        <w:rPr>
          <w:rFonts w:ascii="Times New Roman;sans-serif" w:hAnsi="Times New Roman;sans-serif"/>
          <w:b w:val="false"/>
          <w:color w:val="000000"/>
          <w:sz w:val="24"/>
        </w:rPr>
        <w:t>means any Event of Default and any event that, upon the giving of notice, the lapse of time or both, would constitute an Event of Default.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Default Rate”</w:t>
      </w:r>
      <w:r>
        <w:rPr>
          <w:color w:val="000000"/>
        </w:rPr>
        <w:t xml:space="preserve"> </w:t>
      </w:r>
      <w:r>
        <w:rPr>
          <w:rFonts w:ascii="Times New Roman;sans-serif" w:hAnsi="Times New Roman;sans-serif"/>
          <w:b w:val="false"/>
          <w:color w:val="000000"/>
          <w:sz w:val="24"/>
        </w:rPr>
        <w:t>has the meaning set forth in Section 3.02(d).</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56"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Deposit Account”</w:t>
      </w:r>
      <w:r>
        <w:rPr>
          <w:color w:val="000000"/>
        </w:rPr>
        <w:t xml:space="preserve"> </w:t>
      </w:r>
      <w:r>
        <w:rPr>
          <w:rFonts w:ascii="Times New Roman;sans-serif" w:hAnsi="Times New Roman;sans-serif"/>
          <w:b w:val="false"/>
          <w:color w:val="000000"/>
          <w:sz w:val="24"/>
        </w:rPr>
        <w:t>has the meaning set forth in the Security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Designated Person”</w:t>
      </w:r>
      <w:r>
        <w:rPr>
          <w:color w:val="000000"/>
        </w:rPr>
        <w:t xml:space="preserve"> </w:t>
      </w:r>
      <w:r>
        <w:rPr>
          <w:rFonts w:ascii="Times New Roman;sans-serif" w:hAnsi="Times New Roman;sans-serif"/>
          <w:b w:val="false"/>
          <w:color w:val="000000"/>
          <w:sz w:val="24"/>
        </w:rPr>
        <w:t>means a person or entity: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listed in the annex to, or otherwise targeted by the provisions of, the Executive Order (as disclosed by World-Check or another reputable commercially available database);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named as a “Specially Designated National and Blocked Person” on the most current list published by OFAC at its official website or any replacement website or other replacement official publication of such list (as disclosed by World-Check or another reputable commercially available database);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with which the Lenders are prohibited from dealing or otherwise engaging in any transaction by any Economic Sanctions Laws.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Device”</w:t>
      </w:r>
      <w:r>
        <w:rPr>
          <w:color w:val="000000"/>
        </w:rPr>
        <w:t xml:space="preserve"> </w:t>
      </w:r>
      <w:r>
        <w:rPr>
          <w:rFonts w:ascii="Times New Roman;sans-serif" w:hAnsi="Times New Roman;sans-serif"/>
          <w:b w:val="false"/>
          <w:color w:val="000000"/>
          <w:sz w:val="24"/>
        </w:rPr>
        <w:t>means any (a) instrument, apparatus, implement, machine, contrivance, implant, in vitro reagent or other similar or related item, including any component, part or accessory, that (i) is intended for use in the diagnosis of disease or other conditions or in the cure, mitigation, treatment or prevention of disease, in man, or is intended to affect the structure or any function of the body of man, (ii) does not achieve its primary intended purpose or purposes through chemical action within or on the body of man and (iii) is not dependent upon being metabolized for the achievement of its primary intended purpose or purposes, or (b) any other item that meets the definition of “device” as set forth in Section 201 of the FD&amp;C Act (21 U.S.C. § 321) and its implementing regulations.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Device Clearance Application”</w:t>
      </w:r>
      <w:r>
        <w:rPr>
          <w:color w:val="000000"/>
        </w:rPr>
        <w:t xml:space="preserve"> </w:t>
      </w:r>
      <w:r>
        <w:rPr>
          <w:rFonts w:ascii="Times New Roman;sans-serif" w:hAnsi="Times New Roman;sans-serif"/>
          <w:b w:val="false"/>
          <w:color w:val="000000"/>
          <w:sz w:val="24"/>
        </w:rPr>
        <w:t xml:space="preserve">means (a) any premarket approval application submitted under Section 515 of the FD&amp;C Act (21 U.S.C. § 360e) (a </w:t>
      </w:r>
      <w:r>
        <w:rPr>
          <w:color w:val="000000"/>
        </w:rPr>
        <w:t>“</w:t>
      </w:r>
      <w:r>
        <w:rPr>
          <w:rFonts w:ascii="Times New Roman;sans-serif" w:hAnsi="Times New Roman;sans-serif"/>
          <w:b w:val="false"/>
          <w:i/>
          <w:color w:val="000000"/>
          <w:sz w:val="24"/>
        </w:rPr>
        <w:t>PMA”</w:t>
      </w:r>
      <w:r>
        <w:rPr>
          <w:rFonts w:ascii="Times New Roman;sans-serif" w:hAnsi="Times New Roman;sans-serif"/>
          <w:b w:val="false"/>
          <w:color w:val="000000"/>
          <w:sz w:val="24"/>
        </w:rPr>
        <w:t>), (b) any de novo request submitted under Section 513(f) of the FD&amp;C Act (21 U.S.C. § 360c(f)), (c) any 510(k) submitted under Section 510(k) of the FD&amp;C Act (21 U.S.C. § 360(k)) seeking clearance from the FDA for a Device that is substantially equivalent to a legally marketed predicate Device, as defined in the FD&amp;C Act, (d) any Investigational Device Exemption as defined in the FD&amp;C Act, (e) any corresponding or substantially equivalent notification, application or clearance of a non-U.S. Regulatory Authority including, with respect to the European Union, any equivalent submission to a Standard Body pursuant to an applicable directive of the European Council with respect to CE marking (or, if applicable, a self-certification of conformity with respect to any such directive through a “declaration of conformity”), and (f) all amendments, variations, extensions and renewals of any of the foregoing.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Disqualified Equity Interests”</w:t>
      </w:r>
      <w:r>
        <w:rPr>
          <w:color w:val="000000"/>
        </w:rPr>
        <w:t xml:space="preserve"> </w:t>
      </w:r>
      <w:r>
        <w:rPr>
          <w:rFonts w:ascii="Times New Roman;sans-serif" w:hAnsi="Times New Roman;sans-serif"/>
          <w:b w:val="false"/>
          <w:color w:val="000000"/>
          <w:sz w:val="24"/>
        </w:rPr>
        <w:t xml:space="preserve">means, with respect to any Person, any Equity Interest of such Person that, by its terms (or by the terms of any security or other Equity Interest into which it is convertible or for which it is exchangeable upon exercise or otherwise), or upon the happening of any event or condition (a) matures or is mandatorily redeemable (other than solely for Qualified Equity Interests), including pursuant to a sinking fund obligation or otherwise, (b) is redeemable at the option of the holder thereof (other than solely for Qualified Equity Interests), in whole or in part, (c) provides for the scheduled payments of dividends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57"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distributions in cash or other securities that would constitute Disqualified Equity Interests, or (d) is or becomes convertible into or exchangeable for Indebtedness or any other Equity Interests that would constitute Disqualified Equity Interests, in each case, prior to the date that is one hundred and eighty (180) days after the Stated Maturity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such Equity Interests are issued pursuant to any plan for the benefit of directors, officers, employees or consultants of such Person or by any such plan to such directors, officers, employees or consultants, such Equity Interests shall not constitute Disqualified Equity Interests solely because they may be required to be repurchased by such Person upon the death, disability, retirement or termination of employment or service of such director, officer, employee or consultant.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Disqualified Lender</w:t>
      </w:r>
      <w:r>
        <w:rPr>
          <w:color w:val="000000"/>
        </w:rPr>
        <w:t xml:space="preserve">” </w:t>
      </w:r>
      <w:r>
        <w:rPr>
          <w:rFonts w:ascii="Times New Roman;sans-serif" w:hAnsi="Times New Roman;sans-serif"/>
          <w:b w:val="false"/>
          <w:color w:val="000000"/>
          <w:sz w:val="24"/>
        </w:rPr>
        <w:t>means (a) any Person identified to the Administrative Agent in writing on or prior to the Closing Date who in the reasonable estimation of the Administrative Borrower are (i) direct competitors of an Obligor, (ii) vulture funds or (iii) distressed debt funds, (b) any other Person identified by name in writing to the Administrative Agent after the Closing Date to the extent such Person is or becomes a competitor of an Obligor, (c) any other Person identified by name in writing to the Administrative Agent after the Closing Date to extent the Administrative Borrower reasonably determines in consultation with the Administrative Agent that such Person is a (i) vulture fund or (ii) distressed fund, and (d) any Affiliate of any Person referred to in clauses (a) through (c) above (other than bona fide fixed income investors or debt funds that are Affiliates of competitors, vulture funds or distressed debt funds).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Dollars”</w:t>
      </w:r>
      <w:r>
        <w:rPr>
          <w:color w:val="000000"/>
        </w:rPr>
        <w:t xml:space="preserve">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val="false"/>
          <w:i/>
          <w:color w:val="000000"/>
          <w:sz w:val="24"/>
        </w:rPr>
        <w:t>$”</w:t>
      </w:r>
      <w:r>
        <w:rPr>
          <w:color w:val="000000"/>
        </w:rPr>
        <w:t xml:space="preserve"> </w:t>
      </w:r>
      <w:r>
        <w:rPr>
          <w:rFonts w:ascii="Times New Roman;sans-serif" w:hAnsi="Times New Roman;sans-serif"/>
          <w:b w:val="false"/>
          <w:color w:val="000000"/>
          <w:sz w:val="24"/>
        </w:rPr>
        <w:t>means lawful money of the United States of America.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Domestic Subsidiary” </w:t>
      </w:r>
      <w:r>
        <w:rPr>
          <w:rFonts w:ascii="Times New Roman;sans-serif" w:hAnsi="Times New Roman;sans-serif"/>
          <w:b w:val="false"/>
          <w:color w:val="000000"/>
          <w:sz w:val="24"/>
        </w:rPr>
        <w:t>means any Subsidiary that is organized under the laws of the United States, any state thereof or the District of Columbia.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Economic Sanctions Laws”</w:t>
      </w:r>
      <w:r>
        <w:rPr>
          <w:color w:val="000000"/>
        </w:rPr>
        <w:t xml:space="preserve"> </w:t>
      </w:r>
      <w:r>
        <w:rPr>
          <w:rFonts w:ascii="Times New Roman;sans-serif" w:hAnsi="Times New Roman;sans-serif"/>
          <w:b w:val="false"/>
          <w:color w:val="000000"/>
          <w:sz w:val="24"/>
        </w:rPr>
        <w:t xml:space="preserve">means: (a) the Executive Order, the </w:t>
      </w:r>
      <w:r>
        <w:rPr>
          <w:rFonts w:ascii="Times New Roman;sans-serif" w:hAnsi="Times New Roman;sans-serif"/>
          <w:b w:val="false"/>
          <w:i/>
          <w:color w:val="000000"/>
          <w:sz w:val="24"/>
        </w:rPr>
        <w:t>International Emergency Economic Powers Act</w:t>
      </w:r>
      <w:r>
        <w:rPr>
          <w:color w:val="000000"/>
        </w:rPr>
        <w:t xml:space="preserve"> </w:t>
      </w:r>
      <w:r>
        <w:rPr>
          <w:rFonts w:ascii="Times New Roman;sans-serif" w:hAnsi="Times New Roman;sans-serif"/>
          <w:b w:val="false"/>
          <w:color w:val="000000"/>
          <w:sz w:val="24"/>
        </w:rPr>
        <w:t xml:space="preserve">(50 U.S.C. §§ 1701 </w:t>
      </w:r>
      <w:r>
        <w:rPr>
          <w:rFonts w:ascii="Times New Roman;sans-serif" w:hAnsi="Times New Roman;sans-serif"/>
          <w:b w:val="false"/>
          <w:i/>
          <w:color w:val="000000"/>
          <w:sz w:val="24"/>
        </w:rPr>
        <w:t>et seq.</w:t>
      </w:r>
      <w:r>
        <w:rPr>
          <w:rFonts w:ascii="Times New Roman;sans-serif" w:hAnsi="Times New Roman;sans-serif"/>
          <w:b w:val="false"/>
          <w:color w:val="000000"/>
          <w:sz w:val="24"/>
        </w:rPr>
        <w:t xml:space="preserve">), the </w:t>
      </w:r>
      <w:r>
        <w:rPr>
          <w:rFonts w:ascii="Times New Roman;sans-serif" w:hAnsi="Times New Roman;sans-serif"/>
          <w:b w:val="false"/>
          <w:i/>
          <w:color w:val="000000"/>
          <w:sz w:val="24"/>
        </w:rPr>
        <w:t>Trading with the Enemy Act</w:t>
      </w:r>
      <w:r>
        <w:rPr>
          <w:color w:val="000000"/>
        </w:rPr>
        <w:t xml:space="preserve"> </w:t>
      </w:r>
      <w:r>
        <w:rPr>
          <w:rFonts w:ascii="Times New Roman;sans-serif" w:hAnsi="Times New Roman;sans-serif"/>
          <w:b w:val="false"/>
          <w:color w:val="000000"/>
          <w:sz w:val="24"/>
        </w:rPr>
        <w:t xml:space="preserve">(50 U.S.C. App. §§ 1 </w:t>
      </w:r>
      <w:r>
        <w:rPr>
          <w:rFonts w:ascii="Times New Roman;sans-serif" w:hAnsi="Times New Roman;sans-serif"/>
          <w:b w:val="false"/>
          <w:i/>
          <w:color w:val="000000"/>
          <w:sz w:val="24"/>
        </w:rPr>
        <w:t>et seq.</w:t>
      </w:r>
      <w:r>
        <w:rPr>
          <w:rFonts w:ascii="Times New Roman;sans-serif" w:hAnsi="Times New Roman;sans-serif"/>
          <w:b w:val="false"/>
          <w:color w:val="000000"/>
          <w:sz w:val="24"/>
        </w:rPr>
        <w:t>), any other law or regulation promulgated thereunder from time to time and administered by OFAC and any similar law enacted in the United States after the date of this Agreement; and (b) any other similar applicable law now or hereafter enacted in any other applicable jurisdiction.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EEA Financial Institution” </w:t>
      </w:r>
      <w:r>
        <w:rPr>
          <w:rFonts w:ascii="Times New Roman;sans-serif" w:hAnsi="Times New Roman;sans-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EEA Member Country” </w:t>
      </w:r>
      <w:r>
        <w:rPr>
          <w:rFonts w:ascii="Times New Roman;sans-serif" w:hAnsi="Times New Roman;sans-serif"/>
          <w:b w:val="false"/>
          <w:color w:val="000000"/>
          <w:sz w:val="24"/>
        </w:rPr>
        <w:t>means any of the member states of the European Union, Iceland, Liechtenstein, and Norway.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EEA Resolution Authority”</w:t>
      </w:r>
      <w:r>
        <w:rPr>
          <w:color w:val="000000"/>
        </w:rPr>
        <w:t xml:space="preserve"> </w:t>
      </w:r>
      <w:r>
        <w:rPr>
          <w:rFonts w:ascii="Times New Roman;sans-serif" w:hAnsi="Times New Roman;sans-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5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Environmental Law”</w:t>
      </w:r>
      <w:r>
        <w:rPr>
          <w:color w:val="000000"/>
        </w:rPr>
        <w:t xml:space="preserve"> </w:t>
      </w:r>
      <w:r>
        <w:rPr>
          <w:rFonts w:ascii="Times New Roman;sans-serif" w:hAnsi="Times New Roman;sans-serif"/>
          <w:b w:val="false"/>
          <w:color w:val="000000"/>
          <w:sz w:val="24"/>
        </w:rPr>
        <w:t>means any federal, state, provincial or local governmental law, rule, regulation, order, writ, judgment, injunction or decree relating to pollution or protection of the environment or the treatment, storage, disposal, release, threatened release or handling of Hazardous Materials, and all local laws and regulations related to environmental matters and any specific agreements entered into with any Governmental Authorities which include commitments related to environmental matters.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Equity Interest”</w:t>
      </w:r>
      <w:r>
        <w:rPr>
          <w:color w:val="000000"/>
        </w:rPr>
        <w:t xml:space="preserve"> </w:t>
      </w:r>
      <w:r>
        <w:rPr>
          <w:rFonts w:ascii="Times New Roman;sans-serif" w:hAnsi="Times New Roman;sans-serif"/>
          <w:b w:val="false"/>
          <w:color w:val="000000"/>
          <w:sz w:val="24"/>
        </w:rPr>
        <w:t>means, with respect to any Person, any and all shares, interests, participations or other equivalents, including membership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property of, such partnership, but excluding debt securities convertible or exchangeable into such equity.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ERISA”</w:t>
      </w:r>
      <w:r>
        <w:rPr>
          <w:color w:val="000000"/>
        </w:rPr>
        <w:t xml:space="preserve"> </w:t>
      </w:r>
      <w:r>
        <w:rPr>
          <w:rFonts w:ascii="Times New Roman;sans-serif" w:hAnsi="Times New Roman;sans-serif"/>
          <w:b w:val="false"/>
          <w:color w:val="000000"/>
          <w:sz w:val="24"/>
        </w:rPr>
        <w:t>means the United States Employee Retirement Income Security Act of 1974, as amended.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ERISA Affiliate”</w:t>
      </w:r>
      <w:r>
        <w:rPr>
          <w:color w:val="000000"/>
        </w:rPr>
        <w:t xml:space="preserve"> </w:t>
      </w:r>
      <w:r>
        <w:rPr>
          <w:rFonts w:ascii="Times New Roman;sans-serif" w:hAnsi="Times New Roman;sans-serif"/>
          <w:b w:val="false"/>
          <w:color w:val="000000"/>
          <w:sz w:val="24"/>
        </w:rPr>
        <w:t>means any Person that, as of the relevant time, would be considered a single employer with an Obligor pursuant to Section 414(b), (c), (m) or (o) of the Code.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ERISA Event”</w:t>
      </w:r>
      <w:r>
        <w:rPr>
          <w:color w:val="000000"/>
        </w:rPr>
        <w:t xml:space="preserve"> </w:t>
      </w:r>
      <w:r>
        <w:rPr>
          <w:rFonts w:ascii="Times New Roman;sans-serif" w:hAnsi="Times New Roman;sans-serif"/>
          <w:b w:val="false"/>
          <w:color w:val="000000"/>
          <w:sz w:val="24"/>
        </w:rPr>
        <w:t>means (a) a “reportable event” as defined in Section 4043 of ERISA with respect to a Title IV Plan, excluding, however, such events as to which the PBGC by regulation has waived the requirement of Section 4043(a) of ERISA that it be notified within thirty (30) days of the occurrence of such event; (b) a withdrawal by any Obligor or any ERISA Affiliate thereof from a Title IV Plan or the termination of any Title IV Plan resulting in liability under Sections 4063 or 4064 of ERISA; (c) the withdrawal of any Obligor or any ERISA Affiliate thereof in a complete or partial withdrawal (within the meaning of Section 4203 and 4205 of ERISA) from any Multiemployer Plan if there is any liability therefore, or the receipt by any Obligor or any ERISA Affiliate thereof of notice from any Multiemployer Plan that it is insolvent pursuant to Section 4245 of ERISA; (d) with respect to a Title IV Plan or Multiemployer Plan, as applicable, the filing of a notice of intent to terminate, the treatment of a plan amendment as a termination under Section 4041 or 4041A of ERISA, or the commencement of proceedings by the PBGC to terminate such plan; (e) the failure by any Obligor or an ERISA Affiliate thereof to make any required contribution to a Multiemployer Plan, or to meet the minimum funding standard of Section 412 of the Code with respect to any Title IV Plan or the failure to make by its due date a required installment under Section 430 of the Code with respect to any Title IV Plan; (f) the determination that any Title IV Plan is in “at-risk” status within the meaning of Sections 430 of the Code or Section 303 of ERISA; (g) the determination that any Multiemployer Plan is in “critical” or “endangered” status within the meaning of Section 432 of the Code or Section 305 of ERISA; (h) the imposition on any Obligor of fines, penalties, Taxes or related charges under Section 4975 of the Code, Chapter 43 of the Code or under Sections 409, 502(c), (i) or (1) or 4071 of ERISA; (i) the imposition of any Lien on any of the rights, properties or assets of any Obligor pursuant to Title I or IV of ERISA or to Section 430(k) of the Code with respect to a Title IV Plan.</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5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EU Bail-In Legislation Schedule” </w:t>
      </w:r>
      <w:r>
        <w:rPr>
          <w:rFonts w:ascii="Times New Roman;sans-serif" w:hAnsi="Times New Roman;sans-serif"/>
          <w:b w:val="false"/>
          <w:color w:val="000000"/>
          <w:sz w:val="24"/>
        </w:rPr>
        <w:t>means the EU Bail-In Legislation Schedule published by the Loan Market Association (or any successor Person), as in effect from time to time.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Event of Default”</w:t>
      </w:r>
      <w:r>
        <w:rPr>
          <w:color w:val="000000"/>
        </w:rPr>
        <w:t xml:space="preserve"> </w:t>
      </w:r>
      <w:r>
        <w:rPr>
          <w:rFonts w:ascii="Times New Roman;sans-serif" w:hAnsi="Times New Roman;sans-serif"/>
          <w:b w:val="false"/>
          <w:color w:val="000000"/>
          <w:sz w:val="24"/>
        </w:rPr>
        <w:t>has the meaning set forth in Section 10.01.</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Excess Funding Guarantor”</w:t>
      </w:r>
      <w:r>
        <w:rPr>
          <w:color w:val="000000"/>
        </w:rPr>
        <w:t xml:space="preserve"> </w:t>
      </w:r>
      <w:r>
        <w:rPr>
          <w:rFonts w:ascii="Times New Roman;sans-serif" w:hAnsi="Times New Roman;sans-serif"/>
          <w:b w:val="false"/>
          <w:color w:val="000000"/>
          <w:sz w:val="24"/>
        </w:rPr>
        <w:t>has the meaning set forth in Section 11.08.</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Excess Payment”</w:t>
      </w:r>
      <w:r>
        <w:rPr>
          <w:color w:val="000000"/>
        </w:rPr>
        <w:t xml:space="preserve"> </w:t>
      </w:r>
      <w:r>
        <w:rPr>
          <w:rFonts w:ascii="Times New Roman;sans-serif" w:hAnsi="Times New Roman;sans-serif"/>
          <w:b w:val="false"/>
          <w:color w:val="000000"/>
          <w:sz w:val="24"/>
        </w:rPr>
        <w:t>has the meaning set forth in Section 11.08.</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Exchange Act”</w:t>
      </w:r>
      <w:r>
        <w:rPr>
          <w:color w:val="000000"/>
        </w:rPr>
        <w:t xml:space="preserve"> </w:t>
      </w:r>
      <w:r>
        <w:rPr>
          <w:rFonts w:ascii="Times New Roman;sans-serif" w:hAnsi="Times New Roman;sans-serif"/>
          <w:b w:val="false"/>
          <w:color w:val="000000"/>
          <w:sz w:val="24"/>
        </w:rPr>
        <w:t>means the Securities Exchange Act of 1934, as amended, and the rules and regulations promulgated thereunder.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Excluded Accounts”</w:t>
      </w:r>
      <w:r>
        <w:rPr>
          <w:color w:val="000000"/>
        </w:rPr>
        <w:t xml:space="preserve"> </w:t>
      </w:r>
      <w:r>
        <w:rPr>
          <w:rFonts w:ascii="Times New Roman;sans-serif" w:hAnsi="Times New Roman;sans-serif"/>
          <w:b w:val="false"/>
          <w:color w:val="000000"/>
          <w:sz w:val="24"/>
        </w:rPr>
        <w:t xml:space="preserve">means (a) Deposit Accounts exclusively used for payroll, payroll Taxes and other employee wage and benefit payments to or for the benefit of the employees of Holdings and its Subsidiaries, (b) Deposit Accounts with aggregate balances of $100,000 or less at any time, (c) zero balance accounts, (d) any escrow account, trust account, or deposit account otherwise maintained solely for the benefit of third parties as cash collateral for obligations owing to such third parties or to establish or maintain escrow amounts for third-parties with aggregate balances of $100,000 or less at any time and (e) any Sweep Account.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Excluded Taxes”</w:t>
      </w:r>
      <w:r>
        <w:rPr>
          <w:color w:val="000000"/>
        </w:rPr>
        <w:t xml:space="preserve"> </w:t>
      </w:r>
      <w:r>
        <w:rPr>
          <w:rFonts w:ascii="Times New Roman;sans-serif" w:hAnsi="Times New Roman;sans-serif"/>
          <w:b w:val="false"/>
          <w:color w:val="000000"/>
          <w:sz w:val="24"/>
        </w:rPr>
        <w:t>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 Lender, its applicable lending office located in, the jurisdiction imposing such Tax or (ii) that are Other Connection Taxes, (b) any U.S. federal withholding Taxes that are imposed on amounts payable to Lender to the extent that the obligation to withhold amounts existed on the date that (i) Lender became a “Lender” under this Agreement or (ii) Lender changes its lending office, except in each case to the extent Lender is a direct or indirect assignee of any other Lender that was entitled, at the time the assignment of such other Lender became effective, to receive additional amounts under Section 5.03 or Lender was entitled to receive additional amounts under Section 5.03 immediately before it changed its lending office, (c) any Taxes imposed in connection with FATCA, and (d) Taxes attributable to such Recipient’s failure to comply with Section 5.03(e).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Executive Order”</w:t>
      </w:r>
      <w:r>
        <w:rPr>
          <w:color w:val="000000"/>
        </w:rPr>
        <w:t xml:space="preserve"> </w:t>
      </w:r>
      <w:r>
        <w:rPr>
          <w:rFonts w:ascii="Times New Roman;sans-serif" w:hAnsi="Times New Roman;sans-serif"/>
          <w:b w:val="false"/>
          <w:color w:val="000000"/>
          <w:sz w:val="24"/>
        </w:rPr>
        <w:t>means the US Executive Order No. 13224 on Blocking Property and Prohibiting Transactions with Persons who commit, Threaten to Commit, or Support Terrorism.</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Existing Credit Documents” </w:t>
      </w:r>
      <w:r>
        <w:rPr>
          <w:rFonts w:ascii="Times New Roman;sans-serif" w:hAnsi="Times New Roman;sans-serif"/>
          <w:b w:val="false"/>
          <w:color w:val="000000"/>
          <w:sz w:val="24"/>
        </w:rPr>
        <w:t>means the Existing Credit Facility, the Existing Subordination Agreement and any other document, instrument, agreement or certificate delivered in connection with the Existing Credit Facility.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Existing Credit Facility”</w:t>
      </w:r>
      <w:r>
        <w:rPr>
          <w:color w:val="000000"/>
        </w:rPr>
        <w:t xml:space="preserve"> </w:t>
      </w:r>
      <w:r>
        <w:rPr>
          <w:rFonts w:ascii="Times New Roman;sans-serif" w:hAnsi="Times New Roman;sans-serif"/>
          <w:b w:val="false"/>
          <w:color w:val="000000"/>
          <w:sz w:val="24"/>
        </w:rPr>
        <w:t xml:space="preserve">means that certain Loan and Security Agreement, dated as of November 15, 2021 (as amended by that certain First Amendment to Loan and Security Agreement, entered into on January 5, 2022 and that certain Joinder and Second Amendment to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-12-</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Loan and Security Agreement, entered into on December 22, 2022) by and among Silicon Valley Bank and Sema4 Holdings Corp., Sema4 and GeneDx, LLC as borrowers.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Existing Subordination Agreement”</w:t>
      </w:r>
      <w:r>
        <w:rPr>
          <w:color w:val="000000"/>
        </w:rPr>
        <w:t xml:space="preserve"> </w:t>
      </w:r>
      <w:r>
        <w:rPr>
          <w:rFonts w:ascii="Times New Roman;sans-serif" w:hAnsi="Times New Roman;sans-serif"/>
          <w:b w:val="false"/>
          <w:color w:val="000000"/>
          <w:sz w:val="24"/>
        </w:rPr>
        <w:t>means that certain Lien Subordination Agreement, dated as of December 22, 2021, by and between Silicon Valley Bank and the State, as amended, restated, supplemented or otherwise modified from time to time.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Expense Deposit”</w:t>
      </w:r>
      <w:r>
        <w:rPr>
          <w:color w:val="000000"/>
        </w:rPr>
        <w:t xml:space="preserve"> </w:t>
      </w:r>
      <w:r>
        <w:rPr>
          <w:rFonts w:ascii="Times New Roman;sans-serif" w:hAnsi="Times New Roman;sans-serif"/>
          <w:b w:val="false"/>
          <w:color w:val="000000"/>
          <w:sz w:val="24"/>
        </w:rPr>
        <w:t>means a cash deposit in the amount of $50,000 made by Holdings to an Affiliate of Perceptive Advisors LLC pursuant to the Proposal Letter for the prepayment of the Lenders’ costs and expenses (payable pursuant to Section 13.03(a) and/or the Proposal Letter) incurred prior to the Closing Date.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FATCA”</w:t>
      </w:r>
      <w:r>
        <w:rPr>
          <w:color w:val="000000"/>
        </w:rPr>
        <w:t xml:space="preserve"> </w:t>
      </w:r>
      <w:r>
        <w:rPr>
          <w:rFonts w:ascii="Times New Roman;sans-serif" w:hAnsi="Times New Roman;sans-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entered into in connection with the implementation of the foregoing.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FD&amp;C Act”</w:t>
      </w:r>
      <w:r>
        <w:rPr>
          <w:color w:val="000000"/>
        </w:rPr>
        <w:t xml:space="preserve"> </w:t>
      </w:r>
      <w:r>
        <w:rPr>
          <w:rFonts w:ascii="Times New Roman;sans-serif" w:hAnsi="Times New Roman;sans-serif"/>
          <w:b w:val="false"/>
          <w:color w:val="000000"/>
          <w:sz w:val="24"/>
        </w:rPr>
        <w:t>means the U.S. Food, Drug and Cosmetic Act of 1938 (or any successor thereto), as amended from time to time, and the rules, regulations, guidelines, guidance documents and compliance policy guides issued or promulgated thereunder.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FDA”</w:t>
      </w:r>
      <w:r>
        <w:rPr>
          <w:color w:val="000000"/>
        </w:rPr>
        <w:t xml:space="preserve"> </w:t>
      </w:r>
      <w:r>
        <w:rPr>
          <w:rFonts w:ascii="Times New Roman;sans-serif" w:hAnsi="Times New Roman;sans-serif"/>
          <w:b w:val="false"/>
          <w:color w:val="000000"/>
          <w:sz w:val="24"/>
        </w:rPr>
        <w:t>means the U.S. Food and Drug Administration and any successor entity.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FDA Laws”</w:t>
      </w:r>
      <w:r>
        <w:rPr>
          <w:color w:val="000000"/>
        </w:rPr>
        <w:t xml:space="preserve"> </w:t>
      </w:r>
      <w:r>
        <w:rPr>
          <w:rFonts w:ascii="Times New Roman;sans-serif" w:hAnsi="Times New Roman;sans-serif"/>
          <w:b w:val="false"/>
          <w:color w:val="000000"/>
          <w:sz w:val="24"/>
        </w:rPr>
        <w:t>means all applicable statutes, rules, regulations and orders administered or issued by the FDA, including without limitation, (a) the FD&amp;C Act and its implementing regulations or (b) any non-U.S. Regulatory Authority equivalent of the FDA, including the European Medicines Agency.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Federal Health Care Program” </w:t>
      </w:r>
      <w:r>
        <w:rPr>
          <w:rFonts w:ascii="Times New Roman;sans-serif" w:hAnsi="Times New Roman;sans-serif"/>
          <w:b w:val="false"/>
          <w:color w:val="000000"/>
          <w:sz w:val="24"/>
        </w:rPr>
        <w:t>has the meaning specified in Section 1128B(f) of the Social Security Act and includes the programs commonly known as Medicare, Medicaid, TRICARE and CHAMPVA.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Fee Letter</w:t>
      </w:r>
      <w:r>
        <w:rPr>
          <w:color w:val="000000"/>
        </w:rPr>
        <w:t xml:space="preserve">” </w:t>
      </w:r>
      <w:r>
        <w:rPr>
          <w:rFonts w:ascii="Times New Roman;sans-serif" w:hAnsi="Times New Roman;sans-serif"/>
          <w:b w:val="false"/>
          <w:color w:val="000000"/>
          <w:sz w:val="24"/>
        </w:rPr>
        <w:t xml:space="preserve">means that certain Fee Letter, dated as of the Closing Date, among the Borrowers and the Administrative Agent.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Financial Plan</w:t>
      </w:r>
      <w:r>
        <w:rPr>
          <w:color w:val="000000"/>
        </w:rPr>
        <w:t xml:space="preserve">” </w:t>
      </w:r>
      <w:r>
        <w:rPr>
          <w:rFonts w:ascii="Times New Roman;sans-serif" w:hAnsi="Times New Roman;sans-serif"/>
          <w:b w:val="false"/>
          <w:color w:val="000000"/>
          <w:sz w:val="24"/>
        </w:rPr>
        <w:t xml:space="preserve">has the meaning set forth in Section 8.01(h).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Floor” </w:t>
      </w:r>
      <w:r>
        <w:rPr>
          <w:rFonts w:ascii="Times New Roman;sans-serif" w:hAnsi="Times New Roman;sans-serif"/>
          <w:b w:val="false"/>
          <w:color w:val="000000"/>
          <w:sz w:val="24"/>
        </w:rPr>
        <w:t>means a rate of interest equal to 5.00%.</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Foreign Lender”</w:t>
      </w:r>
      <w:r>
        <w:rPr>
          <w:color w:val="000000"/>
        </w:rPr>
        <w:t xml:space="preserve"> </w:t>
      </w:r>
      <w:r>
        <w:rPr>
          <w:rFonts w:ascii="Times New Roman;sans-serif" w:hAnsi="Times New Roman;sans-serif"/>
          <w:b w:val="false"/>
          <w:color w:val="000000"/>
          <w:sz w:val="24"/>
        </w:rPr>
        <w:t>means a Lender that is not a U.S. Person.</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-13-</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Foreign Subsidiary” </w:t>
      </w:r>
      <w:r>
        <w:rPr>
          <w:rFonts w:ascii="Times New Roman;sans-serif" w:hAnsi="Times New Roman;sans-serif"/>
          <w:b w:val="false"/>
          <w:color w:val="000000"/>
          <w:sz w:val="24"/>
        </w:rPr>
        <w:t>means any Subsidiary that is not a Domestic Subsidiary. As of the Closing Date the only Foreign Subsidiaries are (a) GeneDx Iceland ehf., an Icelandic private limited company and (b) MyGeneTeamCanada Ltd., a Nova Scotia limited liability company.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GAAP”</w:t>
      </w:r>
      <w:r>
        <w:rPr>
          <w:color w:val="000000"/>
        </w:rPr>
        <w:t xml:space="preserve"> </w:t>
      </w:r>
      <w:r>
        <w:rPr>
          <w:rFonts w:ascii="Times New Roman;sans-serif" w:hAnsi="Times New Roman;sans-serif"/>
          <w:b w:val="false"/>
          <w:color w:val="000000"/>
          <w:sz w:val="24"/>
        </w:rPr>
        <w:t>means generally accepted accounting principles in the United States of America, as in effect from time to time, set forth in the opinions and pronouncements of the Accounting Principles Board and the American Institute of Certified Public Accountants, in the statements and pronouncements of the Financial Accounting Standards Board and in such other statements by such other entity as may be in general use by significant segments of the accounting profession that are applicable to the circumstances as of the date of determination. Subject to Section 1.02, all references to “GAAP” shall be to GAAP applied consistently with the principles used in the preparation of the financial statements described in Section 7.04(a).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GeneDx, LLC”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Governmental Approval”</w:t>
      </w:r>
      <w:r>
        <w:rPr>
          <w:color w:val="000000"/>
        </w:rPr>
        <w:t xml:space="preserve"> </w:t>
      </w:r>
      <w:r>
        <w:rPr>
          <w:rFonts w:ascii="Times New Roman;sans-serif" w:hAnsi="Times New Roman;sans-serif"/>
          <w:b w:val="false"/>
          <w:color w:val="000000"/>
          <w:sz w:val="24"/>
        </w:rPr>
        <w:t>means any consent, authorization, approval, order, license, franchise, permit, certification, accreditation, registration, clearance, exemption, filing or notice that is issued or granted by or from (or pursuant to any act of) any Governmental Authority, including any application or submission related to any of the foregoing.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Governmental Authority”</w:t>
      </w:r>
      <w:r>
        <w:rPr>
          <w:color w:val="000000"/>
        </w:rPr>
        <w:t xml:space="preserve"> </w:t>
      </w:r>
      <w:r>
        <w:rPr>
          <w:rFonts w:ascii="Times New Roman;sans-serif" w:hAnsi="Times New Roman;sans-serif"/>
          <w:b w:val="false"/>
          <w:color w:val="000000"/>
          <w:sz w:val="24"/>
        </w:rPr>
        <w:t>means any nation, government, branch of power (whether executive, legislative or judicial), state, municipality or other political subdivision thereof and any entity exercising executive, legislative, judicial, monetary, regulatory or administrative functions of or pertaining to government, including without limitation regulatory authorities, governmental departments, agencies, commissions, bureaus, officials, ministers, courts, bodies, boards, tribunals and dispute settlement panels, and other law-, rule- or regulation-making organizations or entities of any State, territory, county, city or other political subdivision of the United States or any foreign country.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Guarantee”</w:t>
      </w:r>
      <w:r>
        <w:rPr>
          <w:color w:val="000000"/>
        </w:rPr>
        <w:t xml:space="preserve"> </w:t>
      </w:r>
      <w:r>
        <w:rPr>
          <w:rFonts w:ascii="Times New Roman;sans-serif" w:hAnsi="Times New Roman;sans-serif"/>
          <w:b w:val="false"/>
          <w:color w:val="000000"/>
          <w:sz w:val="24"/>
        </w:rPr>
        <w:t xml:space="preserve">of or by any Person (the </w:t>
      </w:r>
      <w:r>
        <w:rPr>
          <w:color w:val="000000"/>
        </w:rPr>
        <w:t>“</w:t>
      </w:r>
      <w:r>
        <w:rPr>
          <w:rFonts w:ascii="Times New Roman;sans-serif" w:hAnsi="Times New Roman;sans-serif"/>
          <w:b w:val="false"/>
          <w:i/>
          <w:color w:val="000000"/>
          <w:sz w:val="24"/>
        </w:rPr>
        <w:t>guarantor”</w:t>
      </w:r>
      <w:r>
        <w:rPr>
          <w:rFonts w:ascii="Times New Roman;sans-serif" w:hAnsi="Times New Roman;sans-serif"/>
          <w:b w:val="false"/>
          <w:color w:val="000000"/>
          <w:sz w:val="24"/>
        </w:rPr>
        <w:t xml:space="preserve">) means any obligation, contingent or otherwise, of the guarantor guaranteeing or having the economic effect of guaranteeing any Indebtedness or other monetary obligation of any other Person (the </w:t>
      </w:r>
      <w:r>
        <w:rPr>
          <w:color w:val="000000"/>
        </w:rPr>
        <w:t>“</w:t>
      </w:r>
      <w:r>
        <w:rPr>
          <w:rFonts w:ascii="Times New Roman;sans-serif" w:hAnsi="Times New Roman;sans-serif"/>
          <w:b w:val="false"/>
          <w:i/>
          <w:color w:val="000000"/>
          <w:sz w:val="24"/>
        </w:rPr>
        <w:t>primary obligor”</w:t>
      </w:r>
      <w:r>
        <w:rPr>
          <w:rFonts w:ascii="Times New Roman;sans-serif" w:hAnsi="Times New Roman;sans-serif"/>
          <w:b w:val="false"/>
          <w:color w:val="000000"/>
          <w:sz w:val="24"/>
        </w:rPr>
        <w:t xml:space="preserve">) in any manner, whether directly or indirectly, and including any obligation of the guarantor, direct or indirect, (a) to purchase or pay (or advance or supply funds for the purchase or payment 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or (d) as an account party in respect of any letter of credit or letter of guaranty issued to support such Indebtedness or monetary obligation;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term Guarantee shall not include endorsements for collection or deposit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-14-</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Guarantee Assumption Agreement”</w:t>
      </w:r>
      <w:r>
        <w:rPr>
          <w:color w:val="000000"/>
        </w:rPr>
        <w:t xml:space="preserve"> </w:t>
      </w:r>
      <w:r>
        <w:rPr>
          <w:rFonts w:ascii="Times New Roman;sans-serif" w:hAnsi="Times New Roman;sans-serif"/>
          <w:b w:val="false"/>
          <w:color w:val="000000"/>
          <w:sz w:val="24"/>
        </w:rPr>
        <w:t>means a Guarantee Assumption Agreement substantially in the form of Exhibit A by an entity that, pursuant to Section 8.11(a), is required to become a “Guarantor”.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Guaranteed Obligations”</w:t>
      </w:r>
      <w:r>
        <w:rPr>
          <w:color w:val="000000"/>
        </w:rPr>
        <w:t xml:space="preserve"> </w:t>
      </w:r>
      <w:r>
        <w:rPr>
          <w:rFonts w:ascii="Times New Roman;sans-serif" w:hAnsi="Times New Roman;sans-serif"/>
          <w:b w:val="false"/>
          <w:color w:val="000000"/>
          <w:sz w:val="24"/>
        </w:rPr>
        <w:t>has the meaning set forth in Section 11.01.</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Guarantor”</w:t>
      </w:r>
      <w:r>
        <w:rPr>
          <w:color w:val="000000"/>
        </w:rPr>
        <w:t xml:space="preserve"> </w:t>
      </w:r>
      <w:r>
        <w:rPr>
          <w:rFonts w:ascii="Times New Roman;sans-serif" w:hAnsi="Times New Roman;sans-serif"/>
          <w:b w:val="false"/>
          <w:color w:val="000000"/>
          <w:sz w:val="24"/>
        </w:rPr>
        <w:t xml:space="preserve">means, Holdings and each Domestic Subsidiary of Holdings (other than Borrowers) on the Closing Date or joined as a Guarantor from time to time pursuant to Section 8.11(a).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Hazardous Material”</w:t>
      </w:r>
      <w:r>
        <w:rPr>
          <w:color w:val="000000"/>
        </w:rPr>
        <w:t xml:space="preserve"> </w:t>
      </w:r>
      <w:r>
        <w:rPr>
          <w:rFonts w:ascii="Times New Roman;sans-serif" w:hAnsi="Times New Roman;sans-serif"/>
          <w:b w:val="false"/>
          <w:color w:val="000000"/>
          <w:sz w:val="24"/>
        </w:rPr>
        <w:t>means any substance, element, chemical, compound, product, solid, gas, liquid, waste, by-product, pollutant, contaminant or material which is hazardous or toxic, and includes, without limitation, (a) asbestos, polychlorinated biphenyls and petroleum (including crude oil or any fraction thereof) and (b) any material classified or regulated as “hazardous” or “toxic” or words of like import pursuant to an Environmental Law.</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Health Care Compliance Program”</w:t>
      </w:r>
      <w:r>
        <w:rPr>
          <w:color w:val="000000"/>
        </w:rPr>
        <w:t xml:space="preserve"> </w:t>
      </w:r>
      <w:r>
        <w:rPr>
          <w:rFonts w:ascii="Times New Roman;sans-serif" w:hAnsi="Times New Roman;sans-serif"/>
          <w:b w:val="false"/>
          <w:color w:val="000000"/>
          <w:sz w:val="24"/>
        </w:rPr>
        <w:t>has the meaning set forth in Section 7.07(b)(v).</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Health Care Laws”</w:t>
      </w:r>
      <w:r>
        <w:rPr>
          <w:color w:val="000000"/>
        </w:rPr>
        <w:t xml:space="preserve"> </w:t>
      </w:r>
      <w:r>
        <w:rPr>
          <w:rFonts w:ascii="Times New Roman;sans-serif" w:hAnsi="Times New Roman;sans-serif"/>
          <w:b w:val="false"/>
          <w:color w:val="000000"/>
          <w:sz w:val="24"/>
        </w:rPr>
        <w:t>means, collectively, all Laws applicable to the business of Borrowers or any other Obligor relating to (a) the manufacturing, sale, distribution, labeling, marketing, or promotion, or the provision of and payment for, health care products, items and services, including but not limited to all applicable FDA Laws; (b) the privacy, security, storage, or collection of consumer information, including but not limited to HIPAA, the California Consumer Privacy Act, and other applicable state consumer privacy and security laws; (c) fraud and abuse, false claims, self-referral, kickbacks, fee-splitting, or patient brokering, including but not limited to (i) the federal Anti-Kickback Statute (42 U.S.C. § 1320a-7b(b)) and any similar state laws, (ii) the Ethics in Patient Referrals Act (Stark Law) (42 U.S.C. § 1395nn) and any similar state laws, (iii) the civil False Claims Act (31 U.S.C. § 3729 et seq.) and any similar state laws, (iv) the federal health care program exclusion provisions (42 U.S.C. § 1320a-7), (v) the Civil Monetary Penalties Act (42 U.S.C. § 1320a-7a), (vi) the Medicare Prescription Drug, Improvement, and Modernization Act of 2003 (Pub. L. No. 108-173)), (vii) the Eliminating Kickbacks in Recovery Act (18 U.S.C. § 220) and (viii) other applicable requirements relating to prohibited remuneration, or the defrauding of, or making of any false claim, false statement, or misrepresentation of material facts to the Federal Health Care Programs or any Third-Party Payor Program); (d) the corporate practice of medicine; (e) the provision of health care supplies, items or services to Federal Health Care Program beneficiaries or the billing of the Federal Health Care Programs; (f) clinical or other human subjects research and patient consent, including but not limited to the Federal Policy for Protection of Human Subjects; (g) required health care Permits, including CLIA and other applicable Laws relating to the licensure or registration of health care providers, suppliers, facilities, and manufacturers; (h) genetic counseling services, and (i) all rules and regulations promulgated under or pursuant to any of the foregoing.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Hedging Agreement”</w:t>
      </w:r>
      <w:r>
        <w:rPr>
          <w:color w:val="000000"/>
        </w:rPr>
        <w:t xml:space="preserve"> </w:t>
      </w:r>
      <w:r>
        <w:rPr>
          <w:rFonts w:ascii="Times New Roman;sans-serif" w:hAnsi="Times New Roman;sans-serif"/>
          <w:b w:val="false"/>
          <w:color w:val="000000"/>
          <w:sz w:val="24"/>
        </w:rPr>
        <w:t>means any interest rate exchange agreement, foreign currency exchange agreement, commodity price protection agreement or other interest or currency exchange rate or commodity price hedging arrangement.</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-15-</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HIPAA”</w:t>
      </w:r>
      <w:r>
        <w:rPr>
          <w:color w:val="000000"/>
        </w:rPr>
        <w:t xml:space="preserve"> </w:t>
      </w:r>
      <w:r>
        <w:rPr>
          <w:rFonts w:ascii="Times New Roman;sans-serif" w:hAnsi="Times New Roman;sans-serif"/>
          <w:b w:val="false"/>
          <w:color w:val="000000"/>
          <w:sz w:val="24"/>
        </w:rPr>
        <w:t>means the Health Insurance Portability and Accountability Act of 1996, 42 U.S.C. §§ 1320d-1329d-8, as amended by the Health Information Technology for Economic and Clinical Health Act, enacted as Title XIII of the American Recovery and Reinvestment Act of 2009, Public Law 111-5, as the same may be further amended, modified or supplemented from time to time, and its implementing regulations.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Holdings”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Immaterial Foreign Subsidiary</w:t>
      </w:r>
      <w:r>
        <w:rPr>
          <w:color w:val="000000"/>
        </w:rPr>
        <w:t xml:space="preserve">” </w:t>
      </w:r>
      <w:r>
        <w:rPr>
          <w:rFonts w:ascii="Times New Roman;sans-serif" w:hAnsi="Times New Roman;sans-serif"/>
          <w:b w:val="false"/>
          <w:color w:val="000000"/>
          <w:sz w:val="24"/>
        </w:rPr>
        <w:t>means, as of any date, any Foreign Subsidiary for which (a) the consolidated total assets of such Foreign Subsidiary and its Subsidiaries is not in excess of 5.0% of the consolidated total assets of Holdings and its Subsidiaries, (b) the aggregate amount of the Core Product Revenue of such Foreign Subsidiary and its Subsidiaries on a consolidated basis is not in excess of 5.0% of Core Product Revenue of Holdings and its Subsidiaries, (c) the consolidated total assets of such Foreign Subsidiary and its Subsidiaries, when taken together with the consolidated total assets of all other Immaterial Foreign Subsidiaries and their Subsidiaries, is not in excess of 10.0% of the consolidated total assets of Holdings and its Subsidiaries and (d) the aggregate amount of the Core Product Revenue of such Foreign Subsidiary and its Subsidiaries on a consolidated basis, when taken together with the contribution to Core Product Revenue of all other Immaterial Foreign Subsidiaries and their Subsidiaries on a consolidated basis, is not in excess of 10.0% of Core Product Revenue of Holdings and its Subsidiaries in each case as of the last day of any four quarter period. As of the Closing Date, each of GeneDx Iceland ehf. and MyGeneTeamCanada Ltd. are Immaterial Foreign Subsidiaries.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Indebtedness” </w:t>
      </w:r>
      <w:r>
        <w:rPr>
          <w:rFonts w:ascii="Times New Roman;sans-serif" w:hAnsi="Times New Roman;sans-serif"/>
          <w:b w:val="false"/>
          <w:color w:val="000000"/>
          <w:sz w:val="24"/>
        </w:rPr>
        <w:t xml:space="preserve">of any Person means, without duplication, (a) all obligations of such Person for borrowed money, (b) all obligations of such Person evidenced by bonds, debentures, notes, loan agreements or similar instruments, (c)  all obligations of such Person under conditional sale or other title retention agreements relating to Property acquired by such Person, (d) all obligations of such Person (i) in respect of the deferred purchase price of Property or services or (ii) upon which interest charges are customarily paid (excluding, in the case of (i) and (ii), current accounts payable incurred in the Ordinary Course of Business and except if subject to bona fide dispute contested in good faith by appropriate proceedings and for which such Obligor has set aside on its books adequate reserves with respect thereto not overdue by more than one hundred twenty (120) days), (e) all Indebtedness of others secured by (or for which the holder of such Indebtedness has an existing right, contingent or otherwise, to be secured by) any Lien on Property owned or acquired by such Person, whether or not the Indebtedness secured thereby has been assumed, (f) all Guarantees by such Person of Indebtedness of others, (g) all Capital Lease Obligations of such Person, (h) all obligations, contingent or otherwise, of such Person as an account party in respect of letters of credit and letters of guaranty, (i) obligations under any Hedging Agreement, currency swaps, forwards, futures or derivatives transactions, (j) all obligations, contingent or otherwise, of such Person in respect of bankers’ acceptances, (k) all obligations of such Person under license or other agreements containing a guaranteed minimum payment or purchase by such Person, (l) any Disqualified Equity Interests of such Person, (m) any earnout obligation at the time such obligation is both required to be reflected as a liability on the balance sheet of such Person in accordance with GAAP and not paid after becoming due and payable and (n) all other obligations required to be classified as indebtedness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64"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-16-</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of such Person under GAAP. The Indebtedness of any Person shall, without duplication,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Indemnified Party”</w:t>
      </w:r>
      <w:r>
        <w:rPr>
          <w:color w:val="000000"/>
        </w:rPr>
        <w:t xml:space="preserve"> </w:t>
      </w:r>
      <w:r>
        <w:rPr>
          <w:rFonts w:ascii="Times New Roman;sans-serif" w:hAnsi="Times New Roman;sans-serif"/>
          <w:b w:val="false"/>
          <w:color w:val="000000"/>
          <w:sz w:val="24"/>
        </w:rPr>
        <w:t>has the meaning set forth in Section 13.03(b).</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Indemnified Taxes”</w:t>
      </w:r>
      <w:r>
        <w:rPr>
          <w:color w:val="000000"/>
        </w:rPr>
        <w:t xml:space="preserve"> </w:t>
      </w:r>
      <w:r>
        <w:rPr>
          <w:rFonts w:ascii="Times New Roman;sans-serif" w:hAnsi="Times New Roman;sans-serif"/>
          <w:b w:val="false"/>
          <w:color w:val="000000"/>
          <w:sz w:val="24"/>
        </w:rPr>
        <w:t>means (a) Taxes, other than Excluded Taxes, imposed on or with respect to any payment made by or on account of any Obligation and (b) to the extent not otherwise described in clause (a), Other Taxes.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Industrial Designs”</w:t>
      </w:r>
      <w:r>
        <w:rPr>
          <w:color w:val="000000"/>
        </w:rPr>
        <w:t xml:space="preserve"> </w:t>
      </w:r>
      <w:r>
        <w:rPr>
          <w:rFonts w:ascii="Times New Roman;sans-serif" w:hAnsi="Times New Roman;sans-serif"/>
          <w:b w:val="false"/>
          <w:color w:val="000000"/>
          <w:sz w:val="24"/>
        </w:rPr>
        <w:t>means all right, title and interests arising under any Laws in or relating to all industrial designs, intangibles of like nature, and any work subject to the design laws of the United States, Canada or any other country or any political subdivision thereof.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Ineligible Assignee” </w:t>
      </w:r>
      <w:r>
        <w:rPr>
          <w:rFonts w:ascii="Times New Roman;sans-serif" w:hAnsi="Times New Roman;sans-serif"/>
          <w:b w:val="false"/>
          <w:color w:val="000000"/>
          <w:sz w:val="24"/>
        </w:rPr>
        <w:t>means (a) a natural person, (b) the Obligors or any of their respective Affiliates and (c) so long as no Event of Default shall have occurred and is continuing, to any Person who is a Disqualified Lender.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Information”</w:t>
      </w:r>
      <w:r>
        <w:rPr>
          <w:color w:val="000000"/>
        </w:rPr>
        <w:t xml:space="preserve"> </w:t>
      </w:r>
      <w:r>
        <w:rPr>
          <w:rFonts w:ascii="Times New Roman;sans-serif" w:hAnsi="Times New Roman;sans-serif"/>
          <w:b w:val="false"/>
          <w:color w:val="000000"/>
          <w:sz w:val="24"/>
        </w:rPr>
        <w:t>has the meaning set forth in Section 13.17.</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Insolvency Proceeding”</w:t>
      </w:r>
      <w:r>
        <w:rPr>
          <w:color w:val="000000"/>
        </w:rPr>
        <w:t xml:space="preserve"> </w:t>
      </w:r>
      <w:r>
        <w:rPr>
          <w:rFonts w:ascii="Times New Roman;sans-serif" w:hAnsi="Times New Roman;sans-serif"/>
          <w:b w:val="false"/>
          <w:color w:val="000000"/>
          <w:sz w:val="24"/>
        </w:rPr>
        <w:t>means (a) any case, action or proceeding before any court or other Governmental Authority relating to bankruptcy, reorganization, insolvency, liquidation, receivership, dissolution, winding-up or relief of debtors, or (b) any general assignment for the benefit of creditors, composition, marshaling of assets for creditors, or other, similar arrangement in respect of any Person’s creditors generally or any substantial portion of such Person’s creditors, in each case undertaken under U.S. Federal, state or foreign law, including the Bankruptcy Code.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Intellectual Property”</w:t>
      </w:r>
      <w:r>
        <w:rPr>
          <w:color w:val="000000"/>
        </w:rPr>
        <w:t xml:space="preserve"> </w:t>
      </w:r>
      <w:r>
        <w:rPr>
          <w:rFonts w:ascii="Times New Roman;sans-serif" w:hAnsi="Times New Roman;sans-serif"/>
          <w:b w:val="false"/>
          <w:color w:val="000000"/>
          <w:sz w:val="24"/>
        </w:rPr>
        <w:t>means, with respect to any Person, all of such Person’s rights, title and interest in and to all Patents, Trademarks, Copyrights, industrial designs, Technical Information, whether registered or not and whether existing under U.S. or non-U.S. Law or jurisdiction, including, without limitation, all:</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applications, registrations, amendments and extensions relating to such Intellectual Property;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rights and privileges arising under any applicable Laws with respect to any Intellectual Property;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rights to sue for or collect any damages for any past, present or future infringements of any Intellectual Property; and</w:t>
      </w:r>
    </w:p>
    <w:p>
      <w:pPr>
        <w:pStyle w:val="TextBody"/>
        <w:bidi w:val="0"/>
        <w:spacing w:lineRule="auto" w:line="304" w:before="280" w:after="283"/>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color w:val="000000"/>
          <w:sz w:val="24"/>
        </w:rPr>
        <w:t>rights of the same or similar effect or nature as described above in any jurisdiction corresponding to any Intellectual Property throughout the world.</w:t>
      </w:r>
      <w:r>
        <w:rPr>
          <w:color w:val="000000"/>
          <w:shd w:fill="C0C0C0" w:val="clear"/>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6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-17-</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Intercompany Note”</w:t>
      </w:r>
      <w:r>
        <w:rPr>
          <w:color w:val="000000"/>
        </w:rPr>
        <w:t xml:space="preserve"> </w:t>
      </w:r>
      <w:r>
        <w:rPr>
          <w:rFonts w:ascii="Times New Roman;sans-serif" w:hAnsi="Times New Roman;sans-serif"/>
          <w:b w:val="false"/>
          <w:color w:val="000000"/>
          <w:sz w:val="24"/>
        </w:rPr>
        <w:t>means that certain Intercompany Promissory Note, dated as of the Closing Date, made by certain Immaterial Foreign Subsidiaries in favor of the Obligors.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Intercompany Note Subordination Agreement”</w:t>
      </w:r>
      <w:r>
        <w:rPr>
          <w:color w:val="000000"/>
        </w:rPr>
        <w:t xml:space="preserve"> </w:t>
      </w:r>
      <w:r>
        <w:rPr>
          <w:rFonts w:ascii="Times New Roman;sans-serif" w:hAnsi="Times New Roman;sans-serif"/>
          <w:b w:val="false"/>
          <w:color w:val="000000"/>
          <w:sz w:val="24"/>
        </w:rPr>
        <w:t>means that certain Intercompany Subordination Agreement, dated as of the Closing Date, by and among certain Immaterial Foreign Subsidiaries, the Obligors and the Administrative Agent.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Interest Period”</w:t>
      </w:r>
      <w:r>
        <w:rPr>
          <w:color w:val="000000"/>
        </w:rPr>
        <w:t xml:space="preserve"> </w:t>
      </w:r>
      <w:r>
        <w:rPr>
          <w:rFonts w:ascii="Times New Roman;sans-serif" w:hAnsi="Times New Roman;sans-serif"/>
          <w:b w:val="false"/>
          <w:color w:val="000000"/>
          <w:sz w:val="24"/>
        </w:rPr>
        <w:t>means, (a) as to the Tranche A Term Loan, (i) initially, the period beginning on (and including) the Closing Date and ending on (and including) the last day of the calendar month in which the Closing Date occurs, and (ii) thereafter, the period beginning on (and including) the first day of each succeeding calendar month and ending on the earlier of (and including) (x) the last day of such calendar month and (y) the Maturity Date, and (b) as to the Tranche B Term Loan, (i) the period commencing on (and including) the Tranche B Term Loan Borrowing Date and ending on (and including) the last day of the calendar month in which the Tranche B Term Loan Borrowing Date occurs, and (ii) thereafter, the period beginning on (and including) the first day of each succeeding calendar month and ending on the earlier of (and including) (x) the last day of such calendar month and (y) the Maturity Date.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Invention”</w:t>
      </w:r>
      <w:r>
        <w:rPr>
          <w:color w:val="000000"/>
        </w:rPr>
        <w:t xml:space="preserve"> </w:t>
      </w:r>
      <w:r>
        <w:rPr>
          <w:rFonts w:ascii="Times New Roman;sans-serif" w:hAnsi="Times New Roman;sans-serif"/>
          <w:b w:val="false"/>
          <w:color w:val="000000"/>
          <w:sz w:val="24"/>
        </w:rPr>
        <w:t>means any novel, inventive or useful art, apparatus, method, process, machine (including any article or Device), manufacture or composition of matter, or any novel, inventive and useful improvement in any art, method, process, machine (including any article or Device), manufacture or composition of matter.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Investment”</w:t>
      </w:r>
      <w:r>
        <w:rPr>
          <w:color w:val="000000"/>
        </w:rPr>
        <w:t xml:space="preserve"> </w:t>
      </w:r>
      <w:r>
        <w:rPr>
          <w:rFonts w:ascii="Times New Roman;sans-serif" w:hAnsi="Times New Roman;sans-serif"/>
          <w:b w:val="false"/>
          <w:color w:val="000000"/>
          <w:sz w:val="24"/>
        </w:rPr>
        <w:t>means, for any Person: (a) the acquisition (whether for cash, Property, services or securities or otherwise) of Equity Interests, bonds, notes, debentures, partnership or other ownership interests or other securities of any other Person or any agreement to make any such acquisition (including any “short sale” or any sale of any securities at a time when such securities are not owned by the Person entering into such sale); (b) the making of any deposit with, or advance, loan, assumption of debt or other extension of credit to, any other Person (including the purchase of Property from another Person subject to an understanding or agreement, contingent or otherwise, to resell such Property to such Person), but excluding any such advance, loan or extension of credit in the nature of an ordinary course trade receivable having a term not exceeding one hundred twenty (120) days arising in connection with the sale of services, inventory or supplies by such Person in the Ordinary Course of Business; (c) the entering into of any Guarantee of, or other contingent obligation with respect to, Indebtedness of any other Person and (without duplication) any amount committed to be advanced, lent or extended to such Person; (d) entering into any joint venture; or (e) the entering into of any Hedging Agreement. The amount of an Investment will be determined at the time the Investment is made without giving effect to any subsequent changes in value.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IRS”</w:t>
      </w:r>
      <w:r>
        <w:rPr>
          <w:color w:val="000000"/>
        </w:rPr>
        <w:t xml:space="preserve"> </w:t>
      </w:r>
      <w:r>
        <w:rPr>
          <w:rFonts w:ascii="Times New Roman;sans-serif" w:hAnsi="Times New Roman;sans-serif"/>
          <w:b w:val="false"/>
          <w:color w:val="000000"/>
          <w:sz w:val="24"/>
        </w:rPr>
        <w:t>means the U.S. Internal Revenue Service or any successor agency, and to the extent relevant, the U.S. Department of the Treasury.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Key Person” </w:t>
      </w:r>
      <w:r>
        <w:rPr>
          <w:rFonts w:ascii="Times New Roman;sans-serif" w:hAnsi="Times New Roman;sans-serif"/>
          <w:b w:val="false"/>
          <w:color w:val="000000"/>
          <w:sz w:val="24"/>
        </w:rPr>
        <w:t>means Katherine Stueland or such other person as may be appointed by the Board as her replacement pursuant to the definition of “Key Person Event.”</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6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-18-</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Key Person Event” </w:t>
      </w:r>
      <w:r>
        <w:rPr>
          <w:rFonts w:ascii="Times New Roman;sans-serif" w:hAnsi="Times New Roman;sans-serif"/>
          <w:b w:val="false"/>
          <w:color w:val="000000"/>
          <w:sz w:val="24"/>
        </w:rPr>
        <w:t>means the Key Person (a) ceases to hold the office of chief executive officer (or equivalent) of Holdings or fails to be directly and actively involved in the day to day management and direction of Holdings and its Subsidiaries and an interim or successor reasonably acceptable to the Board (determined following good faith consultation with the Lender) shall not have been appointed by the Board within six (6) months of such cessation, or (b) at any time during the period in which such Key Person holds the office of chief executive officer (or equivalent) of Holdings, becomes or is a chief executive officer (or equivalent) of any Person other than Holdings and its Subsidiaries and such affiliation materially and adversely affects the amount of time the Key Person devotes to the business of Holdings and its Subsidiaries.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Laws”</w:t>
      </w:r>
      <w:r>
        <w:rPr>
          <w:color w:val="000000"/>
        </w:rPr>
        <w:t xml:space="preserve"> </w:t>
      </w:r>
      <w:r>
        <w:rPr>
          <w:rFonts w:ascii="Times New Roman;sans-serif" w:hAnsi="Times New Roman;sans-serif"/>
          <w:b w:val="false"/>
          <w:color w:val="000000"/>
          <w:sz w:val="24"/>
        </w:rPr>
        <w:t>means, collectively, all international, foreign, federal, state, provincial, territorial, municipal and local statutes, treaties, rules,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Lenders”</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Lien”</w:t>
      </w:r>
      <w:r>
        <w:rPr>
          <w:color w:val="000000"/>
        </w:rPr>
        <w:t xml:space="preserve"> </w:t>
      </w:r>
      <w:r>
        <w:rPr>
          <w:rFonts w:ascii="Times New Roman;sans-serif" w:hAnsi="Times New Roman;sans-serif"/>
          <w:b w:val="false"/>
          <w:color w:val="000000"/>
          <w:sz w:val="24"/>
        </w:rPr>
        <w:t>means any mortgage, lien, pledge, charge or other security interest, or any lease, title retention agreement, mortgage, restriction, easement, right-of-way, option or adverse Claim (of ownership or possession) or other encumbrance of any kind or character whatsoever or any preferential arrangement that has the practical effect of creating a security interest.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Loan Documents”</w:t>
      </w:r>
      <w:r>
        <w:rPr>
          <w:color w:val="000000"/>
        </w:rPr>
        <w:t xml:space="preserve"> </w:t>
      </w:r>
      <w:r>
        <w:rPr>
          <w:rFonts w:ascii="Times New Roman;sans-serif" w:hAnsi="Times New Roman;sans-serif"/>
          <w:b w:val="false"/>
          <w:color w:val="000000"/>
          <w:sz w:val="24"/>
        </w:rPr>
        <w:t>means, collectively, this Agreement, any Notes, the Security Documents, any Guarantee Assumption Agreement, the Fee Letter, the Warrant Certificate, the Intercompany Note, the Intercompany Subordination Agreement, any collateral access agreement, and any subordination agreement, intercreditor agreement or other present or future document, instrument, agreement or certificate delivered to any Lender in connection with this Agreement or any of the other Loan Documents, in each case, as amended, restated, supplemented or otherwise modified.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Loan Exposure”</w:t>
      </w:r>
      <w:r>
        <w:rPr>
          <w:color w:val="000000"/>
        </w:rPr>
        <w:t xml:space="preserve"> </w:t>
      </w:r>
      <w:r>
        <w:rPr>
          <w:rFonts w:ascii="Times New Roman;sans-serif" w:hAnsi="Times New Roman;sans-serif"/>
          <w:b w:val="false"/>
          <w:color w:val="000000"/>
          <w:sz w:val="24"/>
        </w:rPr>
        <w:t>means, with respect to any Lender, as of any date of determination, the outstanding principal amount of such Lender’s portion of the Term Loans; provided, at any time prior to the making of the Tranche B Term Loan, the Loan Exposure of any Lender shall be equal to such Lender’s Tranche B Term Loan Commitment.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Loss”</w:t>
      </w:r>
      <w:r>
        <w:rPr>
          <w:color w:val="000000"/>
        </w:rPr>
        <w:t xml:space="preserve"> </w:t>
      </w:r>
      <w:r>
        <w:rPr>
          <w:rFonts w:ascii="Times New Roman;sans-serif" w:hAnsi="Times New Roman;sans-serif"/>
          <w:b w:val="false"/>
          <w:color w:val="000000"/>
          <w:sz w:val="24"/>
        </w:rPr>
        <w:t>means judgments, debts, liabilities, expenses, costs, damages or losses, contingent or otherwise, whether liquidated or unliquidated, matured or unmatured, disputed or undisputed, contractual, legal or equitable, including loss of value, professional fees, including fees and disbursements of legal counsel on a full indemnity basis, and all costs incurred in investigating or pursuing any Claim or any proceeding relating to any Claim.</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-19-</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Majority Lenders”</w:t>
      </w:r>
      <w:r>
        <w:rPr>
          <w:color w:val="000000"/>
        </w:rPr>
        <w:t xml:space="preserve"> </w:t>
      </w:r>
      <w:r>
        <w:rPr>
          <w:rFonts w:ascii="Times New Roman;sans-serif" w:hAnsi="Times New Roman;sans-serif"/>
          <w:b w:val="false"/>
          <w:color w:val="000000"/>
          <w:sz w:val="24"/>
        </w:rPr>
        <w:t>means, at any time, one or more Lenders having or holding Loan Exposure and representing more than 50% of the aggregate Loan Exposure of all Lenders.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Margin Stock”</w:t>
      </w:r>
      <w:r>
        <w:rPr>
          <w:color w:val="000000"/>
        </w:rPr>
        <w:t xml:space="preserve"> </w:t>
      </w:r>
      <w:r>
        <w:rPr>
          <w:rFonts w:ascii="Times New Roman;sans-serif" w:hAnsi="Times New Roman;sans-serif"/>
          <w:b w:val="false"/>
          <w:color w:val="000000"/>
          <w:sz w:val="24"/>
        </w:rPr>
        <w:t>means “margin stock” within the meaning of Regulations U and X.</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Material Adverse Change”</w:t>
      </w:r>
      <w:r>
        <w:rPr>
          <w:color w:val="000000"/>
        </w:rPr>
        <w:t xml:space="preserve"> </w:t>
      </w:r>
      <w:r>
        <w:rPr>
          <w:rFonts w:ascii="Times New Roman;sans-serif" w:hAnsi="Times New Roman;sans-serif"/>
          <w:b w:val="false"/>
          <w:color w:val="000000"/>
          <w:sz w:val="24"/>
        </w:rPr>
        <w:t xml:space="preserve">and </w:t>
      </w:r>
      <w:r>
        <w:rPr>
          <w:color w:val="000000"/>
        </w:rPr>
        <w:t>“</w:t>
      </w:r>
      <w:r>
        <w:rPr>
          <w:rFonts w:ascii="Times New Roman;sans-serif" w:hAnsi="Times New Roman;sans-serif"/>
          <w:b w:val="false"/>
          <w:i/>
          <w:color w:val="000000"/>
          <w:sz w:val="24"/>
        </w:rPr>
        <w:t>Material Adverse Effect”</w:t>
      </w:r>
      <w:r>
        <w:rPr>
          <w:color w:val="000000"/>
        </w:rPr>
        <w:t xml:space="preserve"> </w:t>
      </w:r>
      <w:r>
        <w:rPr>
          <w:rFonts w:ascii="Times New Roman;sans-serif" w:hAnsi="Times New Roman;sans-serif"/>
          <w:b w:val="false"/>
          <w:color w:val="000000"/>
          <w:sz w:val="24"/>
        </w:rPr>
        <w:t>mean a material adverse change in or effect on (a) the business, financial condition, operations, performance or Property of the Obligors taken as a whole, (b) the ability of any Obligor to perform its Obligations under any Loan Document, or (c)  the legality, validity, binding effect or enforceability of the Loan Documents or the rights and remedies of any Lender under any of the Loan Documents.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Material Agreement”</w:t>
      </w:r>
      <w:r>
        <w:rPr>
          <w:color w:val="000000"/>
        </w:rPr>
        <w:t xml:space="preserve"> </w:t>
      </w:r>
      <w:r>
        <w:rPr>
          <w:rFonts w:ascii="Times New Roman;sans-serif" w:hAnsi="Times New Roman;sans-serif"/>
          <w:b w:val="false"/>
          <w:color w:val="000000"/>
          <w:sz w:val="24"/>
        </w:rPr>
        <w:t xml:space="preserve">means (a) any Contract which is listed in Schedule 7.14, (b) any other Contract to which any Obligor is a party or a beneficiary from time to time, or to which any assets or properties of any Obligor is bound, the loss or termination of which would reasonably be expected to result in a Material Adverse Effect and (c) any other Contract to which any Obligor is a party or a guarantor (or equivalent) whether existing as of the date hereof or in the future that during any period of twelve (12) consecutive months is reasonably expected to (i) result in payments or receipts (including royalty, licensing or similar payments) made to any Obligor in an aggregate amount in excess of $2,000,000 or (ii) require payments or expenditures (including royalty, licensing or similar payments) made by any Obligor in an aggregate amount in excess of $2,000,000,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 each case, no Contract with respect to operational supplies, inventory or equipment (including with respect to laboratory reagents) entered into in the Ordinary Course of Business shall be a Material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Material Indebtedness”</w:t>
      </w:r>
      <w:r>
        <w:rPr>
          <w:color w:val="000000"/>
        </w:rPr>
        <w:t xml:space="preserve"> </w:t>
      </w:r>
      <w:r>
        <w:rPr>
          <w:rFonts w:ascii="Times New Roman;sans-serif" w:hAnsi="Times New Roman;sans-serif"/>
          <w:b w:val="false"/>
          <w:color w:val="000000"/>
          <w:sz w:val="24"/>
        </w:rPr>
        <w:t>means, at any time, any Indebtedness of any Obligor, the outstanding principal amount of which, individually or in the aggregate, exceeds $2,000,000. For the avoidance of doubt, until amounts outstanding thereunder are in each case $2,000,000 or less, “Material Indebtedness” shall include Indebtedness outstanding under each of the CDEC Documents and the Settlement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Maturity Date”</w:t>
      </w:r>
      <w:r>
        <w:rPr>
          <w:color w:val="000000"/>
        </w:rPr>
        <w:t xml:space="preserve"> </w:t>
      </w:r>
      <w:r>
        <w:rPr>
          <w:rFonts w:ascii="Times New Roman;sans-serif" w:hAnsi="Times New Roman;sans-serif"/>
          <w:b w:val="false"/>
          <w:color w:val="000000"/>
          <w:sz w:val="24"/>
        </w:rPr>
        <w:t>means the earlier to occur of (a) the Stated Maturity Date, and (b) the date on which the Term Loans are accelerated pursuant to Section 10.02.</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Multiemployer Plan”</w:t>
      </w:r>
      <w:r>
        <w:rPr>
          <w:color w:val="000000"/>
        </w:rPr>
        <w:t xml:space="preserve"> </w:t>
      </w:r>
      <w:r>
        <w:rPr>
          <w:rFonts w:ascii="Times New Roman;sans-serif" w:hAnsi="Times New Roman;sans-serif"/>
          <w:b w:val="false"/>
          <w:color w:val="000000"/>
          <w:sz w:val="24"/>
        </w:rPr>
        <w:t>means any “multiemployer plan”, as defined in Section 400l(a)(3) of ERISA, with respect to which any Obligor or ERISA Affiliate incurs, or otherwise has, any obligation or liability, contingent or otherwise.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Net Cash Proceeds”</w:t>
      </w:r>
      <w:r>
        <w:rPr>
          <w:color w:val="000000"/>
        </w:rPr>
        <w:t xml:space="preserve"> </w:t>
      </w:r>
      <w:r>
        <w:rPr>
          <w:rFonts w:ascii="Times New Roman;sans-serif" w:hAnsi="Times New Roman;sans-serif"/>
          <w:b w:val="false"/>
          <w:color w:val="000000"/>
          <w:sz w:val="24"/>
        </w:rPr>
        <w:t>means,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with respect to any Casualty Event, the amount of cash proceeds actually received in the form of insurance proceeds or condemnation awards in respect of such Casualty Event from time to time by or on behalf of such Obligor after deducting therefrom only (i) actual costs and expenses related thereto incurred by such Obligor (including any indemnification or other payments due to a third party) and (ii) Taxes paid or payable in each case, in connection therewith or as a result thereof;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6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-20-</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color w:val="000000"/>
          <w:sz w:val="24"/>
        </w:rPr>
        <w:t>with respect to the incurrence or issuance of any Indebtedness incurred by an Obligor not permitted under Section 9.01, the excess, if any, of (i) the sum of the cash received in connection with such incurrence or issuance over (ii) the investment banking fees, underwriting discounts, commissions, costs and other reasonable expenses and other customary expenses (including reasonable attorney’s, accountant’s and other similar professional advisor’s fees), incurred by such obligor in connection with such incurrence or issuance to third parties (other than any other Obligor or any of their respective Affiliates);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with respect to any Asset Sale, the excess, if any, of (i) cash proceeds received in respect of such Asset Sale (including cash proceeds subsequently received (as and when received)) over (ii) the sum of (A) the direct costs of such Asset Sale then payable by the recipient of such proceeds excluding amounts payable to any Obligor or any of its Subsidiaries, (B) Taxes paid or payable by such recipient in connection therewith or as a result thereof, (C) amounts required to be applied to repay principal, interest and prepayment premiums and penalties on Indebtedness secured by a Permitted Lien on the properties subject to such Asset Sale and (D) amounts reserved or deposited in escrow with respect to indemnity payments or price adjustments until such amounts are released to the applicable Obligor or any of its Subsidiaries.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Note”</w:t>
      </w:r>
      <w:r>
        <w:rPr>
          <w:color w:val="000000"/>
        </w:rPr>
        <w:t xml:space="preserve"> </w:t>
      </w:r>
      <w:r>
        <w:rPr>
          <w:rFonts w:ascii="Times New Roman;sans-serif" w:hAnsi="Times New Roman;sans-serif"/>
          <w:b w:val="false"/>
          <w:color w:val="000000"/>
          <w:sz w:val="24"/>
        </w:rPr>
        <w:t>means a promissory note executed and delivered by Borrowers to any Lender in the form attached hereto as Exhibit C.</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Obligations”</w:t>
      </w:r>
      <w:r>
        <w:rPr>
          <w:color w:val="000000"/>
        </w:rPr>
        <w:t xml:space="preserve"> </w:t>
      </w:r>
      <w:r>
        <w:rPr>
          <w:rFonts w:ascii="Times New Roman;sans-serif" w:hAnsi="Times New Roman;sans-serif"/>
          <w:b w:val="false"/>
          <w:color w:val="000000"/>
          <w:sz w:val="24"/>
        </w:rPr>
        <w:t>means, with respect to any Obligor, all amounts, obligations (including, without limitation, all Warrant Obligations), liabilities, covenants and duties of every type and description owing by such Obligor to any Lender or any other Indemnified Party hereunder, arising out of, under, or in connection with, any Loan Document, whether direct or indirect (regardless of whether acquired by assignment), absolute or contingent, due or to become due, whether liquidated or not, now existing or hereafter arising and however acquired, and whether or not evidenced by any instrument for the payment of money, including, without duplication, (a) the principal amount of the Term Loans, (b) all interest on the Term Loans (including interest at the Default Rate), whether or not accruing after the filing of any petition in bankruptcy or after the commencement of any insolvency, reorganization or similar proceeding, and whether or not a Claim for post-filing or post-petition interest is allowed in any such proceeding, (c) any Prepayment Premium and (d) all other fees, expenses (including fees, charges and disbursement of counsel), interest, commissions, charges, costs, disbursements, indemnities and reimbursement of amounts paid and other sums chargeable to such Obligor under any Loan Document.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Obligor Intellectual Property”</w:t>
      </w:r>
      <w:r>
        <w:rPr>
          <w:color w:val="000000"/>
        </w:rPr>
        <w:t xml:space="preserve"> </w:t>
      </w:r>
      <w:r>
        <w:rPr>
          <w:rFonts w:ascii="Times New Roman;sans-serif" w:hAnsi="Times New Roman;sans-serif"/>
          <w:b w:val="false"/>
          <w:color w:val="000000"/>
          <w:sz w:val="24"/>
        </w:rPr>
        <w:t>means, at any time of determination, Intellectual Property owned by, licensed to or otherwise held by any Obligor at such time including, without limitation, the Intellectual Property listed on Schedule 7.05(b).</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Obligors”</w:t>
      </w:r>
      <w:r>
        <w:rPr>
          <w:color w:val="000000"/>
        </w:rPr>
        <w:t xml:space="preserve"> </w:t>
      </w:r>
      <w:r>
        <w:rPr>
          <w:rFonts w:ascii="Times New Roman;sans-serif" w:hAnsi="Times New Roman;sans-serif"/>
          <w:b w:val="false"/>
          <w:color w:val="000000"/>
          <w:sz w:val="24"/>
        </w:rPr>
        <w:t xml:space="preserve">means, collectively, Borrowers and any other Guarantor party to this Agreement from time to time, and each of the Obligors, an </w:t>
      </w:r>
      <w:r>
        <w:rPr>
          <w:color w:val="000000"/>
        </w:rPr>
        <w:t>“</w:t>
      </w:r>
      <w:r>
        <w:rPr>
          <w:rFonts w:ascii="Times New Roman;sans-serif" w:hAnsi="Times New Roman;sans-serif"/>
          <w:b w:val="false"/>
          <w:i/>
          <w:color w:val="000000"/>
          <w:sz w:val="24"/>
        </w:rPr>
        <w:t>Obligor”</w:t>
      </w:r>
      <w:r>
        <w:rPr>
          <w:rFonts w:ascii="Times New Roman;sans-serif" w:hAnsi="Times New Roman;sans-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6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-21-</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OFAC”</w:t>
      </w:r>
      <w:r>
        <w:rPr>
          <w:color w:val="000000"/>
        </w:rPr>
        <w:t xml:space="preserve"> </w:t>
      </w:r>
      <w:r>
        <w:rPr>
          <w:rFonts w:ascii="Times New Roman;sans-serif" w:hAnsi="Times New Roman;sans-serif"/>
          <w:b w:val="false"/>
          <w:color w:val="000000"/>
          <w:sz w:val="24"/>
        </w:rPr>
        <w:t>means the Office of Foreign Assets Control of the U.S. Department of the Treasury (or any successor thereto).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Ordinary Course of Business”</w:t>
      </w:r>
      <w:r>
        <w:rPr>
          <w:color w:val="000000"/>
        </w:rPr>
        <w:t xml:space="preserve"> </w:t>
      </w:r>
      <w:r>
        <w:rPr>
          <w:rFonts w:ascii="Times New Roman;sans-serif" w:hAnsi="Times New Roman;sans-serif"/>
          <w:b w:val="false"/>
          <w:color w:val="000000"/>
          <w:sz w:val="24"/>
        </w:rPr>
        <w:t>means, with respect to the Obligors, the ordinary course of business generally consistent with past custom and practice (including with respect to nature, scope, magnitude, quantity and frequency).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Organizational Documents”</w:t>
      </w:r>
      <w:r>
        <w:rPr>
          <w:color w:val="000000"/>
        </w:rPr>
        <w:t xml:space="preserve"> </w:t>
      </w:r>
      <w:r>
        <w:rPr>
          <w:rFonts w:ascii="Times New Roman;sans-serif" w:hAnsi="Times New Roman;sans-serif"/>
          <w:b w:val="false"/>
          <w:color w:val="000000"/>
          <w:sz w:val="24"/>
        </w:rPr>
        <w:t>means (a) with respect to any corporation, its certificate or articles of incorporation or organization, as amended, and its bylaws, as amended, (b) with respect to any limited partnership, its certificate of limited partnership, as amended, and its partnership agreement, as amended, (c) with respect to any general partnership, its partnership agreement, as amended, and (d) with respect to any limited liability company, its certificate of formation or articles of organization, as amended, and its operating agreement, as amended. In the event any term or condition of this Agreement or any other Loan Document requires any Organizational Document to be certified by a secretary of state or similar government official, the reference to any such “Organizational Document” shall only be to a document of a type customarily certified by such government official.</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Other Connection Taxes”</w:t>
      </w:r>
      <w:r>
        <w:rPr>
          <w:color w:val="000000"/>
        </w:rPr>
        <w:t xml:space="preserve"> </w:t>
      </w:r>
      <w:r>
        <w:rPr>
          <w:rFonts w:ascii="Times New Roman;sans-serif" w:hAnsi="Times New Roman;sans-serif"/>
          <w:b w:val="false"/>
          <w:color w:val="000000"/>
          <w:sz w:val="24"/>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Term Loan or Loan Document).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Other Taxes”</w:t>
      </w:r>
      <w:r>
        <w:rPr>
          <w:color w:val="000000"/>
        </w:rPr>
        <w:t xml:space="preserve"> </w:t>
      </w:r>
      <w:r>
        <w:rPr>
          <w:rFonts w:ascii="Times New Roman;sans-serif" w:hAnsi="Times New Roman;sans-serif"/>
          <w:b w:val="false"/>
          <w:color w:val="000000"/>
          <w:sz w:val="24"/>
        </w:rPr>
        <w:t>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5.03(g)).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Participant”</w:t>
      </w:r>
      <w:r>
        <w:rPr>
          <w:color w:val="000000"/>
        </w:rPr>
        <w:t xml:space="preserve"> </w:t>
      </w:r>
      <w:r>
        <w:rPr>
          <w:rFonts w:ascii="Times New Roman;sans-serif" w:hAnsi="Times New Roman;sans-serif"/>
          <w:b w:val="false"/>
          <w:color w:val="000000"/>
          <w:sz w:val="24"/>
        </w:rPr>
        <w:t>has the meaning set forth in Section 13.05(e).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Participant Register”</w:t>
      </w:r>
      <w:r>
        <w:rPr>
          <w:color w:val="000000"/>
        </w:rPr>
        <w:t xml:space="preserve"> </w:t>
      </w:r>
      <w:r>
        <w:rPr>
          <w:rFonts w:ascii="Times New Roman;sans-serif" w:hAnsi="Times New Roman;sans-serif"/>
          <w:b w:val="false"/>
          <w:color w:val="000000"/>
          <w:sz w:val="24"/>
        </w:rPr>
        <w:t>has the meaning set forth in Section 13.05(f).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Patents”</w:t>
      </w:r>
      <w:r>
        <w:rPr>
          <w:color w:val="000000"/>
        </w:rPr>
        <w:t xml:space="preserve"> </w:t>
      </w:r>
      <w:r>
        <w:rPr>
          <w:rFonts w:ascii="Times New Roman;sans-serif" w:hAnsi="Times New Roman;sans-serif"/>
          <w:b w:val="false"/>
          <w:color w:val="000000"/>
          <w:sz w:val="24"/>
        </w:rPr>
        <w:t>has the meaning set forth in the Security Documents.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Payment Date”</w:t>
      </w:r>
      <w:r>
        <w:rPr>
          <w:color w:val="000000"/>
        </w:rPr>
        <w:t xml:space="preserve"> </w:t>
      </w:r>
      <w:r>
        <w:rPr>
          <w:rFonts w:ascii="Times New Roman;sans-serif" w:hAnsi="Times New Roman;sans-serif"/>
          <w:b w:val="false"/>
          <w:color w:val="000000"/>
          <w:sz w:val="24"/>
        </w:rPr>
        <w:t xml:space="preserve">means the last day of each Interest Period;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such last day of such Interest Period is not a Business Day, then the Payment Date for such Interest Period will be the next succeeding Business Day.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PBGC”</w:t>
      </w:r>
      <w:r>
        <w:rPr>
          <w:color w:val="000000"/>
        </w:rPr>
        <w:t xml:space="preserve"> </w:t>
      </w:r>
      <w:r>
        <w:rPr>
          <w:rFonts w:ascii="Times New Roman;sans-serif" w:hAnsi="Times New Roman;sans-serif"/>
          <w:b w:val="false"/>
          <w:color w:val="000000"/>
          <w:sz w:val="24"/>
        </w:rPr>
        <w:t>means the United States Pension Benefit Guaranty Corporation referred to and defined in ERISA and any successor entity performing similar functions.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Perceptive</w:t>
      </w:r>
      <w:r>
        <w:rPr>
          <w:color w:val="000000"/>
        </w:rPr>
        <w:t xml:space="preserve">” </w:t>
      </w:r>
      <w:r>
        <w:rPr>
          <w:rFonts w:ascii="Times New Roman;sans-serif" w:hAnsi="Times New Roman;sans-serif"/>
          <w:b w:val="false"/>
          <w:color w:val="000000"/>
          <w:sz w:val="24"/>
        </w:rPr>
        <w:t>has the meaning set forth in the introduction hereto.</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-22-</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Periodic Term SOFR Determination Day” </w:t>
      </w:r>
      <w:r>
        <w:rPr>
          <w:rFonts w:ascii="Times New Roman;sans-serif" w:hAnsi="Times New Roman;sans-serif"/>
          <w:b w:val="false"/>
          <w:color w:val="000000"/>
          <w:sz w:val="24"/>
        </w:rPr>
        <w:t>has the meaning specified in the definition of “Term SOFR.”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Permits”</w:t>
      </w:r>
      <w:r>
        <w:rPr>
          <w:color w:val="000000"/>
        </w:rPr>
        <w:t xml:space="preserve"> </w:t>
      </w:r>
      <w:r>
        <w:rPr>
          <w:rFonts w:ascii="Times New Roman;sans-serif" w:hAnsi="Times New Roman;sans-serif"/>
          <w:b w:val="false"/>
          <w:color w:val="000000"/>
          <w:sz w:val="24"/>
        </w:rPr>
        <w:t>means all permits, licenses, registrations, certificates, orders, approvals, authorizations, consents, waivers, franchises, variances and similar rights issued by or obtained from any Governmental Authority or any other Person, including, without limitation, those relating to Environmental Laws and Health Care Laws.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Permitted Acquisition”</w:t>
      </w:r>
      <w:r>
        <w:rPr>
          <w:color w:val="000000"/>
        </w:rPr>
        <w:t xml:space="preserve"> </w:t>
      </w:r>
      <w:r>
        <w:rPr>
          <w:rFonts w:ascii="Times New Roman;sans-serif" w:hAnsi="Times New Roman;sans-serif"/>
          <w:b w:val="false"/>
          <w:color w:val="000000"/>
          <w:sz w:val="24"/>
        </w:rPr>
        <w:t xml:space="preserve">means any Acquisition by any Obligor or any of their wholly-owned Subsidiaries, by (a) purchase, merger, amalgamation, plan of arrangement, license or otherwise, of all or substantially all of the assets of, all of the Equity Interests of, or a business line or unit or a division of, any Person or (b) license arrangement for the rights to use, develop, market or otherwise commercialize any Patents, Trademarks, Copyrights or other Intellectual Property (other than ordinary course, off-the-shelf or over the counter software license arrangements);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immediately prior to, and immediately after giving effect thereto, no Default or Event of Default shall have occurred and be continuing or would result therefrom;</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all transactions in connection therewith shall be consummated, in all material respects, in accordance with all applicable Laws and in conformity in all material respects with all applicable Governmental Approvals;</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 xml:space="preserve">in the case of the Acquisition of all of the Equity Interests of such Person, all of the Equity Interests (except for any such securities in the nature of directors’ qualifying shares required pursuant to applicable Law) acquired, or otherwise issued by such Person or any newly formed Subsidiary of such Obligor in connection with such Acquisition, shall be owned 100% by an Obligor and Borrowers shall have taken, or caused to be taken, each of the actions set forth in Section 8.11, if applicable (within the time period set forth therein);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 xml:space="preserve">such Person (in the case of an Acquisition of Equity Interests) or assets (in the case of an Acquisition of assets or a division) (A) shall be engaged or used, as the case may be, in the same business or lines of business in which Holdings and/or their Subsidiaries are engaged or a business reasonably and substantially related or incidental thereto or (B) shall have a similar customer base as Holdings and/or their Subsidiaries;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w:t>
      </w:r>
      <w:r>
        <w:rPr>
          <w:color w:val="000000"/>
        </w:rPr>
        <w:t xml:space="preserve">     </w:t>
      </w:r>
      <w:r>
        <w:rPr>
          <w:rFonts w:ascii="Times New Roman;sans-serif" w:hAnsi="Times New Roman;sans-serif"/>
          <w:b w:val="false"/>
          <w:color w:val="000000"/>
          <w:sz w:val="24"/>
        </w:rPr>
        <w:t xml:space="preserve">Administrative Borrower shall have provided the Administrative Agent with at least ten (10) Business Days’ prior written notice of any such Acquisition, together with summaries, prepared in reasonable detail, of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-23-</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 due diligence conducted by or on behalf of Borrowers or the applicable Subsidiary prior to such Acquisition;</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(vi)</w:t>
      </w:r>
      <w:r>
        <w:rPr>
          <w:color w:val="000000"/>
        </w:rPr>
        <w:t xml:space="preserve">     </w:t>
      </w:r>
      <w:r>
        <w:rPr>
          <w:rFonts w:ascii="Times New Roman;sans-serif" w:hAnsi="Times New Roman;sans-serif"/>
          <w:b w:val="false"/>
          <w:color w:val="000000"/>
          <w:sz w:val="24"/>
        </w:rPr>
        <w:t xml:space="preserve">all of the assets or Equity Interests acquired in connection with such Acquisition shall be of a U.S. Person;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(vii)</w:t>
      </w:r>
      <w:r>
        <w:rPr>
          <w:color w:val="000000"/>
        </w:rPr>
        <w:t xml:space="preserve"> </w:t>
      </w:r>
      <w:r>
        <w:rPr>
          <w:rFonts w:ascii="Times New Roman;sans-serif" w:hAnsi="Times New Roman;sans-serif"/>
          <w:b w:val="false"/>
          <w:color w:val="000000"/>
          <w:sz w:val="24"/>
        </w:rPr>
        <w:t>the Acquisition shall have been approved by the Board or other governing body or controlling Person of the Person acquired or the Person from whom such assets or division is acquired; and</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 xml:space="preserve">(viii)on a </w:t>
      </w:r>
      <w:r>
        <w:rPr>
          <w:rFonts w:ascii="Times New Roman;sans-serif" w:hAnsi="Times New Roman;sans-serif"/>
          <w:b w:val="false"/>
          <w:i/>
          <w:color w:val="000000"/>
          <w:sz w:val="24"/>
        </w:rPr>
        <w:t>pro forma</w:t>
      </w:r>
      <w:r>
        <w:rPr>
          <w:color w:val="000000"/>
        </w:rPr>
        <w:t xml:space="preserve"> </w:t>
      </w:r>
      <w:r>
        <w:rPr>
          <w:rFonts w:ascii="Times New Roman;sans-serif" w:hAnsi="Times New Roman;sans-serif"/>
          <w:b w:val="false"/>
          <w:color w:val="000000"/>
          <w:sz w:val="24"/>
        </w:rPr>
        <w:t xml:space="preserve">basis after giving effect to such Acquisition, the Obligors shall be in compliance with Section 8.15.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Permitted Cash Equivalent Investments”</w:t>
      </w:r>
      <w:r>
        <w:rPr>
          <w:color w:val="000000"/>
        </w:rPr>
        <w:t xml:space="preserve"> </w:t>
      </w:r>
      <w:r>
        <w:rPr>
          <w:rFonts w:ascii="Times New Roman;sans-serif" w:hAnsi="Times New Roman;sans-serif"/>
          <w:b w:val="false"/>
          <w:color w:val="000000"/>
          <w:sz w:val="24"/>
        </w:rPr>
        <w:t>means (a) marketable direct obligations issued or unconditionally guaranteed by the United States or any agency or any State thereof, or by an instrumentality or agency of them with an equivalent credit rating having maturities of not more than two (2) years from the date of acquisition, (b) commercial paper with an average maturity of no more than one (1) year and having the highest rating from either Standard &amp; Poor’s Ratings Group or Moody’s Investors Service, Inc., (c) any money market funds or other investment vehicles whose principal investments are in investments described in clauses (a) or (b) above, (d) certificates of deposit maturing no more than one (1) year after acquisition, and (e) other Investments permitted by Holdings’ investment policy delivered to the Administrative Agent, as amended from time to time, so long as such investment policy and any such amounts have been approved by the Administrative Agent in advance in its sole discretion.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Permitted Indebtedness”</w:t>
      </w:r>
      <w:r>
        <w:rPr>
          <w:color w:val="000000"/>
        </w:rPr>
        <w:t xml:space="preserve"> </w:t>
      </w:r>
      <w:r>
        <w:rPr>
          <w:rFonts w:ascii="Times New Roman;sans-serif" w:hAnsi="Times New Roman;sans-serif"/>
          <w:b w:val="false"/>
          <w:color w:val="000000"/>
          <w:sz w:val="24"/>
        </w:rPr>
        <w:t>means any Indebtedness permitted under Section 9.01.</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Permitted Licenses”</w:t>
      </w:r>
      <w:r>
        <w:rPr>
          <w:color w:val="000000"/>
        </w:rPr>
        <w:t xml:space="preserve"> </w:t>
      </w:r>
      <w:r>
        <w:rPr>
          <w:rFonts w:ascii="Times New Roman;sans-serif" w:hAnsi="Times New Roman;sans-serif"/>
          <w:b w:val="false"/>
          <w:color w:val="000000"/>
          <w:sz w:val="24"/>
        </w:rPr>
        <w:t>means (a) licenses of off-the-shelf or over-the-counter or open source software that is commercially available to the public, (b) inbound licenses for the use of any Patents, Trademarks, Copyrights, Industrial Designs and Technical Information of any third party and (c) non-exclusive licenses for the use of an Obligor’s or any Subsidiary’s Intellectual Property, in each case, entered into in the Ordinary Course of Business or as otherwise may be approved by the applicable Obligor’s Board and so long as such license does not materially impair the Lenders from exercising their rights under any of the Loan Documents.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Permitted Liens”</w:t>
      </w:r>
      <w:r>
        <w:rPr>
          <w:color w:val="000000"/>
        </w:rPr>
        <w:t xml:space="preserve"> </w:t>
      </w:r>
      <w:r>
        <w:rPr>
          <w:rFonts w:ascii="Times New Roman;sans-serif" w:hAnsi="Times New Roman;sans-serif"/>
          <w:b w:val="false"/>
          <w:color w:val="000000"/>
          <w:sz w:val="24"/>
        </w:rPr>
        <w:t>means any Liens permitted under Section 9.02.</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Permitted Refinancing”</w:t>
      </w:r>
      <w:r>
        <w:rPr>
          <w:color w:val="000000"/>
        </w:rPr>
        <w:t xml:space="preserve"> </w:t>
      </w:r>
      <w:r>
        <w:rPr>
          <w:rFonts w:ascii="Times New Roman;sans-serif" w:hAnsi="Times New Roman;sans-serif"/>
          <w:b w:val="false"/>
          <w:color w:val="000000"/>
          <w:sz w:val="24"/>
        </w:rPr>
        <w:t xml:space="preserve">means, with respect to any Indebtedness permitted to be refinanced, extended, renewed or replaced hereunder, any refinancings, extensions, renewals and replacements of such Indebtedness;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refinancing, extension, renewal or replacement shall not (a) increase the outstanding principal amount of the Indebtedness being refinanced, extended, renewed or replaced (except in the amount of accrued interest, reasonable and documented upfront and other fees and transaction costs), (b) contain terms relating to outstanding principal amount, amortization, interest rate or equivalent yield, maturity, collateral security (if any) or subordination (if any), or other material terms that, taken as a whole, are less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2"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favorable in any material respect to any Obligor or the Lenders than the terms of any agreement or instrument governing the Indebtedness being refinanced, (c) contain any new requirement to grant any Lien or to give any Guarantee that was not an existing requirement of the Indebtedness being refinanced and (d) at the time of, and immediately after giving effect to such refinancing, extension, renewal or replacement, no Default shall have occurred and be continuing.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Person”</w:t>
      </w:r>
      <w:r>
        <w:rPr>
          <w:color w:val="000000"/>
        </w:rPr>
        <w:t xml:space="preserve"> </w:t>
      </w:r>
      <w:r>
        <w:rPr>
          <w:rFonts w:ascii="Times New Roman;sans-serif" w:hAnsi="Times New Roman;sans-serif"/>
          <w:b w:val="false"/>
          <w:color w:val="000000"/>
          <w:sz w:val="24"/>
        </w:rPr>
        <w:t>means any individual, corporation, company, voluntary association, partnership, limited liability company, joint venture, trust, unincorporated organization or Governmental Authority or other entity of whatever nature.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PFIC”</w:t>
      </w:r>
      <w:r>
        <w:rPr>
          <w:color w:val="000000"/>
        </w:rPr>
        <w:t xml:space="preserve"> </w:t>
      </w:r>
      <w:r>
        <w:rPr>
          <w:rFonts w:ascii="Times New Roman;sans-serif" w:hAnsi="Times New Roman;sans-serif"/>
          <w:b w:val="false"/>
          <w:color w:val="000000"/>
          <w:sz w:val="24"/>
        </w:rPr>
        <w:t>has the meaning set forth in Section 8.01(i).</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Prepayment Premium”</w:t>
      </w:r>
      <w:r>
        <w:rPr>
          <w:color w:val="000000"/>
        </w:rPr>
        <w:t xml:space="preserve"> </w:t>
      </w:r>
      <w:r>
        <w:rPr>
          <w:rFonts w:ascii="Times New Roman;sans-serif" w:hAnsi="Times New Roman;sans-serif"/>
          <w:b w:val="false"/>
          <w:color w:val="000000"/>
          <w:sz w:val="24"/>
        </w:rPr>
        <w:t>has the meaning set forth in Section 3.03(a).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 Rata Share”</w:t>
      </w:r>
      <w:r>
        <w:rPr>
          <w:color w:val="000000"/>
        </w:rPr>
        <w:t xml:space="preserve"> </w:t>
      </w:r>
      <w:r>
        <w:rPr>
          <w:rFonts w:ascii="Times New Roman;sans-serif" w:hAnsi="Times New Roman;sans-serif"/>
          <w:b w:val="false"/>
          <w:color w:val="000000"/>
          <w:sz w:val="24"/>
        </w:rPr>
        <w:t>has the meaning set forth in Section 11.08.</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Product”</w:t>
      </w:r>
      <w:r>
        <w:rPr>
          <w:color w:val="000000"/>
        </w:rPr>
        <w:t xml:space="preserve"> </w:t>
      </w:r>
      <w:r>
        <w:rPr>
          <w:rFonts w:ascii="Times New Roman;sans-serif" w:hAnsi="Times New Roman;sans-serif"/>
          <w:b w:val="false"/>
          <w:color w:val="000000"/>
          <w:sz w:val="24"/>
        </w:rPr>
        <w:t>means (a) those Devices set forth (and described in reasonable detail) on Schedule 3 attached hereto, and (b) any current or future Device subject to any Product Development and Commercialization Activities by any Obligor, including any such Device currently in development.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Product Agreement”</w:t>
      </w:r>
      <w:r>
        <w:rPr>
          <w:color w:val="000000"/>
        </w:rPr>
        <w:t xml:space="preserve"> </w:t>
      </w:r>
      <w:r>
        <w:rPr>
          <w:rFonts w:ascii="Times New Roman;sans-serif" w:hAnsi="Times New Roman;sans-serif"/>
          <w:b w:val="false"/>
          <w:color w:val="000000"/>
          <w:sz w:val="24"/>
        </w:rPr>
        <w:t>means, with respect to any Product, any Contract, license, document, instrument, interest (equity or otherwise) or the like under which one or more Persons grants or receives (a) any right, title or interest with respect to any Product Development and Commercialization Activities of such Product, or (b) any right to exclude any other Person from engaging in, or otherwise restricting any right, title or interest as to, any Product Development and Commercialization Activities with respect to such Product, including any Contract with suppliers, manufacturers, distributors, clinical research organizations, hospitals, group purchasing organizations, wholesalers, pharmacies or any other Person related to such entity.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Product Assets”</w:t>
      </w:r>
      <w:r>
        <w:rPr>
          <w:color w:val="000000"/>
        </w:rPr>
        <w:t xml:space="preserve"> </w:t>
      </w:r>
      <w:r>
        <w:rPr>
          <w:rFonts w:ascii="Times New Roman;sans-serif" w:hAnsi="Times New Roman;sans-serif"/>
          <w:b w:val="false"/>
          <w:color w:val="000000"/>
          <w:sz w:val="24"/>
        </w:rPr>
        <w:t>means, with respect to any Product, (a) any and all rights, title and interest of the Obligors or any of its Subsidiaries in any assets relating to such Product or any Product Development and Commercialization Activities with respect to such Product, (b) all Product Related Information with respect to such Product or any related Product Development and Commercialization Activities, (c) any Product Agreement related to such Product or any such Product Development and Commercialization Activities, (d) any Intellectual Property, Regulatory Approvals and similar assets with respect to such Product or any such Product Development and Commercialization Activities, and (e) all rights, title and interests in any other property, tangible or intangible, manifesting or otherwise in respect of such Product or any such Product Development and Commercialization Activities, including, without limitation, inventory, accounts receivable or similar rights to receive money or payment pertaining thereto and all proceeds of the foregoing.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Product Authorizations”</w:t>
      </w:r>
      <w:r>
        <w:rPr>
          <w:color w:val="000000"/>
        </w:rPr>
        <w:t xml:space="preserve"> </w:t>
      </w:r>
      <w:r>
        <w:rPr>
          <w:rFonts w:ascii="Times New Roman;sans-serif" w:hAnsi="Times New Roman;sans-serif"/>
          <w:b w:val="false"/>
          <w:color w:val="000000"/>
          <w:sz w:val="24"/>
        </w:rPr>
        <w:t xml:space="preserve">means any and all Regulatory Approvals (including all applicable Device Clearance Applications, supplements, amendments, governmental price and reimbursement approvals and approvals of applications for regulatory exclusivity), safety or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3"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quality specifications and standards, or any other authorizations of any applicable Regulatory Authority in each case necessary for the manufacturing, development, distribution, ownership, use, storage, import, export, transport, promotion, marketing, sale or other commercialization of any Product or for any Product Development and Commercialization Activities with respect thereto in any country or jurisdiction, whether U.S. or non-U.S.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Product Development and Commercialization Activities”</w:t>
      </w:r>
      <w:r>
        <w:rPr>
          <w:color w:val="000000"/>
        </w:rPr>
        <w:t xml:space="preserve"> </w:t>
      </w:r>
      <w:r>
        <w:rPr>
          <w:rFonts w:ascii="Times New Roman;sans-serif" w:hAnsi="Times New Roman;sans-serif"/>
          <w:b w:val="false"/>
          <w:color w:val="000000"/>
          <w:sz w:val="24"/>
        </w:rPr>
        <w:t>means, with respect to any Product, any combination of research, development, manufacture, import, use, sale, licensing, importation, storage, design, labeling, marketing, promotion, supply, distribution, testing, packaging, purchasing or other commercialization activities, receipt of payment in respect of any of the foregoing (including, without limitation, in respect of licensing, royalty or similar payments), or any similar or other activities the purpose of which is to commercially exploit such Product.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Product Related Information” </w:t>
      </w:r>
      <w:r>
        <w:rPr>
          <w:rFonts w:ascii="Times New Roman;sans-serif" w:hAnsi="Times New Roman;sans-serif"/>
          <w:b w:val="false"/>
          <w:color w:val="000000"/>
          <w:sz w:val="24"/>
        </w:rPr>
        <w:t>means, with respect to any Product, all books, records, lists, ledgers, files, manuals, Contracts, correspondence, reports, plans, drawings and data (in any form or medium), and all techniques and other know-how, owned or possessed by the Obligors that are necessary or required for any Product Development and Commercialization Activities relating to such Product, including (a) brand materials, packaging and other trade dress, customer targeting and other marketing, promotion and sales materials and information, referral, customer, supplier and other contact lists and information, product, business, marketing and sales plans, research, studies and reports, sales, maintenance and production records, training materials and other marketing, sales and promotional information, (b) clinical data, information included or supporting any Product Authorization or other Regulatory Approval, any regulatory filings, updates, notices and correspondence (including adverse event and other pharmacovigilance and other post-marketing reports and information, etc.), technical information, product development and operational data and records, and all other documents, records, files, data and other information relating to product development, manufacture and use, (c) litigation and dispute records, and accounting records, (d) all documents, records and files relating to Intellectual Property, including all correspondence from and to third parties (including Intellectual Property counsel and patent, trademark and other intellectual property registries, including the United States Patent and Trademark Office), and (e) all other information, techniques and know-how necessary or required in connection with the Product Development and Commercialization Activities for any Product.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Prohibited Payment”</w:t>
      </w:r>
      <w:r>
        <w:rPr>
          <w:color w:val="000000"/>
        </w:rPr>
        <w:t xml:space="preserve"> </w:t>
      </w:r>
      <w:r>
        <w:rPr>
          <w:rFonts w:ascii="Times New Roman;sans-serif" w:hAnsi="Times New Roman;sans-serif"/>
          <w:b w:val="false"/>
          <w:color w:val="000000"/>
          <w:sz w:val="24"/>
        </w:rPr>
        <w:t>means any bribe, rebate, payoff, influence payment, kickback or other payment or gift of money or anything of value (including meals or entertainment) to any officer, employee or ceremonial office holder of any government or instrumentality thereof, political party or supra-national organization (such as the United Nations), any political candidate, any royal family member or any other person who is connected or associated personally with any of the foregoing that is prohibited under any Requirement of Law.</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Projections”</w:t>
      </w:r>
      <w:r>
        <w:rPr>
          <w:color w:val="000000"/>
        </w:rPr>
        <w:t xml:space="preserve"> </w:t>
      </w:r>
      <w:r>
        <w:rPr>
          <w:rFonts w:ascii="Times New Roman;sans-serif" w:hAnsi="Times New Roman;sans-serif"/>
          <w:b w:val="false"/>
          <w:color w:val="000000"/>
          <w:sz w:val="24"/>
        </w:rPr>
        <w:t>has the meaning set forth in Section 7.04(b).</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Property”</w:t>
      </w:r>
      <w:r>
        <w:rPr>
          <w:color w:val="000000"/>
        </w:rPr>
        <w:t xml:space="preserve"> </w:t>
      </w:r>
      <w:r>
        <w:rPr>
          <w:rFonts w:ascii="Times New Roman;sans-serif" w:hAnsi="Times New Roman;sans-serif"/>
          <w:b w:val="false"/>
          <w:color w:val="000000"/>
          <w:sz w:val="24"/>
        </w:rPr>
        <w:t>of any Person means any property or assets, or interest therein,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4"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-26-</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Proportionate Share”</w:t>
      </w:r>
      <w:r>
        <w:rPr>
          <w:color w:val="000000"/>
        </w:rPr>
        <w:t xml:space="preserve"> </w:t>
      </w:r>
      <w:r>
        <w:rPr>
          <w:rFonts w:ascii="Times New Roman;sans-serif" w:hAnsi="Times New Roman;sans-serif"/>
          <w:b w:val="false"/>
          <w:color w:val="000000"/>
          <w:sz w:val="24"/>
        </w:rPr>
        <w:t>means, with respect to any Lender, the percentage obtained by dividing (a) the Loan Exposure of such Lender then in effect by (b) the aggregate Loan Exposure of all Lenders then in effect.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Proposal Letter”</w:t>
      </w:r>
      <w:r>
        <w:rPr>
          <w:color w:val="000000"/>
        </w:rPr>
        <w:t xml:space="preserve"> </w:t>
      </w:r>
      <w:r>
        <w:rPr>
          <w:rFonts w:ascii="Times New Roman;sans-serif" w:hAnsi="Times New Roman;sans-serif"/>
          <w:b w:val="false"/>
          <w:color w:val="000000"/>
          <w:sz w:val="24"/>
        </w:rPr>
        <w:t>means the letter agreement, dated August 16, 2023, among Holdings and Perceptive Advisors LLC, regarding the transactions contemplated hereby and the outline of proposed terms and conditions attached thereto.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Publicly Reporting Company”</w:t>
      </w:r>
      <w:r>
        <w:rPr>
          <w:color w:val="000000"/>
        </w:rPr>
        <w:t xml:space="preserve"> </w:t>
      </w:r>
      <w:r>
        <w:rPr>
          <w:rFonts w:ascii="Times New Roman;sans-serif" w:hAnsi="Times New Roman;sans-serif"/>
          <w:b w:val="false"/>
          <w:color w:val="000000"/>
          <w:sz w:val="24"/>
        </w:rPr>
        <w:t>means an issuer generally subject to the public reporting requirements of the Exchange Act.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Qualified Equity Interest”</w:t>
      </w:r>
      <w:r>
        <w:rPr>
          <w:color w:val="000000"/>
        </w:rPr>
        <w:t xml:space="preserve"> </w:t>
      </w:r>
      <w:r>
        <w:rPr>
          <w:rFonts w:ascii="Times New Roman;sans-serif" w:hAnsi="Times New Roman;sans-serif"/>
          <w:b w:val="false"/>
          <w:color w:val="000000"/>
          <w:sz w:val="24"/>
        </w:rPr>
        <w:t>means, with respect to any Person, any Equity Interest of such Person that is not a Disqualified Equity Interest.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Recipient”</w:t>
      </w:r>
      <w:r>
        <w:rPr>
          <w:color w:val="000000"/>
        </w:rPr>
        <w:t xml:space="preserve"> </w:t>
      </w:r>
      <w:r>
        <w:rPr>
          <w:rFonts w:ascii="Times New Roman;sans-serif" w:hAnsi="Times New Roman;sans-serif"/>
          <w:b w:val="false"/>
          <w:color w:val="000000"/>
          <w:sz w:val="24"/>
        </w:rPr>
        <w:t>means any Lender or the Administrative Agent.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Redemption Date”</w:t>
      </w:r>
      <w:r>
        <w:rPr>
          <w:color w:val="000000"/>
        </w:rPr>
        <w:t xml:space="preserve"> </w:t>
      </w:r>
      <w:r>
        <w:rPr>
          <w:rFonts w:ascii="Times New Roman;sans-serif" w:hAnsi="Times New Roman;sans-serif"/>
          <w:b w:val="false"/>
          <w:color w:val="000000"/>
          <w:sz w:val="24"/>
        </w:rPr>
        <w:t>has the meaning set forth in Section 3.03(a).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Redemption Price”</w:t>
      </w:r>
      <w:r>
        <w:rPr>
          <w:color w:val="000000"/>
        </w:rPr>
        <w:t xml:space="preserve"> </w:t>
      </w:r>
      <w:r>
        <w:rPr>
          <w:rFonts w:ascii="Times New Roman;sans-serif" w:hAnsi="Times New Roman;sans-serif"/>
          <w:b w:val="false"/>
          <w:color w:val="000000"/>
          <w:sz w:val="24"/>
        </w:rPr>
        <w:t xml:space="preserve">has the meaning set forth in Section 3.03(a).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Referral Source” </w:t>
      </w:r>
      <w:r>
        <w:rPr>
          <w:rFonts w:ascii="Times New Roman;sans-serif" w:hAnsi="Times New Roman;sans-serif"/>
          <w:b w:val="false"/>
          <w:color w:val="000000"/>
          <w:sz w:val="24"/>
        </w:rPr>
        <w:t>has the meaning set forth in Section 7.07(b)(i).</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Register”</w:t>
      </w:r>
      <w:r>
        <w:rPr>
          <w:color w:val="000000"/>
        </w:rPr>
        <w:t xml:space="preserve"> </w:t>
      </w:r>
      <w:r>
        <w:rPr>
          <w:rFonts w:ascii="Times New Roman;sans-serif" w:hAnsi="Times New Roman;sans-serif"/>
          <w:b w:val="false"/>
          <w:color w:val="000000"/>
          <w:sz w:val="24"/>
        </w:rPr>
        <w:t>has the meaning set forth in Section 13.05(d).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Regulation T”</w:t>
      </w:r>
      <w:r>
        <w:rPr>
          <w:color w:val="000000"/>
        </w:rPr>
        <w:t xml:space="preserve"> </w:t>
      </w:r>
      <w:r>
        <w:rPr>
          <w:rFonts w:ascii="Times New Roman;sans-serif" w:hAnsi="Times New Roman;sans-serif"/>
          <w:b w:val="false"/>
          <w:color w:val="000000"/>
          <w:sz w:val="24"/>
        </w:rPr>
        <w:t>means Regulation T of the Board of Governors of the Federal Reserve System, as amended.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Regulation U”</w:t>
      </w:r>
      <w:r>
        <w:rPr>
          <w:color w:val="000000"/>
        </w:rPr>
        <w:t xml:space="preserve"> </w:t>
      </w:r>
      <w:r>
        <w:rPr>
          <w:rFonts w:ascii="Times New Roman;sans-serif" w:hAnsi="Times New Roman;sans-serif"/>
          <w:b w:val="false"/>
          <w:color w:val="000000"/>
          <w:sz w:val="24"/>
        </w:rPr>
        <w:t>means Regulation U of the Board of Governors of the Federal Reserve System, as amended.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Regulation X”</w:t>
      </w:r>
      <w:r>
        <w:rPr>
          <w:color w:val="000000"/>
        </w:rPr>
        <w:t xml:space="preserve"> </w:t>
      </w:r>
      <w:r>
        <w:rPr>
          <w:rFonts w:ascii="Times New Roman;sans-serif" w:hAnsi="Times New Roman;sans-serif"/>
          <w:b w:val="false"/>
          <w:color w:val="000000"/>
          <w:sz w:val="24"/>
        </w:rPr>
        <w:t>means Regulation X of the Board of Governors of the Federal Reserve System, as amended.</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Regulatory Approvals”</w:t>
      </w:r>
      <w:r>
        <w:rPr>
          <w:color w:val="000000"/>
        </w:rPr>
        <w:t xml:space="preserve"> </w:t>
      </w:r>
      <w:r>
        <w:rPr>
          <w:rFonts w:ascii="Times New Roman;sans-serif" w:hAnsi="Times New Roman;sans-serif"/>
          <w:b w:val="false"/>
          <w:color w:val="000000"/>
          <w:sz w:val="24"/>
        </w:rPr>
        <w:t>means any Governmental Approval relating to any Product or any Product Development and Commercialization Activities related to such Product, including any Product Authorizations with respect thereto.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Regulatory Authority”</w:t>
      </w:r>
      <w:r>
        <w:rPr>
          <w:color w:val="000000"/>
        </w:rPr>
        <w:t xml:space="preserve"> </w:t>
      </w:r>
      <w:r>
        <w:rPr>
          <w:rFonts w:ascii="Times New Roman;sans-serif" w:hAnsi="Times New Roman;sans-serif"/>
          <w:b w:val="false"/>
          <w:color w:val="000000"/>
          <w:sz w:val="24"/>
        </w:rPr>
        <w:t>means any Governmental Authority that is concerned with or has regulatory or supervisory oversight with respect to any Product or any Product Development and Commercialization Activities relating to any Product, including the FDA and all equivalent Governmental Authorities, whether U.S. or non-U.S.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Relevant Governmental Body</w:t>
      </w:r>
      <w:r>
        <w:rPr>
          <w:color w:val="000000"/>
        </w:rPr>
        <w:t xml:space="preserve">” </w:t>
      </w:r>
      <w:r>
        <w:rPr>
          <w:rFonts w:ascii="Times New Roman;sans-serif" w:hAnsi="Times New Roman;sans-serif"/>
          <w:b w:val="false"/>
          <w:color w:val="000000"/>
          <w:sz w:val="24"/>
        </w:rPr>
        <w:t>means the Federal Reserve Board and/or the Federal Reserve Bank of New York, or a committee officially endorsed or convened by the Federal Reserve Board and/or the Federal Reserve Bank of New York or any successor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-27-</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Representatives”</w:t>
      </w:r>
      <w:r>
        <w:rPr>
          <w:color w:val="000000"/>
        </w:rPr>
        <w:t xml:space="preserve"> </w:t>
      </w:r>
      <w:r>
        <w:rPr>
          <w:rFonts w:ascii="Times New Roman;sans-serif" w:hAnsi="Times New Roman;sans-serif"/>
          <w:b w:val="false"/>
          <w:color w:val="000000"/>
          <w:sz w:val="24"/>
        </w:rPr>
        <w:t>has the meaning set forth in Section 13.17.</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Requirement of Law”</w:t>
      </w:r>
      <w:r>
        <w:rPr>
          <w:color w:val="000000"/>
        </w:rPr>
        <w:t xml:space="preserve"> </w:t>
      </w:r>
      <w:r>
        <w:rPr>
          <w:rFonts w:ascii="Times New Roman;sans-serif" w:hAnsi="Times New Roman;sans-serif"/>
          <w:b w:val="false"/>
          <w:color w:val="000000"/>
          <w:sz w:val="24"/>
        </w:rPr>
        <w:t>means, as to any Person, any Law applicable to or binding upon such Person or any of its Properties or revenues.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Resignation Effective Date”</w:t>
      </w:r>
      <w:r>
        <w:rPr>
          <w:color w:val="000000"/>
        </w:rPr>
        <w:t xml:space="preserve"> </w:t>
      </w:r>
      <w:r>
        <w:rPr>
          <w:rFonts w:ascii="Times New Roman;sans-serif" w:hAnsi="Times New Roman;sans-serif"/>
          <w:b w:val="false"/>
          <w:color w:val="000000"/>
          <w:sz w:val="24"/>
        </w:rPr>
        <w:t>has the meaning set forth in Section 12.06(a).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Resolution Authority”</w:t>
      </w:r>
      <w:r>
        <w:rPr>
          <w:color w:val="000000"/>
        </w:rPr>
        <w:t xml:space="preserve"> </w:t>
      </w:r>
      <w:r>
        <w:rPr>
          <w:rFonts w:ascii="Times New Roman;sans-serif" w:hAnsi="Times New Roman;sans-serif"/>
          <w:b w:val="false"/>
          <w:color w:val="000000"/>
          <w:sz w:val="24"/>
        </w:rPr>
        <w:t>means an EEA Resolution Authority or, with respect to any UK Financial Institution, a UK Resolution Authority.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Responsible Officer”</w:t>
      </w:r>
      <w:r>
        <w:rPr>
          <w:color w:val="000000"/>
        </w:rPr>
        <w:t xml:space="preserve"> </w:t>
      </w:r>
      <w:r>
        <w:rPr>
          <w:rFonts w:ascii="Times New Roman;sans-serif" w:hAnsi="Times New Roman;sans-serif"/>
          <w:b w:val="false"/>
          <w:color w:val="000000"/>
          <w:sz w:val="24"/>
        </w:rPr>
        <w:t>of any Person means each of the president, chief executive officer, chief financial officer, treasurer, or vice president of such Person.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Restricted Payment”</w:t>
      </w:r>
      <w:r>
        <w:rPr>
          <w:color w:val="000000"/>
        </w:rPr>
        <w:t xml:space="preserve"> </w:t>
      </w:r>
      <w:r>
        <w:rPr>
          <w:rFonts w:ascii="Times New Roman;sans-serif" w:hAnsi="Times New Roman;sans-serif"/>
          <w:b w:val="false"/>
          <w:color w:val="000000"/>
          <w:sz w:val="24"/>
        </w:rPr>
        <w:t xml:space="preserve">means any dividend or other distribution (which shall include any management fees) (whether in cash, securities or other Property) with respect to any Equity Interest of an Obligor or any of its Subsidiaries, or any payment (whether in cash, securities or other Property), including any sinking fund or similar deposit, on account of the purchase, redemption, retirement, acquisition, cancellation or termination of any Equity Interests of an Obligor or any of its Subsidiaries or any option, warrant or other right to acquire any Equity Interests of an Obligor or any of its Subsidiaries.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Restrictive Agreement</w:t>
      </w:r>
      <w:r>
        <w:rPr>
          <w:color w:val="000000"/>
        </w:rPr>
        <w:t xml:space="preserve">” </w:t>
      </w:r>
      <w:r>
        <w:rPr>
          <w:rFonts w:ascii="Times New Roman;sans-serif" w:hAnsi="Times New Roman;sans-serif"/>
          <w:b w:val="false"/>
          <w:color w:val="000000"/>
          <w:sz w:val="24"/>
        </w:rPr>
        <w:t>means any indenture, agreement, instrument or other binding arrangement that prohibits, restricts or imposes any condition upon (a) the ability of an Obligor or any Subsidiary to create, incur or permit to exist any Lien upon any of its Property (other than (i) customary provisions in Contracts (including without limitation leases and in-bound licenses of Intellectual Property) restricting the assignment thereof, (ii) restrictions or conditions imposed by any agreement governing secured Permitted Indebtedness permitted under Section 9.01(g), to the extent that such restrictions or conditions apply only to the Property securing such Indebtedness and (iii) software and other Intellectual Property licenses pursuant to which an Obligor or a Subsidiary thereof is the licensee of the relevant software or Intellectual Property, as the case may be (in which case, any prohibition or limitation shall relate only to the assets or rights subject to the applicable license and/or the license itself)), or (b) the ability of any Subsidiary to pay dividends or other distributions with respect to any shares of its Equity Interests or to make or repay loans or advances to an Obligor or any other Subsidiary or to Guarantee Indebtedness of an Obligor or any other Subsidiary.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Sanctions”</w:t>
      </w:r>
      <w:r>
        <w:rPr>
          <w:color w:val="000000"/>
        </w:rPr>
        <w:t xml:space="preserve"> </w:t>
      </w:r>
      <w:r>
        <w:rPr>
          <w:rFonts w:ascii="Times New Roman;sans-serif" w:hAnsi="Times New Roman;sans-serif"/>
          <w:b w:val="false"/>
          <w:color w:val="000000"/>
          <w:sz w:val="24"/>
        </w:rPr>
        <w:t>means economic or financial sanctions, requirements or trade embargoes imposed, administered or enforced from time to time by any Governmental Authority (including, but not limited to, OFAC, the U.S. Department of State and the U.S. Department of Commerce).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Sanctions Laws”</w:t>
      </w:r>
      <w:r>
        <w:rPr>
          <w:color w:val="000000"/>
        </w:rPr>
        <w:t xml:space="preserve"> </w:t>
      </w:r>
      <w:r>
        <w:rPr>
          <w:rFonts w:ascii="Times New Roman;sans-serif" w:hAnsi="Times New Roman;sans-serif"/>
          <w:b w:val="false"/>
          <w:color w:val="000000"/>
          <w:sz w:val="24"/>
        </w:rPr>
        <w:t>means all laws, rules, regulations and requirements of any jurisdiction applicable to the Obligors or any party to the Loan Documents concerning or relating to Sanctions, terrorism or money laundering.</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SEC”</w:t>
      </w:r>
      <w:r>
        <w:rPr>
          <w:color w:val="000000"/>
        </w:rPr>
        <w:t xml:space="preserve"> </w:t>
      </w:r>
      <w:r>
        <w:rPr>
          <w:rFonts w:ascii="Times New Roman;sans-serif" w:hAnsi="Times New Roman;sans-serif"/>
          <w:b w:val="false"/>
          <w:color w:val="000000"/>
          <w:sz w:val="24"/>
        </w:rPr>
        <w:t>means United States Securities and Exchange Commission.</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-28-</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Securities Account”</w:t>
      </w:r>
      <w:r>
        <w:rPr>
          <w:color w:val="000000"/>
        </w:rPr>
        <w:t xml:space="preserve"> </w:t>
      </w:r>
      <w:r>
        <w:rPr>
          <w:rFonts w:ascii="Times New Roman;sans-serif" w:hAnsi="Times New Roman;sans-serif"/>
          <w:b w:val="false"/>
          <w:color w:val="000000"/>
          <w:sz w:val="24"/>
        </w:rPr>
        <w:t>has the meaning set forth in the Security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Security Agreement”</w:t>
      </w:r>
      <w:r>
        <w:rPr>
          <w:color w:val="000000"/>
        </w:rPr>
        <w:t xml:space="preserve"> </w:t>
      </w:r>
      <w:r>
        <w:rPr>
          <w:rFonts w:ascii="Times New Roman;sans-serif" w:hAnsi="Times New Roman;sans-serif"/>
          <w:b w:val="false"/>
          <w:color w:val="000000"/>
          <w:sz w:val="24"/>
        </w:rPr>
        <w:t>means the Security Agreement, dated as of the date hereof, in substantially the form of Exhibit G, among the Obligors and the Administrative Agent, granting a security interest in the personal Property constituting Collateral thereunder in favor of the Administrative Agent for the benefit of the Lenders.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Security Documents”</w:t>
      </w:r>
      <w:r>
        <w:rPr>
          <w:color w:val="000000"/>
        </w:rPr>
        <w:t xml:space="preserve"> </w:t>
      </w:r>
      <w:r>
        <w:rPr>
          <w:rFonts w:ascii="Times New Roman;sans-serif" w:hAnsi="Times New Roman;sans-serif"/>
          <w:b w:val="false"/>
          <w:color w:val="000000"/>
          <w:sz w:val="24"/>
        </w:rPr>
        <w:t>means, collectively, the Security Agreement, each Short-Form IP Security Agreement, and each other security document, control agreement or financing statement executed to perfect Liens in favor of the Administrative Agent for the benefit of the Lenders.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Segregated Health Care Account”</w:t>
      </w:r>
      <w:r>
        <w:rPr>
          <w:color w:val="000000"/>
        </w:rPr>
        <w:t xml:space="preserve"> </w:t>
      </w:r>
      <w:r>
        <w:rPr>
          <w:rFonts w:ascii="Times New Roman;sans-serif" w:hAnsi="Times New Roman;sans-serif"/>
          <w:b w:val="false"/>
          <w:color w:val="000000"/>
          <w:sz w:val="24"/>
        </w:rPr>
        <w:t>means, a Deposit Account of an Obligor in the name of such Obligor and under the sole dominion and control of such Obligor maintained in accordance with the requirements of Section 8.17(c) hereof, that includes funds on deposit which constitute the direct proceeds of payments made by Federal Health Care Programs.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Sema4” </w:t>
      </w:r>
      <w:r>
        <w:rPr>
          <w:rFonts w:ascii="Times New Roman;sans-serif" w:hAnsi="Times New Roman;sans-serif"/>
          <w:b w:val="false"/>
          <w:color w:val="000000"/>
          <w:sz w:val="24"/>
        </w:rPr>
        <w:t>has the meaning set forth in the introduction 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Sema4 Merger Agreement”</w:t>
      </w:r>
      <w:r>
        <w:rPr>
          <w:color w:val="000000"/>
        </w:rPr>
        <w:t xml:space="preserve"> </w:t>
      </w:r>
      <w:r>
        <w:rPr>
          <w:rFonts w:ascii="Times New Roman;sans-serif" w:hAnsi="Times New Roman;sans-serif"/>
          <w:b w:val="false"/>
          <w:color w:val="000000"/>
          <w:sz w:val="24"/>
        </w:rPr>
        <w:t xml:space="preserve">means that certain Agreement and Plan of Merger and Reorganization, dated as of January 14, 2022, by and among Sema4 Holdings Corp., Orion Merger Sub I, Inc., Orion Merger Sub II, LLC, GeneDx, LLC, GeneDx Holding 2, Inc., and OPKO Health, Inc., as may be amended, restated, supplemented or otherwise modified from time to time.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Settlement Agreement”</w:t>
      </w:r>
      <w:r>
        <w:rPr>
          <w:color w:val="000000"/>
        </w:rPr>
        <w:t xml:space="preserve"> </w:t>
      </w:r>
      <w:r>
        <w:rPr>
          <w:rFonts w:ascii="Times New Roman;sans-serif" w:hAnsi="Times New Roman;sans-serif"/>
          <w:b w:val="false"/>
          <w:color w:val="000000"/>
          <w:sz w:val="24"/>
        </w:rPr>
        <w:t xml:space="preserve">means the Settlement Agreement and Mutual Release, dated as of December 30, 2022, by and among a payer, Holdings and Borrowers.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Short-Form IP Security Agreements”</w:t>
      </w:r>
      <w:r>
        <w:rPr>
          <w:color w:val="000000"/>
        </w:rPr>
        <w:t xml:space="preserve"> </w:t>
      </w:r>
      <w:r>
        <w:rPr>
          <w:rFonts w:ascii="Times New Roman;sans-serif" w:hAnsi="Times New Roman;sans-serif"/>
          <w:b w:val="false"/>
          <w:color w:val="000000"/>
          <w:sz w:val="24"/>
        </w:rPr>
        <w:t>means any short-form copyright, patent or trademark (as the case may be) security agreements, in substantially the form of Exhibits H-1 and H-2, entered into by one or more Obligors in favor of the Administrative Agent for the benefit of the Lenders, each in form and substance reasonably satisfactory to the Administrative Agent and as amended, modified or replaced from time to time.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SOFR</w:t>
      </w:r>
      <w:r>
        <w:rPr>
          <w:color w:val="000000"/>
        </w:rPr>
        <w:t xml:space="preserve">” </w:t>
      </w:r>
      <w:r>
        <w:rPr>
          <w:rFonts w:ascii="Times New Roman;sans-serif" w:hAnsi="Times New Roman;sans-serif"/>
          <w:b w:val="false"/>
          <w:color w:val="000000"/>
          <w:sz w:val="24"/>
        </w:rPr>
        <w:t xml:space="preserve">means a rate equal to the secured overnight financing rate as administered by the SOFR Administrator.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SOFR Administrator</w:t>
      </w:r>
      <w:r>
        <w:rPr>
          <w:color w:val="000000"/>
        </w:rPr>
        <w:t xml:space="preserve">” </w:t>
      </w:r>
      <w:r>
        <w:rPr>
          <w:rFonts w:ascii="Times New Roman;sans-serif" w:hAnsi="Times New Roman;sans-serif"/>
          <w:b w:val="false"/>
          <w:color w:val="000000"/>
          <w:sz w:val="24"/>
        </w:rPr>
        <w:t>means the Federal Reserve Bank of New York (or a successor administrator of the secured overnight financing rate).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Solvent”</w:t>
      </w:r>
      <w:r>
        <w:rPr>
          <w:color w:val="000000"/>
        </w:rPr>
        <w:t xml:space="preserve"> </w:t>
      </w:r>
      <w:r>
        <w:rPr>
          <w:rFonts w:ascii="Times New Roman;sans-serif" w:hAnsi="Times New Roman;sans-serif"/>
          <w:b w:val="false"/>
          <w:color w:val="000000"/>
          <w:sz w:val="24"/>
        </w:rPr>
        <w:t>means, with respect to any Person at any time, that (a) the present fair saleable value of the Property of such Person is greater than the total amount of liabilities (including contingent liabilities) of such Person, (b) the present fair saleable value of the Property of such Person is not less than the amount that will be required to pay the probable liability of such Person on its debts as they become absolute and matured, and (c) such Person has not incurred and does not intend to, and does not believe that it will, incur debts or liabilities beyond such Person’s ability to pay as such debts and liabilities mature.</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7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-29-</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Standard Body”</w:t>
      </w:r>
      <w:r>
        <w:rPr>
          <w:color w:val="000000"/>
        </w:rPr>
        <w:t xml:space="preserve"> </w:t>
      </w:r>
      <w:r>
        <w:rPr>
          <w:rFonts w:ascii="Times New Roman;sans-serif" w:hAnsi="Times New Roman;sans-serif"/>
          <w:b w:val="false"/>
          <w:color w:val="000000"/>
          <w:sz w:val="24"/>
        </w:rPr>
        <w:t>means any of the organizations that create, sponsor or maintain safety, quality or other standards, including ISO, ANSI, CEN and SCC and the like.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State”</w:t>
      </w:r>
      <w:r>
        <w:rPr>
          <w:color w:val="000000"/>
        </w:rPr>
        <w:t xml:space="preserve"> </w:t>
      </w:r>
      <w:r>
        <w:rPr>
          <w:rFonts w:ascii="Times New Roman;sans-serif" w:hAnsi="Times New Roman;sans-serif"/>
          <w:b w:val="false"/>
          <w:color w:val="000000"/>
          <w:sz w:val="24"/>
        </w:rPr>
        <w:t>has the meaning specified in the definition of CDEC Assistance Agreement.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Stated Maturity Date”</w:t>
      </w:r>
      <w:r>
        <w:rPr>
          <w:color w:val="000000"/>
        </w:rPr>
        <w:t xml:space="preserve"> </w:t>
      </w:r>
      <w:r>
        <w:rPr>
          <w:rFonts w:ascii="Times New Roman;sans-serif" w:hAnsi="Times New Roman;sans-serif"/>
          <w:b w:val="false"/>
          <w:color w:val="000000"/>
          <w:sz w:val="24"/>
        </w:rPr>
        <w:t>means the fifth (5</w:t>
      </w:r>
      <w:r>
        <w:rPr>
          <w:rFonts w:ascii="Times New Roman;sans-serif" w:hAnsi="Times New Roman;sans-serif"/>
          <w:b w:val="false"/>
          <w:color w:val="000000"/>
          <w:sz w:val="16"/>
        </w:rPr>
        <w:t>th</w:t>
      </w:r>
      <w:r>
        <w:rPr>
          <w:rFonts w:ascii="Times New Roman;sans-serif" w:hAnsi="Times New Roman;sans-serif"/>
          <w:b w:val="false"/>
          <w:color w:val="000000"/>
          <w:sz w:val="24"/>
        </w:rPr>
        <w:t xml:space="preserve">) anniversary of the Closing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any such date shall occur on a day that is not a Business Day, then the Stated Maturity Date shall be the immediately succeeding Business Day.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Subsidiary”</w:t>
      </w:r>
      <w:r>
        <w:rPr>
          <w:color w:val="000000"/>
        </w:rPr>
        <w:t xml:space="preserve"> </w:t>
      </w:r>
      <w:r>
        <w:rPr>
          <w:rFonts w:ascii="Times New Roman;sans-serif" w:hAnsi="Times New Roman;sans-serif"/>
          <w:b w:val="false"/>
          <w:color w:val="000000"/>
          <w:sz w:val="24"/>
        </w:rPr>
        <w:t xml:space="preserve">means, with respect to any Person (the </w:t>
      </w:r>
      <w:r>
        <w:rPr>
          <w:color w:val="000000"/>
        </w:rPr>
        <w:t>“</w:t>
      </w:r>
      <w:r>
        <w:rPr>
          <w:rFonts w:ascii="Times New Roman;sans-serif" w:hAnsi="Times New Roman;sans-serif"/>
          <w:b w:val="false"/>
          <w:i/>
          <w:color w:val="000000"/>
          <w:sz w:val="24"/>
        </w:rPr>
        <w:t>parent”</w:t>
      </w:r>
      <w:r>
        <w:rPr>
          <w:rFonts w:ascii="Times New Roman;sans-serif" w:hAnsi="Times New Roman;sans-serif"/>
          <w:b w:val="false"/>
          <w:color w:val="000000"/>
          <w:sz w:val="24"/>
        </w:rPr>
        <w:t>) at any time of determination, any other Person of which more than 50% of the outstanding capital stock of such other Person having ordinary voting powers, determined on a fully diluted basis, is at the time directly or indirectly owned or Controlled by the parent. Unless the context otherwise specifically requires, the term “Subsidiary” shall be a reference to a Subsidiary of Holdings.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Sweep Account”</w:t>
      </w:r>
      <w:r>
        <w:rPr>
          <w:color w:val="000000"/>
        </w:rPr>
        <w:t xml:space="preserve"> </w:t>
      </w:r>
      <w:r>
        <w:rPr>
          <w:rFonts w:ascii="Times New Roman;sans-serif" w:hAnsi="Times New Roman;sans-serif"/>
          <w:b w:val="false"/>
          <w:color w:val="000000"/>
          <w:sz w:val="24"/>
        </w:rPr>
        <w:t>means any Segregated Health Care Account and payment transmitter account or any combination of the foregoing. Schedule 8.17 sets forth each Sweep Account existing on the Closing Date.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Taxes”</w:t>
      </w:r>
      <w:r>
        <w:rPr>
          <w:color w:val="000000"/>
        </w:rPr>
        <w:t xml:space="preserve"> </w:t>
      </w:r>
      <w:r>
        <w:rPr>
          <w:rFonts w:ascii="Times New Roman;sans-serif" w:hAnsi="Times New Roman;sans-serif"/>
          <w:b w:val="false"/>
          <w:color w:val="000000"/>
          <w:sz w:val="24"/>
        </w:rPr>
        <w:t>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Technical Information”</w:t>
      </w:r>
      <w:r>
        <w:rPr>
          <w:color w:val="000000"/>
        </w:rPr>
        <w:t xml:space="preserve"> </w:t>
      </w:r>
      <w:r>
        <w:rPr>
          <w:rFonts w:ascii="Times New Roman;sans-serif" w:hAnsi="Times New Roman;sans-serif"/>
          <w:b w:val="false"/>
          <w:color w:val="000000"/>
          <w:sz w:val="24"/>
        </w:rPr>
        <w:t>means all trade secrets and other proprietary or confidential information, which may include any proprietary information of a scientific, technical, or business nature in any form or medium, standards and specifications, conceptions, ideas, innovations, discoveries, Invention disclosures, all documented research, developmental, demonstration or engineering work, data, plans, specifications, reports, summaries, experimental data, manuals, models, samples, know-how, technical information, systems, methodologies, computer programs or information technology.</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Term Loans”</w:t>
      </w:r>
      <w:r>
        <w:rPr>
          <w:color w:val="000000"/>
        </w:rPr>
        <w:t xml:space="preserve"> </w:t>
      </w:r>
      <w:r>
        <w:rPr>
          <w:rFonts w:ascii="Times New Roman;sans-serif" w:hAnsi="Times New Roman;sans-serif"/>
          <w:b w:val="false"/>
          <w:color w:val="000000"/>
          <w:sz w:val="24"/>
        </w:rPr>
        <w:t>means, collectively, the Tranche A Term Loan and, to the extent borrowed, the Tranche B Term Loan.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Term SOFR</w:t>
      </w:r>
      <w:r>
        <w:rPr>
          <w:color w:val="000000"/>
        </w:rPr>
        <w:t xml:space="preserve">” </w:t>
      </w:r>
      <w:r>
        <w:rPr>
          <w:rFonts w:ascii="Times New Roman;sans-serif" w:hAnsi="Times New Roman;sans-serif"/>
          <w:b w:val="false"/>
          <w:color w:val="000000"/>
          <w:sz w:val="24"/>
        </w:rPr>
        <w:t xml:space="preserve">means the Term SOFR Reference Rate for a tenor comparable to the applicable Interest Period on the day (such day, the </w:t>
      </w:r>
      <w:r>
        <w:rPr>
          <w:color w:val="000000"/>
        </w:rPr>
        <w:t>“</w:t>
      </w:r>
      <w:r>
        <w:rPr>
          <w:rFonts w:ascii="Times New Roman;sans-serif" w:hAnsi="Times New Roman;sans-serif"/>
          <w:b w:val="false"/>
          <w:i/>
          <w:color w:val="000000"/>
          <w:sz w:val="24"/>
        </w:rPr>
        <w:t>Periodic Term SOFR Determination Day”</w:t>
      </w:r>
      <w:r>
        <w:rPr>
          <w:rFonts w:ascii="Times New Roman;sans-serif" w:hAnsi="Times New Roman;sans-serif"/>
          <w:b w:val="false"/>
          <w:color w:val="000000"/>
          <w:sz w:val="24"/>
        </w:rPr>
        <w:t>) that is two (2) U.S. Government Securities Business Days prior to the first day of such Interest Period, as such rate is published by the Term SOFR Administrator</w:t>
      </w:r>
      <w:r>
        <w:rPr>
          <w:rFonts w:ascii="Times New Roman;sans-serif" w:hAnsi="Times New Roman;sans-serif"/>
          <w:b w:val="false"/>
          <w:i/>
          <w:color w:val="000000"/>
          <w:sz w:val="24"/>
        </w:rPr>
        <w:t>; provided, however</w:t>
      </w:r>
      <w:r>
        <w:rPr>
          <w:rFonts w:ascii="Times New Roman;sans-serif" w:hAnsi="Times New Roman;sans-serif"/>
          <w:b w:val="false"/>
          <w:color w:val="000000"/>
          <w:sz w:val="24"/>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7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-30-</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Term SOFR Determination Day; </w:t>
      </w:r>
      <w:r>
        <w:rPr>
          <w:rFonts w:ascii="Times New Roman;sans-serif" w:hAnsi="Times New Roman;sans-serif"/>
          <w:b w:val="false"/>
          <w:i/>
          <w:color w:val="000000"/>
          <w:sz w:val="24"/>
        </w:rPr>
        <w:t>provided, further</w:t>
      </w:r>
      <w:r>
        <w:rPr>
          <w:rFonts w:ascii="Times New Roman;sans-serif" w:hAnsi="Times New Roman;sans-serif"/>
          <w:b w:val="false"/>
          <w:color w:val="000000"/>
          <w:sz w:val="24"/>
        </w:rPr>
        <w:t xml:space="preserve">, Term SOFR shall be rounded upwards to the next 1/100% (if necessary); </w:t>
      </w:r>
      <w:r>
        <w:rPr>
          <w:rFonts w:ascii="Times New Roman;sans-serif" w:hAnsi="Times New Roman;sans-serif"/>
          <w:b w:val="false"/>
          <w:i/>
          <w:color w:val="000000"/>
          <w:sz w:val="24"/>
        </w:rPr>
        <w:t>provided, further, however</w:t>
      </w:r>
      <w:r>
        <w:rPr>
          <w:rFonts w:ascii="Times New Roman;sans-serif" w:hAnsi="Times New Roman;sans-serif"/>
          <w:b w:val="false"/>
          <w:color w:val="000000"/>
          <w:sz w:val="24"/>
        </w:rPr>
        <w:t>, if Term SOFR as so determined shall ever be less than the Floor, then Term SOFR shall be deemed to be the Floor.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Term SOFR Administrator</w:t>
      </w:r>
      <w:r>
        <w:rPr>
          <w:color w:val="000000"/>
        </w:rPr>
        <w:t xml:space="preserve">” </w:t>
      </w:r>
      <w:r>
        <w:rPr>
          <w:rFonts w:ascii="Times New Roman;sans-serif" w:hAnsi="Times New Roman;sans-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Term SOFR Reference Rate</w:t>
      </w:r>
      <w:r>
        <w:rPr>
          <w:color w:val="000000"/>
        </w:rPr>
        <w:t xml:space="preserve">” </w:t>
      </w:r>
      <w:r>
        <w:rPr>
          <w:rFonts w:ascii="Times New Roman;sans-serif" w:hAnsi="Times New Roman;sans-serif"/>
          <w:b w:val="false"/>
          <w:color w:val="000000"/>
          <w:sz w:val="24"/>
        </w:rPr>
        <w:t>means the forward-looking term rate based on SOFR.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Third-Party Payor Authorizations”</w:t>
      </w:r>
      <w:r>
        <w:rPr>
          <w:color w:val="000000"/>
        </w:rPr>
        <w:t xml:space="preserve"> </w:t>
      </w:r>
      <w:r>
        <w:rPr>
          <w:rFonts w:ascii="Times New Roman;sans-serif" w:hAnsi="Times New Roman;sans-serif"/>
          <w:b w:val="false"/>
          <w:color w:val="000000"/>
          <w:sz w:val="24"/>
        </w:rPr>
        <w:t>means all participation agreements, provider or supplier agreements, enrollments, accreditations, and billing numbers required to participate in and receive reimbursement from a Third-Party Payor Program.</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Third-Party Payor Program”</w:t>
      </w:r>
      <w:r>
        <w:rPr>
          <w:color w:val="000000"/>
        </w:rPr>
        <w:t xml:space="preserve"> </w:t>
      </w:r>
      <w:r>
        <w:rPr>
          <w:rFonts w:ascii="Times New Roman;sans-serif" w:hAnsi="Times New Roman;sans-serif"/>
          <w:b w:val="false"/>
          <w:color w:val="000000"/>
          <w:sz w:val="24"/>
        </w:rPr>
        <w:t>means any Federal Health Care Program, or any other health care payment or reimbursement program in which an Obligor or Subsidiary participates, including programs sponsored by private insurers or managed care plans.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Title IV Plan”</w:t>
      </w:r>
      <w:r>
        <w:rPr>
          <w:color w:val="000000"/>
        </w:rPr>
        <w:t xml:space="preserve"> </w:t>
      </w:r>
      <w:r>
        <w:rPr>
          <w:rFonts w:ascii="Times New Roman;sans-serif" w:hAnsi="Times New Roman;sans-serif"/>
          <w:b w:val="false"/>
          <w:color w:val="000000"/>
          <w:sz w:val="24"/>
        </w:rPr>
        <w:t>means an “employee benefit plan” as defined in Section 3(3) of ERISA (other than a Multiemployer Plan) (a) that is maintained. sponsored or contributed to by any Obligor or ERISA Affiliate or with respect to which any Obligor or ERISA Affiliate has or may have liability and (b) that is or was subject to Section 412 of the Code, Section 302 of ERISA or Title IV of ERISA.</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Trademarks”</w:t>
      </w:r>
      <w:r>
        <w:rPr>
          <w:color w:val="000000"/>
        </w:rPr>
        <w:t xml:space="preserve"> </w:t>
      </w:r>
      <w:r>
        <w:rPr>
          <w:rFonts w:ascii="Times New Roman;sans-serif" w:hAnsi="Times New Roman;sans-serif"/>
          <w:b w:val="false"/>
          <w:color w:val="000000"/>
          <w:sz w:val="24"/>
        </w:rPr>
        <w:t>has the meaning set forth in the Security Documents.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A Term Loan</w:t>
      </w:r>
      <w:r>
        <w:rPr>
          <w:color w:val="000000"/>
        </w:rPr>
        <w:t xml:space="preserve">” </w:t>
      </w:r>
      <w:r>
        <w:rPr>
          <w:rFonts w:ascii="Times New Roman;sans-serif" w:hAnsi="Times New Roman;sans-serif"/>
          <w:b w:val="false"/>
          <w:color w:val="000000"/>
          <w:sz w:val="24"/>
        </w:rPr>
        <w:t>means the term loan advanced by a Lender pursuant to Section 2.01(a). For purposes of clarification, any calculation of the aggregate outstanding principal amount of the Tranche A Term Loan on any date of determination shall mean the aggregate principal amount of the Tranche A Term Loan made pursuant to Section 2.01(a) that has not yet been repaid as of such date.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A Term Loan Commitment</w:t>
      </w:r>
      <w:r>
        <w:rPr>
          <w:color w:val="000000"/>
        </w:rPr>
        <w:t xml:space="preserve">” </w:t>
      </w:r>
      <w:r>
        <w:rPr>
          <w:rFonts w:ascii="Times New Roman;sans-serif" w:hAnsi="Times New Roman;sans-serif"/>
          <w:b w:val="false"/>
          <w:color w:val="000000"/>
          <w:sz w:val="24"/>
        </w:rPr>
        <w:t>means the commitment of a Lender to make or otherwise fund the Tranche A Term Loan and “</w:t>
      </w:r>
      <w:r>
        <w:rPr>
          <w:rFonts w:ascii="Times New Roman;sans-serif" w:hAnsi="Times New Roman;sans-serif"/>
          <w:b w:val="false"/>
          <w:i/>
          <w:color w:val="000000"/>
          <w:sz w:val="24"/>
        </w:rPr>
        <w:t>Tranche A Term Loan Commitments</w:t>
      </w:r>
      <w:r>
        <w:rPr>
          <w:color w:val="000000"/>
        </w:rPr>
        <w:t xml:space="preserve">” </w:t>
      </w:r>
      <w:r>
        <w:rPr>
          <w:rFonts w:ascii="Times New Roman;sans-serif" w:hAnsi="Times New Roman;sans-serif"/>
          <w:b w:val="false"/>
          <w:color w:val="000000"/>
          <w:sz w:val="24"/>
        </w:rPr>
        <w:t>means such commitments of all Lenders in the aggregate. The amount of each Lender’s Tranche A Term Loan Commitment, if any, is set forth on Schedule 1. The aggregate amount of the Tranche A Term Loan Commitments as of the Closing Date is $50,000,000.</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B Term Loan</w:t>
      </w:r>
      <w:r>
        <w:rPr>
          <w:color w:val="000000"/>
        </w:rPr>
        <w:t xml:space="preserve">” </w:t>
      </w:r>
      <w:r>
        <w:rPr>
          <w:rFonts w:ascii="Times New Roman;sans-serif" w:hAnsi="Times New Roman;sans-serif"/>
          <w:b w:val="false"/>
          <w:color w:val="000000"/>
          <w:sz w:val="24"/>
        </w:rPr>
        <w:t>means the term loan advanced by a Lender pursuant to Section 2.01(b). For purposes of clarification, any calculation of the aggregate outstanding principal amount of the Tranche B Term Loan on any date of determination shall mean the aggregate principal amount of the Tranche B Term Loan made pursuant to Section 2.01(b) that has not yet been repaid as of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79"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-31-</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B Term Loan Borrowing Date</w:t>
      </w:r>
      <w:r>
        <w:rPr>
          <w:color w:val="000000"/>
        </w:rPr>
        <w:t xml:space="preserve">” </w:t>
      </w:r>
      <w:r>
        <w:rPr>
          <w:rFonts w:ascii="Times New Roman;sans-serif" w:hAnsi="Times New Roman;sans-serif"/>
          <w:b w:val="false"/>
          <w:color w:val="000000"/>
          <w:sz w:val="24"/>
        </w:rPr>
        <w:t>means with respect to the Tranche B Term Loan, the Business Day on which all conditions set forth in Section 6.02 have been satisfied or waived by the Lenders and the Tranche B Term Loan is made hereunder.</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B Term Loan Commitment</w:t>
      </w:r>
      <w:r>
        <w:rPr>
          <w:color w:val="000000"/>
        </w:rPr>
        <w:t xml:space="preserve">” </w:t>
      </w:r>
      <w:r>
        <w:rPr>
          <w:rFonts w:ascii="Times New Roman;sans-serif" w:hAnsi="Times New Roman;sans-serif"/>
          <w:b w:val="false"/>
          <w:color w:val="000000"/>
          <w:sz w:val="24"/>
        </w:rPr>
        <w:t>means the commitment of a Lender to make or otherwise fund the Tranche B Term Loan and “</w:t>
      </w:r>
      <w:r>
        <w:rPr>
          <w:rFonts w:ascii="Times New Roman;sans-serif" w:hAnsi="Times New Roman;sans-serif"/>
          <w:b w:val="false"/>
          <w:i/>
          <w:color w:val="000000"/>
          <w:sz w:val="24"/>
        </w:rPr>
        <w:t>Tranche B Term Loan Commitments</w:t>
      </w:r>
      <w:r>
        <w:rPr>
          <w:color w:val="000000"/>
        </w:rPr>
        <w:t xml:space="preserve">” </w:t>
      </w:r>
      <w:r>
        <w:rPr>
          <w:rFonts w:ascii="Times New Roman;sans-serif" w:hAnsi="Times New Roman;sans-serif"/>
          <w:b w:val="false"/>
          <w:color w:val="000000"/>
          <w:sz w:val="24"/>
        </w:rPr>
        <w:t>means such commitments of all Lenders in the aggregate. The amount of each Lender’s Tranche B Term Loan Commitment, if any, is set forth on Schedule 1. The aggregate amount of the Tranche B Term Loan Commitments as of the Closing Date is $25,000,000.</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B Term Loan Commitment Termination Date</w:t>
      </w:r>
      <w:r>
        <w:rPr>
          <w:color w:val="000000"/>
        </w:rPr>
        <w:t xml:space="preserve">” </w:t>
      </w:r>
      <w:r>
        <w:rPr>
          <w:rFonts w:ascii="Times New Roman;sans-serif" w:hAnsi="Times New Roman;sans-serif"/>
          <w:b w:val="false"/>
          <w:color w:val="000000"/>
          <w:sz w:val="24"/>
        </w:rPr>
        <w:t>means December 31, 2024.</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Tranche B Term Loan Fee”</w:t>
      </w:r>
      <w:r>
        <w:rPr>
          <w:color w:val="000000"/>
        </w:rPr>
        <w:t xml:space="preserve"> </w:t>
      </w:r>
      <w:r>
        <w:rPr>
          <w:rFonts w:ascii="Times New Roman;sans-serif" w:hAnsi="Times New Roman;sans-serif"/>
          <w:b w:val="false"/>
          <w:color w:val="000000"/>
          <w:sz w:val="24"/>
        </w:rPr>
        <w:t xml:space="preserve">has the meaning set forth in the Fee Letter. </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Transactions”</w:t>
      </w:r>
      <w:r>
        <w:rPr>
          <w:color w:val="000000"/>
        </w:rPr>
        <w:t xml:space="preserve"> </w:t>
      </w:r>
      <w:r>
        <w:rPr>
          <w:rFonts w:ascii="Times New Roman;sans-serif" w:hAnsi="Times New Roman;sans-serif"/>
          <w:b w:val="false"/>
          <w:color w:val="000000"/>
          <w:sz w:val="24"/>
        </w:rPr>
        <w:t>means the execution, delivery and performance by each Obligor of this Agreement and the other Loan Documents to which such Obligor is a party and the other transactions contemplated hereby and thereby, including disbursement and application of the proceeds of the Term Loans.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UK Financial Institution”</w:t>
      </w:r>
      <w:r>
        <w:rPr>
          <w:color w:val="000000"/>
        </w:rPr>
        <w:t xml:space="preserve"> </w:t>
      </w:r>
      <w:r>
        <w:rPr>
          <w:rFonts w:ascii="Times New Roman;sans-serif" w:hAnsi="Times New Roman;sans-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UK Resolution Authority”</w:t>
      </w:r>
      <w:r>
        <w:rPr>
          <w:color w:val="000000"/>
        </w:rPr>
        <w:t xml:space="preserve"> </w:t>
      </w:r>
      <w:r>
        <w:rPr>
          <w:rFonts w:ascii="Times New Roman;sans-serif" w:hAnsi="Times New Roman;sans-serif"/>
          <w:b w:val="false"/>
          <w:color w:val="000000"/>
          <w:sz w:val="24"/>
        </w:rPr>
        <w:t>means the Bank of England or any other public administrative authority having responsibility for the resolution of any UK Financial Institution.</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Unadjusted Benchmark Replacement</w:t>
      </w:r>
      <w:r>
        <w:rPr>
          <w:color w:val="000000"/>
        </w:rPr>
        <w:t xml:space="preserve">” </w:t>
      </w:r>
      <w:r>
        <w:rPr>
          <w:rFonts w:ascii="Times New Roman;sans-serif" w:hAnsi="Times New Roman;sans-serif"/>
          <w:b w:val="false"/>
          <w:color w:val="000000"/>
          <w:sz w:val="24"/>
        </w:rPr>
        <w:t>means the applicable Benchmark Replacement excluding the related Benchmark Replacement Adjustment.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Unrestricted Cash”</w:t>
      </w:r>
      <w:r>
        <w:rPr>
          <w:color w:val="000000"/>
        </w:rPr>
        <w:t xml:space="preserve"> </w:t>
      </w:r>
      <w:r>
        <w:rPr>
          <w:rFonts w:ascii="Times New Roman;sans-serif" w:hAnsi="Times New Roman;sans-serif"/>
          <w:b w:val="false"/>
          <w:color w:val="000000"/>
          <w:sz w:val="24"/>
        </w:rPr>
        <w:t>means the balance of unencumbered cash (other than cash encumbered by the Liens granted to the Administrative Agent pursuant to the Loan Documents) and Permitted Cash Equivalent Investments (which for greater certainty shall not include any undrawn credit lines), in each case, to the extent held in a Controlled Account.</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U.S. Government Securities Business Day” </w:t>
      </w:r>
      <w:r>
        <w:rPr>
          <w:rFonts w:ascii="Times New Roman;sans-serif" w:hAnsi="Times New Roman;sans-serif"/>
          <w:b w:val="false"/>
          <w:color w:val="000000"/>
          <w:sz w:val="24"/>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U.S. Person”</w:t>
      </w:r>
      <w:r>
        <w:rPr>
          <w:color w:val="000000"/>
        </w:rPr>
        <w:t xml:space="preserve"> </w:t>
      </w:r>
      <w:r>
        <w:rPr>
          <w:rFonts w:ascii="Times New Roman;sans-serif" w:hAnsi="Times New Roman;sans-serif"/>
          <w:b w:val="false"/>
          <w:color w:val="000000"/>
          <w:sz w:val="24"/>
        </w:rPr>
        <w:t>means a “United States person” within the meaning of Section 7701(a)(30) of the Code.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U.S. Tax Compliance Certificate”</w:t>
      </w:r>
      <w:r>
        <w:rPr>
          <w:color w:val="000000"/>
        </w:rPr>
        <w:t xml:space="preserve"> </w:t>
      </w:r>
      <w:r>
        <w:rPr>
          <w:rFonts w:ascii="Times New Roman;sans-serif" w:hAnsi="Times New Roman;sans-serif"/>
          <w:b w:val="false"/>
          <w:color w:val="000000"/>
          <w:sz w:val="24"/>
        </w:rPr>
        <w:t>has the meaning set forth in Section 5.03(f)(ii)(B)(3).</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0"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-32-</w:t>
                      </w:r>
                    </w:p>
                  </w:txbxContent>
                </v:textbox>
                <w10:wrap type="none"/>
              </v:rect>
            </w:pict>
          </mc:Fallback>
        </mc:AlternateConten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Warrant Certificate” </w:t>
      </w:r>
      <w:r>
        <w:rPr>
          <w:rFonts w:ascii="Times New Roman;sans-serif" w:hAnsi="Times New Roman;sans-serif"/>
          <w:b w:val="false"/>
          <w:color w:val="000000"/>
          <w:sz w:val="24"/>
        </w:rPr>
        <w:t>means the warrant to be delivered to the Administrative Agent pursuant to Section 6.01(c)(xi) that, among other things, grants the holder thereof the right to purchase the number of common shares of Holdings as indicated on the warrant shares table on Schedule 1, as the Warrant Certificate may be amended, replaced or otherwise modified pursuant to the terms thereof.</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Warrant Obligations” </w:t>
      </w:r>
      <w:r>
        <w:rPr>
          <w:rFonts w:ascii="Times New Roman;sans-serif" w:hAnsi="Times New Roman;sans-serif"/>
          <w:b w:val="false"/>
          <w:color w:val="000000"/>
          <w:sz w:val="24"/>
        </w:rPr>
        <w:t>means, with respect to Holdings, all of its Obligations arising out of, under or in connection with, any Warrant Certificate.</w:t>
      </w:r>
    </w:p>
    <w:p>
      <w:pPr>
        <w:pStyle w:val="TextBody"/>
        <w:bidi w:val="0"/>
        <w:spacing w:lineRule="auto" w:line="280" w:before="280" w:after="283"/>
        <w:ind w:left="0" w:right="0" w:firstLine="720"/>
        <w:jc w:val="both"/>
        <w:rPr/>
      </w:pPr>
      <w:r>
        <w:rPr>
          <w:color w:val="000000"/>
        </w:rPr>
        <w:t>“</w:t>
      </w:r>
      <w:r>
        <w:rPr>
          <w:rFonts w:ascii="Times New Roman;sans-serif" w:hAnsi="Times New Roman;sans-serif"/>
          <w:b w:val="false"/>
          <w:i/>
          <w:color w:val="000000"/>
          <w:sz w:val="24"/>
        </w:rPr>
        <w:t xml:space="preserve">Write-Down and Conversion Powers” </w:t>
      </w:r>
      <w:r>
        <w:rPr>
          <w:rFonts w:ascii="Times New Roman;sans-serif" w:hAnsi="Times New Roman;sans-serif"/>
          <w:b w:val="false"/>
          <w:color w:val="000000"/>
          <w:sz w:val="24"/>
        </w:rPr>
        <w:t xml:space="preserve">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1.02.    Accounting Terms and Principles</w:t>
      </w:r>
      <w:r>
        <w:rPr>
          <w:rFonts w:ascii="Times New Roman;sans-serif" w:hAnsi="Times New Roman;sans-serif"/>
          <w:b w:val="false"/>
          <w:color w:val="000000"/>
          <w:sz w:val="24"/>
        </w:rPr>
        <w:t xml:space="preserve">. All accounting determinations required to be made pursuant hereto shall, unless expressly otherwise provided herein, be made substantially in accordance with GAAP. If, after the date hereof, any change occurs in GAAP or in the application thereof (an </w:t>
      </w:r>
      <w:r>
        <w:rPr>
          <w:color w:val="000000"/>
        </w:rPr>
        <w:t>“</w:t>
      </w:r>
      <w:r>
        <w:rPr>
          <w:rFonts w:ascii="Times New Roman;sans-serif" w:hAnsi="Times New Roman;sans-serif"/>
          <w:b w:val="false"/>
          <w:i/>
          <w:color w:val="000000"/>
          <w:sz w:val="24"/>
        </w:rPr>
        <w:t>Accounting Change”</w:t>
      </w:r>
      <w:r>
        <w:rPr>
          <w:rFonts w:ascii="Times New Roman;sans-serif" w:hAnsi="Times New Roman;sans-serif"/>
          <w:b w:val="false"/>
          <w:color w:val="000000"/>
          <w:sz w:val="24"/>
        </w:rPr>
        <w:t>)</w:t>
      </w:r>
      <w:r>
        <w:rPr>
          <w:color w:val="000000"/>
        </w:rPr>
        <w:t xml:space="preserve"> </w:t>
      </w:r>
      <w:r>
        <w:rPr>
          <w:rFonts w:ascii="Times New Roman;sans-serif" w:hAnsi="Times New Roman;sans-serif"/>
          <w:b w:val="false"/>
          <w:color w:val="000000"/>
          <w:sz w:val="24"/>
        </w:rPr>
        <w:t xml:space="preserve">and such change would cause any amount required to be determined for the purposes of the covenants to be maintained or calculated pursuant to Article 8 or 9 to be materially different than the amount that would be determined prior to such change, then Holdings will provide a detailed notice of such change (an </w:t>
      </w:r>
      <w:r>
        <w:rPr>
          <w:color w:val="000000"/>
        </w:rPr>
        <w:t>“</w:t>
      </w:r>
      <w:r>
        <w:rPr>
          <w:rFonts w:ascii="Times New Roman;sans-serif" w:hAnsi="Times New Roman;sans-serif"/>
          <w:b w:val="false"/>
          <w:i/>
          <w:color w:val="000000"/>
          <w:sz w:val="24"/>
        </w:rPr>
        <w:t>Accounting Change Notice”</w:t>
      </w:r>
      <w:r>
        <w:rPr>
          <w:rFonts w:ascii="Times New Roman;sans-serif" w:hAnsi="Times New Roman;sans-serif"/>
          <w:b w:val="false"/>
          <w:color w:val="000000"/>
          <w:sz w:val="24"/>
        </w:rPr>
        <w:t>) to the Administrative Agent in conjunction with the next required delivery of financial statements pursuant to Section 8.01. If Holdings requests an amendment to any provision hereof to eliminate the effect of any Accounting Change occurring after the Closing Date or in the application thereof on the operation of such provision, regardless of whether any Accounting Change Notice is given before or after such Accounting Change or in the application thereof, then the Administrative Agent and Holdings agree that they will negotiate in good faith amendments to the provisions of this Agreement that are directly affected by such Accounting Change with the intent of having the respective positions of the Administrative Agent and Holdings after such Accounting Change conform as nearly as possible to their respective positions as of the date of this Agreement and, until any such amendments have been agreed upon, (a) the provisions in this Agreement shall be calculated as if no such Accounting Change had occurred and (b) Holdings shall provide to the Administrative Agent a written reconciliation in form and substance reasonably satisfactory to the Administrative Agent, between calculations of any baskets and other requirements hereunder before and after giving effect to such Accounting Change.</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components of financial calculations made to determine compliance with this Agreement shall be adjusted to include or exclude, as the case may be, without duplication, such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1"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components of such calculations attributable to any Acquisition or disposition of assets consummated after the first day of the applicable period of determination and prior to the end of such period, as determined in good faith by Holdings based on assumptions expressed therein and that were reasonable based on the information available to Holdings at the time of preparation of the Compliance Certificate setting forth such calculations.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the foregoing, with respect to the accounting for leases as either operating leases or Capital Leases and the impact of such accounting in accordance with FASB ASC 842 on the definitions and covenants herein, GAAP as in effect prior to the adoption of FASB ASC 842 shall be applied.</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1.03.    Interpretation</w:t>
      </w:r>
      <w:r>
        <w:rPr>
          <w:rFonts w:ascii="Times New Roman;sans-serif" w:hAnsi="Times New Roman;sans-serif"/>
          <w:b w:val="false"/>
          <w:color w:val="000000"/>
          <w:sz w:val="24"/>
        </w:rPr>
        <w:t>. For all purposes of this Agreement, except as otherwise expressly provided herein or unless the context otherwise requires, (a) the terms defined in this Agreement include the plural as well as the singular and vice versa; (b) words importing gender include all genders; (c) any reference to a Section, Article, Annex, Schedule or Exhibit refers to a Section or Article of, or Annex, Schedule or Exhibit to, this Agreement; (d) any reference to “this Agreement” refers to this Agreement, including all Annexes, Schedules and Exhibits hereto, and the words herein, hereof, hereto and hereunder and words of similar import refer to this Agreement and its Annexes, Schedules and Exhibits as a whole and not to any particular Section, Article, Annex, Schedule, Exhibit or any other subdivision; (e) references to days, months and years refer to calendar days, months and years, respectively; (f) all references herein to “include” or “including” shall be deemed to be followed by the words “without limitation”; (g) the word “from” when used in connection with a period of time means “from and including” and the word “until” means “to but not including”; and (h) accounting terms not specifically defined herein shall be construed substantially in accordance with GAAP (except for the term “property,” which shall be interpreted as broadly as possible, including, in any case, cash, securities, other assets, rights under contractual obligations and Permits and any right or interest in any property, except where otherwise noted). Unless otherwise expressly provided herein, references to Organizational Documents, agreements (including the Loan Documents) and other contractual instruments shall be deemed to include all subsequent amendments, restatements, extensions, supplements and other modifications thereto permitted by the Loan Documents.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1.04.    Divisions</w:t>
      </w:r>
      <w:r>
        <w:rPr>
          <w:rFonts w:ascii="Times New Roman;sans-serif" w:hAnsi="Times New Roman;sans-serif"/>
          <w:b w:val="false"/>
          <w:color w:val="000000"/>
          <w:sz w:val="24"/>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1.05.    Interest Rates. </w:t>
      </w:r>
      <w:r>
        <w:rPr>
          <w:rFonts w:ascii="Times New Roman;sans-serif" w:hAnsi="Times New Roman;sans-serif"/>
          <w:b w:val="false"/>
          <w:color w:val="000000"/>
          <w:sz w:val="24"/>
        </w:rPr>
        <w:t xml:space="preserve">The Administrative Agent does not warrant or accept responsibility for, and shall not have any liability with respect to (a) the continuation of, administration of, submission of, calculation of or any other matter related to the Term SOFR Reference Rate, Term SOFR, or any component definition thereof or rates referred to in the definition thereof, or any alternative, successor or replacement rate thereto (including any Benchmark Replacement), including whether the composition or characteristics of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2"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alternative, successor or replacement rate (including any Benchmark Replacement) will be similar to, or produce the same value or economic equivalence of, or have the same volume or liquidity as, the Term SOFR Reference Rate,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the Term SOFR Reference Rate, Term SOFR, any alternative, successor or replacement rate (including any Benchmark Replacement) or any relevant adjustments thereto, in each case, in a manner adverse to the Obligors. The Administrative Agent may select information sources or services in its reasonable discretion to ascertain the Term SOFR Reference Rate, Term SOFR or any other Benchmark, in each case pursuant to the terms of this Agreement, and shall have no liability to the Obligors,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2</w:t>
        <w:br/>
        <w:br/>
        <w:t>The Commitments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2.01.    Term Loans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Tranche A Term Loan</w:t>
      </w:r>
      <w:r>
        <w:rPr>
          <w:rFonts w:ascii="Times New Roman;sans-serif" w:hAnsi="Times New Roman;sans-serif"/>
          <w:b w:val="false"/>
          <w:color w:val="000000"/>
          <w:sz w:val="24"/>
        </w:rPr>
        <w:t xml:space="preserve">.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Subject to the terms and conditions of this Agreement and relying on the representations and warranties set forth herein, each Lender, severally and not jointly, agrees to provide its share of the Tranche A Term Loan to Borrowers on the Closing Date in Dollars in a principal amount equal to such Lender’s Tranche A Term Loan Commitment. No Lender shall have an obligation to make a Tranche A Term Loan in excess of such Lender’s Tranche A Term Loan Commitment.</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Subject to the terms and conditions of this Agreement (including Section 6.01), Administrative Borrower shall deliver to the Administrative Agent a fully executed Borrowing Notice no later than 5 p.m. (New York City time) at least one (1) Business Day in advance of the Closing Date.</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 xml:space="preserve">Borrowers may make one borrowing under the Tranche A Term Loan Commitment which shall be on the Closing Date. Subject to Sections 3.01 and 3.03, all amounts owed hereunder with respect to the Tranche A Term Loan shall be paid in full no later than the Maturity Date. Each Lender’s Tranche A Term Loan Commitment shall terminate immediately and without further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3"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-35-</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action on the Closing Date after giving effect to the funding of such Lender’s Tranche A Term Loan Commitment on such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Tranche B Term Loan.</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Subject to the terms and conditions of this Agreement and relying on the representations and warranties set forth herein, each Lender, severally and not jointly, agrees to provide its share of the Tranche B Term Loan to Borrowers on the Tranche B Term Loan Borrowing Date in Dollars in a principal amount equal to such Lender’s Tranche B Term Loan Commitment. No Lender shall have an obligation to make a Tranche B Term Loan in excess of such Lender’s Tranche B Term Loan Commitment.</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Subject to the terms and conditions of this Agreement (including Section 6.02), Administrative Borrower shall deliver to the Administrative Agent a fully executed Borrowing Notice no later than 5 p.m. (New York City time) at least three (3) Business Days in advance of the proposed Tranche B Term Loan Borrowing Date.</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Borrowers may make one borrowing under the Tranche B Term Loan Commitment which shall be on the Tranche B Term Loan Borrowing Date. Subject to Sections 3.01 and 3.03, all amounts owed hereunder with respect to the Tranche B Term Loan shall be paid in full no later than the Maturity Date. Each Lender’s Tranche B Term Loan Commitment shall terminate immediately and without further action on the earlier of (x) the Tranche B Term Loan Borrowing Date after giving effect to the funding of such Lender’s Tranche B Term Loan Commitment on such date and (y) the Tranche B Term Loan Commitment Termination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Any principal amount of the Term Loans borrowed under Sections 2.01(a) or (b) hereof and subsequently repaid or prepaid may not be reborrowed.</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2.02.    Proportionate Shares</w:t>
      </w:r>
      <w:r>
        <w:rPr>
          <w:rFonts w:ascii="Times New Roman;sans-serif" w:hAnsi="Times New Roman;sans-serif"/>
          <w:b w:val="false"/>
          <w:color w:val="000000"/>
          <w:sz w:val="24"/>
        </w:rPr>
        <w:t>. All Term Loans shall be made, and all participations purchased, by the Lenders simultaneously and proportionately to their respective Proportionate Shares, it being understood that no Lender shall be responsible for any default by any other Lender in such other Lender’s obligation to make a Term Loan hereunder or purchase a participation required hereby nor shall the Commitment of any Lender be increased or decreased as a result of a default by any other Lender in such other Lender’s obligation to make a Term Loan requested hereunder or purchase a participation required hereby.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2.03.    Fees</w:t>
      </w:r>
      <w:r>
        <w:rPr>
          <w:rFonts w:ascii="Times New Roman;sans-serif" w:hAnsi="Times New Roman;sans-serif"/>
          <w:b w:val="false"/>
          <w:color w:val="000000"/>
          <w:sz w:val="24"/>
        </w:rPr>
        <w:t xml:space="preserve">. On the Closing Date, Borrowers shall pay to the Administrative Agent, in accordance with the provisions of the Fee Letter and for distribution to each Lender in accordance with its Pro Rata Share of the Tranche A Term Loan, the Closing Fee. On the Tranche B Term Loan Borrowing Date, Borrowers shall pay to the Administrative Agent, in accordance with the provisions of the Fee Letter and for distribution to each Lender in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4"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-36-</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accordance with its Pro Rata Share of the Tranche B Term Loan, the Tranche B Term Loan Fee. Such payments shall be in addition to such fees, costs and expenses due and payable pursuant to Section 13.03.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2.04.    Notes</w:t>
      </w:r>
      <w:r>
        <w:rPr>
          <w:rFonts w:ascii="Times New Roman;sans-serif" w:hAnsi="Times New Roman;sans-serif"/>
          <w:b w:val="false"/>
          <w:color w:val="000000"/>
          <w:sz w:val="24"/>
        </w:rPr>
        <w:t>. Upon the request of any Lender, Borrowers shall prepare, execute and deliver to such Lender one or more Notes evidencing the portion of the Term Loans payable to such Lender (or if requested by it, to it and its registered assigns).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2.05.    Use of Proceeds</w:t>
      </w:r>
      <w:r>
        <w:rPr>
          <w:rFonts w:ascii="Times New Roman;sans-serif" w:hAnsi="Times New Roman;sans-serif"/>
          <w:b w:val="false"/>
          <w:color w:val="000000"/>
          <w:sz w:val="24"/>
        </w:rPr>
        <w:t>. Borrowers shall use the proceeds of the Term Loans (a) for general working capital purposes and corporate purposes permitted hereunder and (b) to pay, in accordance with the funds flow attached to the Borrowing Notice, fees, costs and expenses incurred in connection with the Transactions.</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3</w:t>
        <w:br/>
        <w:br/>
        <w:t>Payments of Principal and Interest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3.01.    Repayment</w:t>
      </w:r>
      <w:r>
        <w:rPr>
          <w:rFonts w:ascii="Times New Roman;sans-serif" w:hAnsi="Times New Roman;sans-serif"/>
          <w:b w:val="false"/>
          <w:color w:val="000000"/>
          <w:sz w:val="24"/>
        </w:rPr>
        <w:t>. There will be no scheduled repayments of principal on the Term Loans prior to the Maturity Date. The entire outstanding principal amount of the Term Loans, together with all accrued and unpaid interest thereon, will be due and payable on the Maturity Date.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3.02.    Interest</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 xml:space="preserve">Interest Generally. </w:t>
      </w:r>
      <w:r>
        <w:rPr>
          <w:rFonts w:ascii="Times New Roman;sans-serif" w:hAnsi="Times New Roman;sans-serif"/>
          <w:b w:val="false"/>
          <w:color w:val="000000"/>
          <w:sz w:val="24"/>
        </w:rPr>
        <w:t>Borrowers agree to pay to the Lenders interest in cash on the outstanding principal amount of the Term Loans for each Interest Period at a rate per annum equal to the sum of (i) Term SOFR plus (ii) the Applicable Margin.</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 xml:space="preserve">Term SOFR Conforming Changes. </w:t>
      </w:r>
      <w:r>
        <w:rPr>
          <w:rFonts w:ascii="Times New Roman;sans-serif" w:hAnsi="Times New Roman;sans-serif"/>
          <w:b w:val="false"/>
          <w:color w:val="000000"/>
          <w:sz w:val="24"/>
        </w:rPr>
        <w:t>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Administrative Borrower and the Lenders of the effectiveness of any Conforming Changes in connection with the use or administration of Term SOFR.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Effect of Benchmark Transition Event.</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i/>
          <w:color w:val="000000"/>
          <w:sz w:val="24"/>
        </w:rPr>
        <w:t>Benchmark Replacement</w:t>
      </w:r>
      <w:r>
        <w:rPr>
          <w:rFonts w:ascii="Times New Roman;sans-serif" w:hAnsi="Times New Roman;sans-serif"/>
          <w:b w:val="false"/>
          <w:color w:val="000000"/>
          <w:sz w:val="24"/>
        </w:rPr>
        <w:t xml:space="preserve">. Notwithstanding anything to the contrary herein or in any other Loan Document, if a Benchmark Transition Event and its related Benchmark Replacement Date have occurred prior to any setting of the then-current Benchmark, then (A) if a Benchmark Replacement is determined in accordance with clause (a) of the definition of “Benchmark Replacement” for such Benchmark Replacement Date, such Benchmark Replacement will replace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5"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-37-</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such Benchmark for all purposes hereunder and under any Loan Document in respect of such Benchmark setting and any subsequent Benchmark settings without any amendment to, or further action or consent of any other party to, this Agreement or any other Loan Document and (B)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Majority Lenders.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i/>
          <w:color w:val="000000"/>
          <w:sz w:val="24"/>
        </w:rPr>
        <w:t>Conforming Changes</w:t>
      </w:r>
      <w:r>
        <w:rPr>
          <w:rFonts w:ascii="Times New Roman;sans-serif" w:hAnsi="Times New Roman;sans-serif"/>
          <w:b w:val="false"/>
          <w:color w:val="000000"/>
          <w:sz w:val="24"/>
        </w:rPr>
        <w:t xml:space="preserve">. In connection with the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the Loan Documents.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i/>
          <w:color w:val="000000"/>
          <w:sz w:val="24"/>
        </w:rPr>
        <w:t>Notices; Standards for Decisions and Determinations</w:t>
      </w:r>
      <w:r>
        <w:rPr>
          <w:rFonts w:ascii="Times New Roman;sans-serif" w:hAnsi="Times New Roman;sans-serif"/>
          <w:b w:val="false"/>
          <w:color w:val="000000"/>
          <w:sz w:val="24"/>
        </w:rPr>
        <w:t>. The Administrative Agent will promptly notify Administrative Borrower and the Lenders of (A) the implementation of any Benchmark Replacement and (B) the effectiveness of any Conforming Changes in connection with the use, administration, adoption or implementation of a Benchmark Replacement. Any determination, decision or election that may be made by the Administrative Agent or the Lenders pursuant to this Section 3.02(c)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Section 3.02(c).</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i/>
          <w:color w:val="000000"/>
          <w:sz w:val="24"/>
        </w:rPr>
        <w:t>Unavailability of Tenor of Benchmark</w:t>
      </w:r>
      <w:r>
        <w:rPr>
          <w:rFonts w:ascii="Times New Roman;sans-serif" w:hAnsi="Times New Roman;sans-serif"/>
          <w:b w:val="false"/>
          <w:color w:val="000000"/>
          <w:sz w:val="24"/>
        </w:rPr>
        <w:t xml:space="preserve">. Notwithstanding anything to the contrary herein or in any other Loan Document, at any time (including in connection with the implementation of a Benchmark Replacement), (A) if the then-current Benchmark is a term rate (including the Term SOFR Reference Rate) and either (x) any tenor for such Benchmark is not displayed on a screen or other information service that publishes such rate from time to time as selected by the Administrative Agent in its reasonable discretion or (y) the regulatory supervisor for the administrator of such Benchmark has provided a public statement or publication of information announcing that any tenor for such Benchmark is not or will not be representative, then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6"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-38-</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may modify the definition of “Interest Period” (or any similar or analogous definition) for any Benchmark settings at or after such time to remove such unavailable or non-representative tenor and (B) if a tenor that was removed pursuant to clause (A) above either (x) is subsequently displayed on a screen or information service for a Benchmark (including a Benchmark Replacement) or (y)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i/>
          <w:color w:val="000000"/>
          <w:sz w:val="24"/>
        </w:rPr>
        <w:t>Default Interest.</w:t>
      </w:r>
      <w:r>
        <w:rPr>
          <w:color w:val="000000"/>
        </w:rPr>
        <w:t xml:space="preserve"> </w:t>
      </w:r>
      <w:r>
        <w:rPr>
          <w:rFonts w:ascii="Times New Roman;sans-serif" w:hAnsi="Times New Roman;sans-serif"/>
          <w:b w:val="false"/>
          <w:color w:val="000000"/>
          <w:sz w:val="24"/>
        </w:rPr>
        <w:t xml:space="preserve">Notwithstanding the foregoing, upon the occurrence and during the continuance of any Event of Default, the Applicable Margin shall increase automatically by 4.00% per annum (the interest rate, as increased pursuant to this Section 3.02(d), being the </w:t>
      </w:r>
      <w:r>
        <w:rPr>
          <w:color w:val="000000"/>
        </w:rPr>
        <w:t>“</w:t>
      </w:r>
      <w:r>
        <w:rPr>
          <w:rFonts w:ascii="Times New Roman;sans-serif" w:hAnsi="Times New Roman;sans-serif"/>
          <w:b w:val="false"/>
          <w:i/>
          <w:color w:val="000000"/>
          <w:sz w:val="24"/>
        </w:rPr>
        <w:t>Default Rate”</w:t>
      </w:r>
      <w:r>
        <w:rPr>
          <w:rFonts w:ascii="Times New Roman;sans-serif" w:hAnsi="Times New Roman;sans-serif"/>
          <w:b w:val="false"/>
          <w:color w:val="000000"/>
          <w:sz w:val="24"/>
        </w:rPr>
        <w:t>). Notwithstanding any other provision herein, if interest is required to be paid at the Default Rate, it shall also be paid entirely in cash. If any Obligation is not paid when due (giving effect to any applicable grace period) under any applicable Loan Document, the amount thereof shall accrue interest at the Default Rate. Payment or acceptance of the increased rates of interest provided for in this Section 3.02(d) is not a permitted alternative to timely payment and shall not constitute a waiver of any Default or otherwise prejudice or limit any rights or remedies of the Administrative Agent or any Lender.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i/>
          <w:color w:val="000000"/>
          <w:sz w:val="24"/>
        </w:rPr>
        <w:t>Payment Dates.</w:t>
      </w:r>
      <w:r>
        <w:rPr>
          <w:color w:val="000000"/>
        </w:rPr>
        <w:t xml:space="preserve"> </w:t>
      </w:r>
      <w:r>
        <w:rPr>
          <w:rFonts w:ascii="Times New Roman;sans-serif" w:hAnsi="Times New Roman;sans-serif"/>
          <w:b w:val="false"/>
          <w:color w:val="000000"/>
          <w:sz w:val="24"/>
        </w:rPr>
        <w:t xml:space="preserve">Accrued interest on the Term Loans shall be payable in arrears on each Payment Date with respect to the most recently completed Interest Period in cash, and upon the payment or prepayment of the Term Loans (on the principal amount being so paid or prepaid);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interest payable at the Default Rate shall be payable from time to time on demand by the Majority Lenders.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i/>
          <w:color w:val="000000"/>
          <w:sz w:val="24"/>
        </w:rPr>
        <w:t>Maximum Rate.</w:t>
      </w:r>
      <w:r>
        <w:rPr>
          <w:color w:val="000000"/>
        </w:rPr>
        <w:t xml:space="preserve"> </w:t>
      </w:r>
      <w:r>
        <w:rPr>
          <w:rFonts w:ascii="Times New Roman;sans-serif" w:hAnsi="Times New Roman;sans-serif"/>
          <w:b w:val="false"/>
          <w:color w:val="000000"/>
          <w:sz w:val="24"/>
        </w:rPr>
        <w:t>Notwithstanding any other provision of this Agreement, in no event will any interest or rates referred to herein exceed the maximum interest rate permitted by applicable Law. If such maximum interest rate would be exceeded by the terms hereof, the rates of interest payable hereunder will be reduced to the extent necessary so that such rates (together with any fees or other amounts which are construed by a court of competent jurisdiction to be interest or in the nature of interest) equal the maximum interest rate permitted by applicable Law and any overpayment of interest received by the Lenders before such rates are so construed will be applied, forthwith after determination of such overpayment, to pay all then outstanding interest, and thereafter to pay outstanding principal.</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3.03.    Prepayments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 xml:space="preserve">Optional Prepayments.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Borrowers shall have the right to optionally prepay in whole or in part (in a minimum amount of $500,000 and integral multiples of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87"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-39-</w:t>
                      </w:r>
                    </w:p>
                  </w:txbxContent>
                </v:textbox>
                <w10:wrap type="none"/>
              </v:rect>
            </w:pict>
          </mc:Fallback>
        </mc:AlternateContent>
      </w:r>
    </w:p>
    <w:p>
      <w:pPr>
        <w:pStyle w:val="TextBody"/>
        <w:bidi w:val="0"/>
        <w:spacing w:lineRule="auto" w:line="280" w:before="320" w:after="283"/>
        <w:jc w:val="both"/>
        <w:rPr/>
      </w:pPr>
      <w:r>
        <w:rPr>
          <w:rFonts w:ascii="Times New Roman;sans-serif" w:hAnsi="Times New Roman;sans-serif"/>
          <w:b w:val="false"/>
          <w:color w:val="000000"/>
          <w:sz w:val="24"/>
        </w:rPr>
        <w:t xml:space="preserve">$100,000 in excess of that amount for each partial prepayment, or, if less, the entire outstanding principal amount of the Term Loans) the outstanding principal amount of the Term Loans on any Business Day (a </w:t>
      </w:r>
      <w:r>
        <w:rPr>
          <w:color w:val="000000"/>
        </w:rPr>
        <w:t>“</w:t>
      </w:r>
      <w:r>
        <w:rPr>
          <w:rFonts w:ascii="Times New Roman;sans-serif" w:hAnsi="Times New Roman;sans-serif"/>
          <w:b w:val="false"/>
          <w:i/>
          <w:color w:val="000000"/>
          <w:sz w:val="24"/>
        </w:rPr>
        <w:t>Redemption Date”</w:t>
      </w:r>
      <w:r>
        <w:rPr>
          <w:rFonts w:ascii="Times New Roman;sans-serif" w:hAnsi="Times New Roman;sans-serif"/>
          <w:b w:val="false"/>
          <w:color w:val="000000"/>
          <w:sz w:val="24"/>
        </w:rPr>
        <w:t xml:space="preserve">) for an amount equal to the sum of (x) the aggregate principal amount of the Term Loans being prepaid, (y) the prepayment premium set forth in clause (ii) below (the </w:t>
      </w:r>
      <w:r>
        <w:rPr>
          <w:color w:val="000000"/>
        </w:rPr>
        <w:t>“</w:t>
      </w:r>
      <w:r>
        <w:rPr>
          <w:rFonts w:ascii="Times New Roman;sans-serif" w:hAnsi="Times New Roman;sans-serif"/>
          <w:b w:val="false"/>
          <w:i/>
          <w:color w:val="000000"/>
          <w:sz w:val="24"/>
        </w:rPr>
        <w:t>Prepayment Premium”</w:t>
      </w:r>
      <w:r>
        <w:rPr>
          <w:rFonts w:ascii="Times New Roman;sans-serif" w:hAnsi="Times New Roman;sans-serif"/>
          <w:b w:val="false"/>
          <w:color w:val="000000"/>
          <w:sz w:val="24"/>
        </w:rPr>
        <w:t xml:space="preserve">) and (z) any accrued but unpaid interest in respect of the aggregate principal amount of the Term Loans being prepaid (such aggregate amount, the </w:t>
      </w:r>
      <w:r>
        <w:rPr>
          <w:color w:val="000000"/>
        </w:rPr>
        <w:t>“</w:t>
      </w:r>
      <w:r>
        <w:rPr>
          <w:rFonts w:ascii="Times New Roman;sans-serif" w:hAnsi="Times New Roman;sans-serif"/>
          <w:b w:val="false"/>
          <w:i/>
          <w:color w:val="000000"/>
          <w:sz w:val="24"/>
        </w:rPr>
        <w:t>Redemption Price”</w:t>
      </w:r>
      <w:r>
        <w:rPr>
          <w:rFonts w:ascii="Times New Roman;sans-serif" w:hAnsi="Times New Roman;sans-serif"/>
          <w:b w:val="false"/>
          <w:color w:val="000000"/>
          <w:sz w:val="24"/>
        </w:rPr>
        <w:t>). The applicable Prepayment Premium shall be an amount calculated pursuant to Section 3.03(a)(ii).</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If the Redemption Date occurs:</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(A)on or prior to the first anniversary of the Closing Date, the Prepayment Premium shall be an amount equal to ten percent (10%) of the aggregate outstanding principal amount of the Term Loans being prepaid on such Redemption Date;</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(B)after the first anniversary of the Closing Date and on or prior to the second anniversary of the Closing Date, the Prepayment Premium shall be an amount equal to nine percent (9%) of the aggregate outstanding principal amount of the Term Loans being prepaid on such Redemption Date; </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(C)after the second anniversary of the Closing Date and on or prior to the third anniversary of the Closing Date, the Prepayment Premium shall be an amount equal to eight percent (8%) of the aggregate outstanding principal amount of the Term Loans being prepaid on such Redemption Date; and</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(D)after the third anniversary of the Closing Date and on or prior to January 27, 2028, the Prepayment Premium shall be an amount equal to six percent (6%) of the aggregate outstanding principal amount of the Term Loans being prepaid on such Redemption Date.</w:t>
      </w:r>
    </w:p>
    <w:p>
      <w:pPr>
        <w:pStyle w:val="TextBody"/>
        <w:bidi w:val="0"/>
        <w:spacing w:before="0" w:after="0"/>
        <w:jc w:val="left"/>
        <w:rPr/>
      </w:pPr>
      <w:r>
        <w:rPr/>
      </w:r>
    </w:p>
    <w:p>
      <w:pPr>
        <w:pStyle w:val="TextBody"/>
        <w:bidi w:val="0"/>
        <w:spacing w:lineRule="auto" w:line="24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 Prepayment Premium shall be due with respect to repayment of the Term Loans after January 27, 2028 and on or prior to the Stated Maturity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w:t>
      </w:r>
      <w:r>
        <w:rPr>
          <w:rFonts w:ascii="Times New Roman;sans-serif" w:hAnsi="Times New Roman;sans-serif"/>
          <w:b w:val="false"/>
          <w:i/>
          <w:color w:val="000000"/>
          <w:sz w:val="24"/>
        </w:rPr>
        <w:t>Mandatory Prepayments.</w:t>
      </w:r>
      <w:r>
        <w:rPr>
          <w:color w:val="000000"/>
        </w:rPr>
        <w:t xml:space="preserve"> </w:t>
      </w:r>
      <w:r>
        <w:rPr>
          <w:rFonts w:ascii="Times New Roman;sans-serif" w:hAnsi="Times New Roman;sans-serif"/>
          <w:b w:val="false"/>
          <w:color w:val="000000"/>
          <w:sz w:val="24"/>
        </w:rPr>
        <w:t>Borrowers shall prepay the Term Loans in amounts as provided below, plus, in the case of clauses (ii) and (iii) below only, the Prepayment Premium on the principal amount of the Term Loans being prepaid (calculated in accordance with Section 3.03(a)(ii), it being agreed that the relevant payment date shall be deemed to be the “Redemption Date” for purposes of such calculation), plus any accrued but unpaid interest and fees then due and owing,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88"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-40-</w:t>
                      </w:r>
                    </w:p>
                  </w:txbxContent>
                </v:textbox>
                <w10:wrap type="none"/>
              </v:rect>
            </w:pict>
          </mc:Fallback>
        </mc:AlternateConten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In the event of any Casualty Event, an amount equal to 100% of the Net Cash Proceeds received by any Obligor with respect thereto;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so long as no Default has occurred and is continuing, within one hundred eighty (180) days after receipt of such Net Cash Proceeds (or if committed to be reinvested within such 180-day period, no later than ninety (90) days after the end of such 180-day period), the Obligors may apply the Net Cash Proceeds of any casualty policy, toward the replacement or repair of destroyed or damaged property;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any such replaced or repaired property shall be Collateral in which the Administrative Agent for the benefit of the Lenders has been granted a security interest under the Security Documents.</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In the event any Obligor incurs Indebtedness other than Indebtedness that is permitted by Section 9.01 hereof, 100% of the Net Cash Proceeds thereof received by such Obligor. For the avoidance of doubt, any prepayment made pursuant to this Section 3.03(b)(ii) shall not be deemed to be a consent to any such incurrence of Indebtedness or a cure or waiver of any Event of Default which occurs in connection therewith, it being understood that any such Event of Default may only be waived with the express consent of the Majority Lenders.</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 xml:space="preserve">In the event any Obligor consummates an Asset Sale other than an Asset Sale that is permitted by Section 9.09 hereof (other than Section 9.09(i)), 100% of the Net Cash Proceeds received by such Obligor in connection with such Asset Sale; </w:t>
      </w:r>
      <w:r>
        <w:rPr>
          <w:rFonts w:ascii="Times New Roman;sans-serif" w:hAnsi="Times New Roman;sans-serif"/>
          <w:b w:val="false"/>
          <w:i/>
          <w:color w:val="000000"/>
          <w:sz w:val="24"/>
        </w:rPr>
        <w:t>provided, however,</w:t>
      </w:r>
      <w:r>
        <w:rPr>
          <w:color w:val="000000"/>
        </w:rPr>
        <w:t xml:space="preserve"> </w:t>
      </w:r>
      <w:r>
        <w:rPr>
          <w:rFonts w:ascii="Times New Roman;sans-serif" w:hAnsi="Times New Roman;sans-serif"/>
          <w:b w:val="false"/>
          <w:color w:val="000000"/>
          <w:sz w:val="24"/>
        </w:rPr>
        <w:t xml:space="preserve">so long as no Default has occurred and is continuing, within one hundred eighty (180) days after receipt of such Net Cash Proceeds (or if committed to be reinvested within such 180-day period, no later than ninety (90) days after the end of such 180-day period), the Obligors may use such Net Cash Proceeds not exceeding $2,500,000 in the aggregate for all Asset Sales during the term of this Agreement, to purchase, replace, repair or restore properties or assets used in the Obligors’ businesses;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any such purchased, replaced, repaired or restored property shall be Collateral in which the Administrative Agent for the benefit of the Lenders has been granted a security interest under the Security Documents. For the avoidance of doubt, any prepayment made pursuant to this Section 3.03(b)(iii) shall not be deemed to be a consent to any Asset Sale or a cure or waiver of any Event of Default which occurs in connection therewith, it being understood that any such Event of Default may only be waived with the express consent of the Majority Lenders.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Prepayment Premium.</w:t>
      </w:r>
      <w:r>
        <w:rPr>
          <w:color w:val="000000"/>
        </w:rPr>
        <w:t xml:space="preserve"> </w:t>
      </w:r>
      <w:r>
        <w:rPr>
          <w:rFonts w:ascii="Times New Roman;sans-serif" w:hAnsi="Times New Roman;sans-serif"/>
          <w:b w:val="false"/>
          <w:color w:val="000000"/>
          <w:sz w:val="24"/>
        </w:rPr>
        <w:t xml:space="preserve">Payment of any Prepayment Premium under this Section 3.03 constitutes liquidated damages, not unmatured interest or a penalty, as the actual amount of damages to the Lenders as a result of the relevant triggering event, prepayment or repayment would be impracticable and extremely difficult to ascertain. Accordingly, any Prepayment Premium hereunder is provided by mutual agreement of the Obligors and the Lenders as a reasonable estimation and calculation of such actual lost profits and other actual damages of the Lenders. Without limiting the generality of the foregoing, it is understood and agreed that upon the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89"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-41-</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occurrence of any prepayment event, any Prepayment Premium shall be automatically and immediately due and payable as though any prepaid or repaid portion of the Term Loans were voluntarily prepaid as of such date and shall constitute part of the Obligations secured by the Collateral. Any Prepayment Premium shall also be automatically and immediately due and payable if the Term Loans are satisfied or released by foreclosure (whether by power of judicial proceeding or otherwise), deed in lieu of foreclosure or by any other means. EACH OBLIGOR HEREBY EXPRESSLY WAIVES (TO THE FULLEST EXTENT IT MAY LAWFULLY DO SO) THE PROVISIONS OF ANY PRESENT OR FUTURE STATUTE OR OTHER LAW THAT PROHIBITS OR MAY PROHIBIT THE COLLECTION OF THE FOREGOING PREPAYMENT PREMIUM IN CONNECTION WITH ANY SUCH EVENTS. Borrowers and the other Obligors expressly agree (to the fullest extent they may lawfully do so) that with respect to any Prepayment Premium payable under the terms of this Agreement: (i) such Prepayment Premium is reasonable and is the product of an arm’s length transaction between sophisticated business parties, ably represented by counsel; (ii) such Prepayment Premium shall be payable notwithstanding the then-prevailing market rates at the time payment is made; (iii) there has been a course of conduct between the Lenders and the Obligors giving specific consideration in this transaction for such agreement to pay such Prepayment Premium; and (iv) the Obligors shall be estopped hereafter from claiming differently than as agreed to in this paragraph. The Obligors expressly acknowledge that their agreement to pay such Prepayment Premium as herein described is a material inducement to the Lenders to provide the Commitments and to make the Term Loans.</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4</w:t>
        <w:br/>
        <w:br/>
        <w:t>Payments, Etc.</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4.01.    Payments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Payments Generally.</w:t>
      </w:r>
      <w:r>
        <w:rPr>
          <w:color w:val="000000"/>
        </w:rPr>
        <w:t xml:space="preserve"> </w:t>
      </w:r>
      <w:r>
        <w:rPr>
          <w:rFonts w:ascii="Times New Roman;sans-serif" w:hAnsi="Times New Roman;sans-serif"/>
          <w:b w:val="false"/>
          <w:color w:val="000000"/>
          <w:sz w:val="24"/>
        </w:rPr>
        <w:t>Each payment of principal, interest and other amounts to be made by the Obligors under this Agreement or any other Loan Document shall be made in Dollars, in immediately available funds, without deduction, set off or counterclaim, to the deposit account of the Administrative Agent specified to Administrative Borrower from time to time, not later than 4:00 p.m. (New York City time) on the date on which such payment shall become due (each such payment made after such time on such due date to be deemed to have been made on the next succeeding Business Day).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Application of Payments if no Event of Default.</w:t>
      </w:r>
      <w:r>
        <w:rPr>
          <w:color w:val="000000"/>
        </w:rPr>
        <w:t xml:space="preserve"> </w:t>
      </w:r>
      <w:r>
        <w:rPr>
          <w:rFonts w:ascii="Times New Roman;sans-serif" w:hAnsi="Times New Roman;sans-serif"/>
          <w:b w:val="false"/>
          <w:color w:val="000000"/>
          <w:sz w:val="24"/>
        </w:rPr>
        <w:t>If no Event of Default has occurred and is continuing,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0"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-42-</w:t>
                      </w:r>
                    </w:p>
                  </w:txbxContent>
                </v:textbox>
                <w10:wrap type="none"/>
              </v:rect>
            </w:pict>
          </mc:Fallback>
        </mc:AlternateContent>
      </w:r>
    </w:p>
    <w:p>
      <w:pPr>
        <w:pStyle w:val="TextBody"/>
        <w:bidi w:val="0"/>
        <w:spacing w:lineRule="auto" w:line="280" w:before="280" w:after="283"/>
        <w:ind w:left="0" w:right="0" w:hanging="720"/>
        <w:jc w:val="both"/>
        <w:rPr/>
      </w:pPr>
      <w:r>
        <w:rPr>
          <w:color w:val="000000"/>
        </w:rPr>
        <w:t>            </w:t>
      </w:r>
      <w:r>
        <w:rPr>
          <w:rFonts w:ascii="Times New Roman;sans-serif" w:hAnsi="Times New Roman;sans-serif"/>
          <w:b w:val="false"/>
          <w:i/>
          <w:color w:val="000000"/>
          <w:sz w:val="24"/>
        </w:rPr>
        <w:t>(i)     first</w:t>
      </w:r>
      <w:r>
        <w:rPr>
          <w:rFonts w:ascii="Times New Roman;sans-serif" w:hAnsi="Times New Roman;sans-serif"/>
          <w:b w:val="false"/>
          <w:color w:val="000000"/>
          <w:sz w:val="24"/>
        </w:rPr>
        <w:t>, in reduction of Borrowers’ obligation to pay any unpaid interest and any fees then due and owing including, without limitation, any Prepayment Premium, if applicable; and</w:t>
      </w:r>
    </w:p>
    <w:p>
      <w:pPr>
        <w:pStyle w:val="TextBody"/>
        <w:bidi w:val="0"/>
        <w:spacing w:lineRule="auto" w:line="280" w:before="280" w:after="283"/>
        <w:ind w:left="0" w:right="0" w:hanging="720"/>
        <w:jc w:val="both"/>
        <w:rPr/>
      </w:pPr>
      <w:r>
        <w:rPr>
          <w:color w:val="000000"/>
        </w:rPr>
        <w:t>            </w:t>
      </w:r>
      <w:r>
        <w:rPr>
          <w:rFonts w:ascii="Times New Roman;sans-serif" w:hAnsi="Times New Roman;sans-serif"/>
          <w:b w:val="false"/>
          <w:color w:val="000000"/>
          <w:sz w:val="24"/>
        </w:rPr>
        <w:t>(ii)    </w:t>
      </w:r>
      <w:r>
        <w:rPr>
          <w:rFonts w:ascii="Times New Roman;sans-serif" w:hAnsi="Times New Roman;sans-serif"/>
          <w:b w:val="false"/>
          <w:i/>
          <w:color w:val="000000"/>
          <w:sz w:val="24"/>
        </w:rPr>
        <w:t>second</w:t>
      </w:r>
      <w:r>
        <w:rPr>
          <w:rFonts w:ascii="Times New Roman;sans-serif" w:hAnsi="Times New Roman;sans-serif"/>
          <w:b w:val="false"/>
          <w:color w:val="000000"/>
          <w:sz w:val="24"/>
        </w:rPr>
        <w:t>, to the payment of unpaid principal of the Term Loans on a pro rata basis.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Application of Payments During an Event of Default</w:t>
      </w:r>
      <w:r>
        <w:rPr>
          <w:rFonts w:ascii="Times New Roman;sans-serif" w:hAnsi="Times New Roman;sans-serif"/>
          <w:b w:val="false"/>
          <w:color w:val="000000"/>
          <w:sz w:val="24"/>
        </w:rPr>
        <w:t>. If an Event of Default has occurred and is continuing, each payment under this Agreement or any other Loan Document shall be applied in the following order of priority, with proceeds being applied to a succeeding level of priority only if amounts owing pursuant to the immediately preceding level of priority have been paid in full in cash:</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i/>
          <w:color w:val="000000"/>
          <w:sz w:val="24"/>
        </w:rPr>
        <w:t>first</w:t>
      </w:r>
      <w:r>
        <w:rPr>
          <w:rFonts w:ascii="Times New Roman;sans-serif" w:hAnsi="Times New Roman;sans-serif"/>
          <w:b w:val="false"/>
          <w:color w:val="000000"/>
          <w:sz w:val="24"/>
        </w:rPr>
        <w:t>, to the payment of any unpaid costs and expenses referred to in Section 13.03(a) then due and owing;</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i/>
          <w:color w:val="000000"/>
          <w:sz w:val="24"/>
        </w:rPr>
        <w:t>second</w:t>
      </w:r>
      <w:r>
        <w:rPr>
          <w:rFonts w:ascii="Times New Roman;sans-serif" w:hAnsi="Times New Roman;sans-serif"/>
          <w:b w:val="false"/>
          <w:color w:val="000000"/>
          <w:sz w:val="24"/>
        </w:rPr>
        <w:t>, in reduction of Borrowers’ obligation to pay any unpaid interest and any fees then due and owing including, without limitation, (A) interest payable pursuant to Section 3.02(d) and (B) any Prepayment Premium, if applicable;</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i/>
          <w:color w:val="000000"/>
          <w:sz w:val="24"/>
        </w:rPr>
        <w:t>third</w:t>
      </w:r>
      <w:r>
        <w:rPr>
          <w:rFonts w:ascii="Times New Roman;sans-serif" w:hAnsi="Times New Roman;sans-serif"/>
          <w:b w:val="false"/>
          <w:color w:val="000000"/>
          <w:sz w:val="24"/>
        </w:rPr>
        <w:t>, to the payment of unpaid principal of the Term Loans on a pro rata basis;</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i/>
          <w:color w:val="000000"/>
          <w:sz w:val="24"/>
        </w:rPr>
        <w:t>fourth</w:t>
      </w:r>
      <w:r>
        <w:rPr>
          <w:rFonts w:ascii="Times New Roman;sans-serif" w:hAnsi="Times New Roman;sans-serif"/>
          <w:b w:val="false"/>
          <w:color w:val="000000"/>
          <w:sz w:val="24"/>
        </w:rPr>
        <w:t>, in reduction of Borrowers’ obligation to pay any Claims or Losses referred to in Section 13.03(b) then due and owing;</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w:t>
      </w:r>
      <w:r>
        <w:rPr>
          <w:color w:val="000000"/>
        </w:rPr>
        <w:t xml:space="preserve">     </w:t>
      </w:r>
      <w:r>
        <w:rPr>
          <w:rFonts w:ascii="Times New Roman;sans-serif" w:hAnsi="Times New Roman;sans-serif"/>
          <w:b w:val="false"/>
          <w:i/>
          <w:color w:val="000000"/>
          <w:sz w:val="24"/>
        </w:rPr>
        <w:t>fifth</w:t>
      </w:r>
      <w:r>
        <w:rPr>
          <w:rFonts w:ascii="Times New Roman;sans-serif" w:hAnsi="Times New Roman;sans-serif"/>
          <w:b w:val="false"/>
          <w:color w:val="000000"/>
          <w:sz w:val="24"/>
        </w:rPr>
        <w:t>, in reduction of any other Obligation then due and owing; and</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i/>
          <w:color w:val="000000"/>
          <w:sz w:val="24"/>
        </w:rPr>
        <w:t>sixth</w:t>
      </w:r>
      <w:r>
        <w:rPr>
          <w:rFonts w:ascii="Times New Roman;sans-serif" w:hAnsi="Times New Roman;sans-serif"/>
          <w:b w:val="false"/>
          <w:color w:val="000000"/>
          <w:sz w:val="24"/>
        </w:rPr>
        <w:t>, to Borrowers or such other Persons as may lawfully be entitled to or directed by Borrowers to receive the remainder.</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directed by the Majority Lenders, all payments of principal, interest and fees under this Agreement and the other Loan Documents shall be made by the Obligors to the Lenders pro rata in accordance with the Lenders’ respective Proportionate Shares of such payments.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i/>
          <w:color w:val="000000"/>
          <w:sz w:val="24"/>
        </w:rPr>
        <w:t>Non-Business Days.</w:t>
      </w:r>
      <w:r>
        <w:rPr>
          <w:color w:val="000000"/>
        </w:rPr>
        <w:t xml:space="preserve"> </w:t>
      </w:r>
      <w:r>
        <w:rPr>
          <w:rFonts w:ascii="Times New Roman;sans-serif" w:hAnsi="Times New Roman;sans-serif"/>
          <w:b w:val="false"/>
          <w:color w:val="000000"/>
          <w:sz w:val="24"/>
        </w:rPr>
        <w:t>If the due date of any payment under this Agreement (whether in respect of principal, interest, fees, costs or otherwise) would otherwise fall on a day that is not a Business Day, such date shall be extended to the next succeeding Business Day, and, in the case of any payment accruing interest, interest thereon shall be payable for the period of such extension.</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1"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-43-</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4.02.    Computations.</w:t>
      </w:r>
      <w:r>
        <w:rPr>
          <w:color w:val="000000"/>
        </w:rPr>
        <w:t xml:space="preserve"> </w:t>
      </w:r>
      <w:r>
        <w:rPr>
          <w:rFonts w:ascii="Times New Roman;sans-serif" w:hAnsi="Times New Roman;sans-serif"/>
          <w:b w:val="false"/>
          <w:color w:val="000000"/>
          <w:sz w:val="24"/>
        </w:rPr>
        <w:t>All computations of interest and fees hereunder shall be computed on the basis of a year of 360 days and actual days elapsed during the period for which payable.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4.03.    Notices.</w:t>
      </w:r>
      <w:r>
        <w:rPr>
          <w:color w:val="000000"/>
        </w:rPr>
        <w:t xml:space="preserve"> </w:t>
      </w:r>
      <w:r>
        <w:rPr>
          <w:rFonts w:ascii="Times New Roman;sans-serif" w:hAnsi="Times New Roman;sans-serif"/>
          <w:b w:val="false"/>
          <w:color w:val="000000"/>
          <w:sz w:val="24"/>
        </w:rPr>
        <w:t>Each notice of optional prepayment shall be effective only if received by the Lenders not later than 4:00 p.m. (New York City time) on the date three (3) Business Days prior to the date of prepayment. Each notice of optional prepayment shall specify the amount to be prepaid and the date of prepayment.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4.04.    Set-Off</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i/>
          <w:color w:val="000000"/>
          <w:sz w:val="24"/>
        </w:rPr>
        <w:t>Set-Off Generally.</w:t>
      </w:r>
      <w:r>
        <w:rPr>
          <w:color w:val="000000"/>
        </w:rPr>
        <w:t xml:space="preserve"> </w:t>
      </w:r>
      <w:r>
        <w:rPr>
          <w:rFonts w:ascii="Times New Roman;sans-serif" w:hAnsi="Times New Roman;sans-serif"/>
          <w:b w:val="false"/>
          <w:color w:val="000000"/>
          <w:sz w:val="24"/>
        </w:rPr>
        <w:t xml:space="preserve">Upon the occurrence and during the continuance of any Event of Default, the Administrative Agent, the Lenders and each of their respective Affiliates are hereby authorized at any time and from time to time, to the fullest extent permitted by Law, to set off and apply any and all deposits (general or special, time or demand, provisional or final) at any time held and other Indebtedness at any time owing by the Lenders or such Affiliates to or for the credit or the account of any Obligor against any and all of the Obligations, whether or not the Lenders shall have made any demand and although such Obligations may be unmatured. The Lenders agree promptly to notify Administrative Borrower after any such set-off and application,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failure to give such notice shall not affect the validity of such set-off and application. The rights of the Lenders and their respective Affiliates under this Section 4.04 are in addition to other rights and remedies (including other rights of set-off) that the Lenders and their respective Affiliates may have.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Exercise of Rights Not Required.</w:t>
      </w:r>
      <w:r>
        <w:rPr>
          <w:color w:val="000000"/>
        </w:rPr>
        <w:t xml:space="preserve"> </w:t>
      </w:r>
      <w:r>
        <w:rPr>
          <w:rFonts w:ascii="Times New Roman;sans-serif" w:hAnsi="Times New Roman;sans-serif"/>
          <w:b w:val="false"/>
          <w:color w:val="000000"/>
          <w:sz w:val="24"/>
        </w:rPr>
        <w:t>Nothing contained herein shall require the Administrative Agent, the Lenders or any of their respective Affiliates to exercise any such right or shall affect the right of such Persons to exercise, and retain the benefits of exercising, any such right with respect to any other Indebtedness or obligation of any Obligor.</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5</w:t>
        <w:br/>
        <w:br/>
        <w:t>Yield Protection, Etc.</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5.01.    Additional Costs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Change in Requirements of Law Generally.</w:t>
      </w:r>
      <w:r>
        <w:rPr>
          <w:color w:val="000000"/>
        </w:rPr>
        <w:t xml:space="preserve"> </w:t>
      </w:r>
      <w:r>
        <w:rPr>
          <w:rFonts w:ascii="Times New Roman;sans-serif" w:hAnsi="Times New Roman;sans-serif"/>
          <w:b w:val="false"/>
          <w:color w:val="000000"/>
          <w:sz w:val="24"/>
        </w:rPr>
        <w:t xml:space="preserve">If, on or after the date hereof (or, with respect to any Lender that becomes a party hereto, such later date on which such Lender comes party to this Agreement), the adoption of any Requirement of Law, or any change in any Requirement of Law, or any change in the interpretation or administration thereof by any court or other Governmental Authority charged with the interpretation or administration thereof, or compliance by any Lender (or its lending office) with any request or directive (whether or not having the force of law) of any such Governmental Authority, shall impose, modify or deem applicable any reserve (including any such requirement imposed by the Board of Governors of the Federal 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2"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-44-</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System), special deposit, contribution, insurance assessment or similar requirement, in each case that becomes effective after the date hereof (or, with respect to any Lender that becomes a party hereto, such later date on which such Lender comes party to this Agreement), against assets of, deposits with or for the account of, or credit extended by, a Lender (or its lending office) or shall impose on a Lender (or its lending office) any other condition affecting the Term Loans or the Commitments, not as a result of any action or inaction on the part of such Lender, and the result of any of the foregoing is to increase the cost to any Lender of making or maintaining its portion of the Term Loans, or to reduce the amount of any sum received or receivable by any Lender under this Agreement or any other Loan Document, by an amount reasonably deemed by such Lender in good faith to be material (other than (i) Indemnified Taxes, (ii) Taxes described in clauses (b) through (d) of the definition of </w:t>
      </w:r>
      <w:r>
        <w:rPr>
          <w:color w:val="000000"/>
        </w:rPr>
        <w:t>“</w:t>
      </w:r>
      <w:r>
        <w:rPr>
          <w:rFonts w:ascii="Times New Roman;sans-serif" w:hAnsi="Times New Roman;sans-serif"/>
          <w:b w:val="false"/>
          <w:i/>
          <w:color w:val="000000"/>
          <w:sz w:val="24"/>
        </w:rPr>
        <w:t>Excluded Taxes”</w:t>
      </w:r>
      <w:r>
        <w:rPr>
          <w:color w:val="000000"/>
        </w:rPr>
        <w:t xml:space="preserve"> </w:t>
      </w:r>
      <w:r>
        <w:rPr>
          <w:rFonts w:ascii="Times New Roman;sans-serif" w:hAnsi="Times New Roman;sans-serif"/>
          <w:b w:val="false"/>
          <w:color w:val="000000"/>
          <w:sz w:val="24"/>
        </w:rPr>
        <w:t>and (iii) Connection Income Taxes), then Obligors shall promptly pay to such Lender on demand such additional amount or amounts as will compensate such Lender for such increased cost or reduction.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constitute a change in Requirements of Law for all purposes of this Section 5.01, regardless of the date enacted, adopted or issued.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Change in Capital Requirements.</w:t>
      </w:r>
      <w:r>
        <w:rPr>
          <w:color w:val="000000"/>
        </w:rPr>
        <w:t xml:space="preserve"> </w:t>
      </w:r>
      <w:r>
        <w:rPr>
          <w:rFonts w:ascii="Times New Roman;sans-serif" w:hAnsi="Times New Roman;sans-serif"/>
          <w:b w:val="false"/>
          <w:color w:val="000000"/>
          <w:sz w:val="24"/>
        </w:rPr>
        <w:t>If a Lender shall have determined that, on or after the date hereof (or, with respect to any Lender that becomes a party hereto, such later date on which such Lender comes party to this Agreement), the adoption of any Requirement of Law regarding capital adequacy, or any change therein, or any change in the interpretation or administration thereof by any Governmental Authority charged with the interpretation or administration thereof, or any request or directive regarding capital adequacy (whether or not having the force of law) of any such Governmental Authority, in each case that becomes effective after the date hereof (or, with respect to any Lender that becomes a party hereto, such later date on which such Lender comes party to this Agreement), has or would have the effect of reducing the rate of return on capital of a Lender (or its parent) as a consequence of a Lender’s obligations hereunder or the Term Loans to a level below that which a Lender (or its parent) would have achieved but for such adoption, change, request or directive by an amount reasonably deemed by it to be material, then Obligors shall promptly pay to such Lender on demand such additional amount or amounts as will compensate such Lender (or its parent) for such reduction.</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Notification by Lender.</w:t>
      </w:r>
      <w:r>
        <w:rPr>
          <w:color w:val="000000"/>
        </w:rPr>
        <w:t xml:space="preserve"> </w:t>
      </w:r>
      <w:r>
        <w:rPr>
          <w:rFonts w:ascii="Times New Roman;sans-serif" w:hAnsi="Times New Roman;sans-serif"/>
          <w:b w:val="false"/>
          <w:color w:val="000000"/>
          <w:sz w:val="24"/>
        </w:rPr>
        <w:t xml:space="preserve">The Lenders will promptly notify Administrative Borrower of any event of which it has knowledge, occurring after the date hereof (or, with respect to any Lender that becomes a party hereto, such later date on which such Lender comes party to this Agreement), which will entitle a Lender to compensation pursuant to this Section 5.01. Before giving any such notice pursuant to this Section 5.01(c) such Lender shall designate a different lending office if such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3"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designation (i) will, in the reasonable judgment of such Lender, avoid the need for, or reduce the amount of, such compensation and (ii) will not, in the reasonable judgment of such Lender, be materially disadvantageous to such Lender. A certificate of the Lender claiming compensation under this Section 5.01, setting forth in reasonable detail, the computation of the additional amount or amounts to be paid to it hereunder, shall be conclusive and binding on Obligors in the absence of manifest error.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5.02.    Illegality.</w:t>
      </w:r>
      <w:r>
        <w:rPr>
          <w:color w:val="000000"/>
        </w:rPr>
        <w:t xml:space="preserve"> </w:t>
      </w:r>
      <w:r>
        <w:rPr>
          <w:rFonts w:ascii="Times New Roman;sans-serif" w:hAnsi="Times New Roman;sans-serif"/>
          <w:b w:val="false"/>
          <w:color w:val="000000"/>
          <w:sz w:val="24"/>
        </w:rPr>
        <w:t>Notwithstanding any other provision of this Agreement, in the event that on or after the date hereof (or, with respect to any Lender that becomes a party hereto, such later date on which such Lender comes party to this Agreement) the adoption of or any change in any Requirement of Law or in the interpretation or application thereof by any competent Governmental Authority shall make it unlawful for a Lender or its lending office to make or maintain the Term Loans (and, in the reasonable opinion of such Lender, the designation of a different lending office would either not avoid such unlawfulness or would be disadvantageous to such Lender), then such Lender shall promptly notify Administrative Borrower thereof following which (a) the Lender’s Commitment shall be suspended until such time as such Lender may again make and maintain the Term Loans hereunder and (b) if such Requirement of Law shall so mandate, the Term Loans shall be prepaid by Obligors on or before such date as shall be mandated by such Requirement of Law in an amount equal to the Redemption Price applicable on the date of such prepayment in accordance with Section 3.03(a).</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5.03.    Taxes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Payments Free of Taxes.</w:t>
      </w:r>
      <w:r>
        <w:rPr>
          <w:color w:val="000000"/>
        </w:rPr>
        <w:t xml:space="preserve"> </w:t>
      </w:r>
      <w:r>
        <w:rPr>
          <w:rFonts w:ascii="Times New Roman;sans-serif" w:hAnsi="Times New Roman;sans-serif"/>
          <w:b w:val="false"/>
          <w:color w:val="000000"/>
          <w:sz w:val="24"/>
        </w:rPr>
        <w:t>Any and all payments by or on account of any Obligation shall be made without deduction or withholding for any Taxes, except as required by applicable Law. If any applicable Law (as determined in the good faith discretion of the Administrative Agent) requires the deduction or withholding of any Tax from any such payment by an Obligor, then such Obligor shall be entitled to make such deduction or withholding and shall timely pay the full amount deducted or withheld to the relevant Governmental Authority in accordance with applicable Law and, if such Tax is an Indemnified Tax, then the sum payable by such Obligor shall be increased as necessary so that after such deduction or withholding for Indemnified Taxes has been made (including such deductions and withholdings for Indemnified Taxes applicable to additional sums payable under this Section 5.03) the applicable Recipient receives an amount equal to the sum it would have received had no such deduction or withholding for Indemnified Taxes been made. For purposes of this Section 5.03, the term “applicable Law” includes FATCA.</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 xml:space="preserve">Payment of Other Taxes by Obligors. </w:t>
      </w:r>
      <w:r>
        <w:rPr>
          <w:rFonts w:ascii="Times New Roman;sans-serif" w:hAnsi="Times New Roman;sans-serif"/>
          <w:b w:val="false"/>
          <w:color w:val="000000"/>
          <w:sz w:val="24"/>
        </w:rPr>
        <w:t>Obligors shall timely pay to the relevant Governmental Authority in accordance with applicable Law, or at the option of the Administrative Agent, timely reimburse it for, Other Taxes.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Evidence of Payments.</w:t>
      </w:r>
      <w:r>
        <w:rPr>
          <w:color w:val="000000"/>
        </w:rPr>
        <w:t xml:space="preserve"> </w:t>
      </w:r>
      <w:r>
        <w:rPr>
          <w:rFonts w:ascii="Times New Roman;sans-serif" w:hAnsi="Times New Roman;sans-serif"/>
          <w:b w:val="false"/>
          <w:color w:val="000000"/>
          <w:sz w:val="24"/>
        </w:rPr>
        <w:t xml:space="preserve">As soon as practicable after any payment of Taxes by Obligors to a Governmental Authority, as a withholding Tax pursuant to this Section 5.03, Administrative Borrower shall deliver to the Administrative Agent the original or a certified copy of a receipt issued by such Governmental Authority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4"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-46-</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evidencing such payment, or a copy of the return reporting such payment or other evidence of such payment reasonably satisfactory to the Administrative Agent.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i/>
          <w:color w:val="000000"/>
          <w:sz w:val="24"/>
        </w:rPr>
        <w:t xml:space="preserve">Indemnification. </w:t>
      </w:r>
      <w:r>
        <w:rPr>
          <w:rFonts w:ascii="Times New Roman;sans-serif" w:hAnsi="Times New Roman;sans-serif"/>
          <w:b w:val="false"/>
          <w:color w:val="000000"/>
          <w:sz w:val="24"/>
        </w:rPr>
        <w:t>Obligors shall reimburse and indemnify each Recipient, within ten (10) days after demand therefor, for the full amount of any Indemnified Taxes (including Indemnified Taxes imposed or asserted on or attributable to amounts payable under this Section 5.03) payable or paid by such Recipient or required to be withheld or deducted from a payment to such Recipient and any reasonable expenses arising therefrom or with respect thereto (including, but not limited to, any costs arising from a dispute with the relevant Government Authority in respect of such Indemnified Taxes), whether or not such Indemnified Taxes were correctly or legally imposed or asserted by the relevant Governmental Authority. A certificate as to the amount of such payment or liability delivered to Administrative Borrower by a Lender (with a copy to the Administrative Agent), or by the Administrative Agent on its own behalf or on behalf of a Lender, shall be conclusive absent manifest error.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i/>
          <w:color w:val="000000"/>
          <w:sz w:val="24"/>
        </w:rPr>
        <w:t xml:space="preserve">Indemnification by the Lenders. </w:t>
      </w:r>
      <w:r>
        <w:rPr>
          <w:rFonts w:ascii="Times New Roman;sans-serif" w:hAnsi="Times New Roman;sans-serif"/>
          <w:b w:val="false"/>
          <w:color w:val="000000"/>
          <w:sz w:val="24"/>
        </w:rPr>
        <w:t>Each Lender shall severally indemnify the Administrative Agent, within ten (10) days after demand therefor, for (i) any Indemnified Taxes attributable to such Lender (but only to the extent that Obligors have not already indemnified the Administrative Agent for such Indemnified Taxes and without limiting the obligation of Obligors to do so), and (ii) any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paragraph (e).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i/>
          <w:color w:val="000000"/>
          <w:sz w:val="24"/>
        </w:rPr>
        <w:t>Status of Lenders.</w:t>
      </w:r>
      <w:r>
        <w:rPr>
          <w:color w:val="000000"/>
        </w:rPr>
        <w:t xml:space="preserve">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Any Lender that is entitled to an exemption from, or reduction of withholding Tax with respect to payments made under any Loan Document shall deliver to Administrative Borrower and the Administrative Agent, at the time or times reasonably requested by Administrative Borrower or the Administrative Agent, such properly completed and executed documentation reasonably requested by Administrative Borrower or the Administrative Agent as will permit such payments to be made without withholding or at a reduced rate of withholding. In addition, any Lender, if reasonably requested by Borrowers or the Administrative Agent, shall deliver such other documentation prescribed by applicable Law or as reasonably requested by Administrative Borrower or the Administrative Agent as will enable Administrative Borrower or the Administrative Agent to determine whether or not such Lender is subject to </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5"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backup withholding or information reporting requirements. Notwithstanding anything to the contrary in the preceding two sentences, the completion, execution and submission of such documentation (other than such documentation set forth in Section 5.03(f)(ii)(A), (B) or (D))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w:t>
      </w:r>
      <w:r>
        <w:rPr>
          <w:rFonts w:ascii="Times New Roman;sans-serif" w:hAnsi="Times New Roman;sans-serif"/>
          <w:b w:val="false"/>
          <w:color w:val="000000"/>
          <w:sz w:val="24"/>
        </w:rPr>
        <w:t>Without limiting the generality of the foregoing:</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(A)any Lender that is a U.S. Person shall deliver to Administrative Borrower and the Administrative Agent on or prior to the date on which such Lender becomes a Lender under this Agreement (and from time to time thereafter upon the reasonable request of Administrative Borrower or the Administrative Agent), duly completed, valid, executed copies of IRS Form W-9 (or successor form) certifying that such Lender is exempt from U.S. Federal backup withholding Tax;</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(B)any Foreign Lender shall, to the extent it is legally entitled to do so, deliver to Administrative Borrower and the Administrative Agent (in such number of copies as shall be requested by the Recipient) on or prior to the date on which such Foreign Lender becomes a Lender under this Agreement (and from time to time thereafter upon the reasonable request of Administrative Borrower or the Administrative Agent), whichever of the following is applicable:</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(1)in the case of a Foreign Lender claiming the benefits of an income Tax treaty to which the United States is a party (x) with respect to payments of interest under any Loan Document, duly completed, valid executed copies of IRS Form W-8BEN (or successor form) or IRS Form W-8BEN-E (or successor form) establishing an exemption from, or reduction of, U.S. Federal withholding Tax pursuant to the “interest” article of such Tax treaty and (y) with respect to any other applicable payments under any Loan Document, duly completed, valid, executed originals of IRS Form W-8BEN (or successor form) or IRS Form W-8BEN-E (or successor form) establishing an exemption from, or reduction of, U.S. Federal withholding Tax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96"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-48-</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the “business profits” or “other income” article of such Tax treaty;</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(2)duly completed, valid, executed copies of IRS Form W-8ECI (or successor form);</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 xml:space="preserve">(3)in the case of a Foreign Lender claiming the benefits of the exemption for portfolio interest under Section 881(c) of the Code, (x) a certificate substantially in the form of Exhibit D to the effect that such Foreign Lender is not a “bank” within the meaning of Section 881(c)(3)(A) of the Code, a “10 percent shareholder” of Obligors within the meaning of Section 881(c)(3)(B) of the Code, or a “controlled foreign corporation” described in Section 881(c)(3)(C) of the Code (a </w:t>
      </w:r>
      <w:r>
        <w:rPr>
          <w:color w:val="000000"/>
        </w:rPr>
        <w:t>“</w:t>
      </w:r>
      <w:r>
        <w:rPr>
          <w:rFonts w:ascii="Times New Roman;sans-serif" w:hAnsi="Times New Roman;sans-serif"/>
          <w:b w:val="false"/>
          <w:i/>
          <w:color w:val="000000"/>
          <w:sz w:val="24"/>
        </w:rPr>
        <w:t>U.S. Tax Compliance Certificate”</w:t>
      </w:r>
      <w:r>
        <w:rPr>
          <w:rFonts w:ascii="Times New Roman;sans-serif" w:hAnsi="Times New Roman;sans-serif"/>
          <w:b w:val="false"/>
          <w:color w:val="000000"/>
          <w:sz w:val="24"/>
        </w:rPr>
        <w:t>) and (y) executed copies of IRS Form W-8BEN (or successor form) or IRS Form W-8BEN-E (or successor form); or</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 xml:space="preserve">(4)to the extent a Foreign Lender is not the beneficial owner, duly completed, valid, executed copies of IRS Form W-8IMY (or successor form), accompanied by IRS Form W-8ECI (or successor form), IRS Form W-8BEN (or successor form), IRS Form W-8BEN-E (or successor form), a U.S. Tax Compliance Certificate, IRS Form W-9 (or successor form), and/or other certification documents from each beneficial owner, as applicable;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the Foreign Lender is a partnership and one or more direct or indirect partners of such Foreign Lender are claiming the portfolio interest exemption, such Foreign Lender may provide a U.S. Tax Compliance Certificate on behalf of each such direct and indirect partner;</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(C)any Foreign Lender shall, to the extent it is legally entitled to do so, deliver to Administrative Borrower and the Administrative Agent (in such number of copies as shall be requested by the Recipient) on or prior to the date on which such Foreign Lender becomes a Lender under this Agreement (and from time to time thereafter upon the reasonable request of Administrative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Administrative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97"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-49-</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the Administrative Agent to determine the withholding or deduction required to be made; and</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Administrative Borrower and the Administrative Agent at the time or times prescribed by Law and at such time or times reasonably requested by Administrative Borrower or the Administrative Agent such documentation prescribed by applicable Law (including as prescribed by Section 1471(b)(3)(C)(i) of the Code) and such additional documentation reasonably requested by Administrative Borrower or the Administrative Agent as may be necessary for Obligors or the Administrative Agent to comply with its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Each Recipient agrees that if any form or certification it previously delivered expires or becomes obsolete or inaccurate in any respect, it shall promptly update such form or certification or promptly notify Administrative Borrower and the Administrative Agent in writing of its legal inability to do so.</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i/>
          <w:color w:val="000000"/>
          <w:sz w:val="24"/>
        </w:rPr>
        <w:t>Treatment of Certain Refunds.</w:t>
      </w:r>
      <w:r>
        <w:rPr>
          <w:color w:val="000000"/>
        </w:rPr>
        <w:t xml:space="preserve"> </w:t>
      </w:r>
      <w:r>
        <w:rPr>
          <w:rFonts w:ascii="Times New Roman;sans-serif" w:hAnsi="Times New Roman;sans-serif"/>
          <w:b w:val="false"/>
          <w:color w:val="000000"/>
          <w:sz w:val="24"/>
        </w:rPr>
        <w:t xml:space="preserve">If any party to this Agreement determines, in its reasonable discretion exercised in good faith, that it has received a refund of any Taxes as to which it has been indemnified pursuant to this Section 5.03 (including by the payment of additional amounts pursuant to this Section 5.03), it shall pay to the indemnifying party an amount equal to such refund (but only to the extent of indemnity payments made under this Section 5.03 with respect to the Taxes giving rise to such refund), net of all out-of-pocket expenses (including Taxes) of such indemnified party and without interest (other than any interest paid by the relevant Governmental Authority with respect to such refund). Such indemnifying party, upon the written request of such indemnified party, shall repay to such indemnified party the amount paid over pursuant to this paragraph (plus any penalties, interest or other charges imposed by the relevant Governmental Authority) in the event that such indemnified party is required to repay such refund to such Governmental Authority. Notwithstanding anything to the contrary in this Section 5.03(g), in no event will the indemnified party be required to pay any amount to an indemnifying party pursuant to this Section 5.03(g)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giving rise to such refund had never been paid. This Section 5.03(g) shall not be construed to require any indemnified party to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98"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-50-</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make available its Tax returns (or any other information relating to its Taxes that it deems confidential) to the indemnifying party or any other Person.</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i/>
          <w:color w:val="000000"/>
          <w:sz w:val="24"/>
        </w:rPr>
        <w:t>Mitigation Obligations.</w:t>
      </w:r>
      <w:r>
        <w:rPr>
          <w:color w:val="000000"/>
        </w:rPr>
        <w:t xml:space="preserve"> </w:t>
      </w:r>
      <w:r>
        <w:rPr>
          <w:rFonts w:ascii="Times New Roman;sans-serif" w:hAnsi="Times New Roman;sans-serif"/>
          <w:b w:val="false"/>
          <w:color w:val="000000"/>
          <w:sz w:val="24"/>
        </w:rPr>
        <w:t>If Obligors are required to pay any Indemnified Taxes or additional amounts to any Lender or to any Governmental Authority for the account of any Lender pursuant to Section 5.01 or this Section 5.03, then such Lender shall (at the request of Borrowers) use commercially reasonable efforts to designate a different lending office for funding or booking its Term Loans hereunder or to assign and delegate its rights and obligations hereunder to another of its offices, branches or Affiliates if, in the sole reasonable judgment of such Lender, such designation or assignment and delegation would (i) eliminate or reduce amounts payable pursuant to Section 5.01 or this Section 5.03, as the case may be, in the future, (ii) not subject such Lender to any unreimbursed cost or expense and (iii) not otherwise be disadvantageous to such Lender. Each Borrower hereby agrees to pay all reasonable out-of-pocket costs and expenses incurred by any Lender in connection with any such designation or assignment and delegation.</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i/>
          <w:color w:val="000000"/>
          <w:sz w:val="24"/>
        </w:rPr>
        <w:t>Survival</w:t>
      </w:r>
      <w:r>
        <w:rPr>
          <w:rFonts w:ascii="Times New Roman;sans-serif" w:hAnsi="Times New Roman;sans-serif"/>
          <w:b w:val="false"/>
          <w:color w:val="000000"/>
          <w:sz w:val="24"/>
        </w:rPr>
        <w:t>. Each party’s obligations under this Article 5 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5.04.    Delay in Requests</w:t>
      </w:r>
      <w:r>
        <w:rPr>
          <w:rFonts w:ascii="Times New Roman;sans-serif" w:hAnsi="Times New Roman;sans-serif"/>
          <w:b w:val="false"/>
          <w:color w:val="000000"/>
          <w:sz w:val="24"/>
        </w:rPr>
        <w:t xml:space="preserve">. Failure or delay on the part of any Lender to demand compensation pursuant to this Article 5 shall not constitute a waiver of such Lender’s right to demand such compensation;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Obligors shall not be required to compensate a Lender pursuant to this Article 5 for any increased costs incurred or reductions suffered more than nine (9) months prior to the date that such Lender notifies Administrative Borrower of the change in Law giving rise to such increased costs or reductions, and of such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6</w:t>
        <w:br/>
        <w:br/>
        <w:t>Conditions Precedent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6.01.    Conditions to Tranche A Term Loan; Closing Date.</w:t>
      </w:r>
      <w:r>
        <w:rPr>
          <w:color w:val="000000"/>
        </w:rPr>
        <w:t xml:space="preserve"> </w:t>
      </w:r>
      <w:r>
        <w:rPr>
          <w:rFonts w:ascii="Times New Roman;sans-serif" w:hAnsi="Times New Roman;sans-serif"/>
          <w:b w:val="false"/>
          <w:color w:val="000000"/>
          <w:sz w:val="24"/>
        </w:rPr>
        <w:t>The obligation of each Lender to make the Tranche A Term Loan on the Closing Date shall not become effective until the following conditions precedent shall have been reasonably satisfied or waived in writing by the Administrative Agent (which satisfaction or waiver may be made simultaneously with the making of the Tranche A Term Loan hereunder):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i/>
          <w:color w:val="000000"/>
          <w:sz w:val="24"/>
        </w:rPr>
        <w:t>No Law Restraining Transactions.</w:t>
      </w:r>
      <w:r>
        <w:rPr>
          <w:color w:val="000000"/>
        </w:rPr>
        <w:t xml:space="preserve"> </w:t>
      </w:r>
      <w:r>
        <w:rPr>
          <w:rFonts w:ascii="Times New Roman;sans-serif" w:hAnsi="Times New Roman;sans-serif"/>
          <w:b w:val="false"/>
          <w:color w:val="000000"/>
          <w:sz w:val="24"/>
        </w:rPr>
        <w:t>No applicable Law or regulation shall restrain, prevent or, in the reasonable judgment of the Administrative Agent, impose materially adverse conditions upon the Transactions.</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99"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-51-</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Lien Searches.</w:t>
      </w:r>
      <w:r>
        <w:rPr>
          <w:color w:val="000000"/>
        </w:rPr>
        <w:t xml:space="preserve"> </w:t>
      </w:r>
      <w:r>
        <w:rPr>
          <w:rFonts w:ascii="Times New Roman;sans-serif" w:hAnsi="Times New Roman;sans-serif"/>
          <w:b w:val="false"/>
          <w:color w:val="000000"/>
          <w:sz w:val="24"/>
        </w:rPr>
        <w:t>The Administrative Agent shall be satisfied with Lien searches regarding the Obligors made prior to the Closing Date</w:t>
      </w:r>
      <w:r>
        <w:rPr>
          <w:rFonts w:ascii="Times New Roman;sans-serif" w:hAnsi="Times New Roman;sans-serif"/>
          <w:b w:val="false"/>
          <w:i/>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Documentary Deliveries.</w:t>
      </w:r>
      <w:r>
        <w:rPr>
          <w:color w:val="000000"/>
        </w:rPr>
        <w:t xml:space="preserve"> </w:t>
      </w:r>
      <w:r>
        <w:rPr>
          <w:rFonts w:ascii="Times New Roman;sans-serif" w:hAnsi="Times New Roman;sans-serif"/>
          <w:b w:val="false"/>
          <w:color w:val="000000"/>
          <w:sz w:val="24"/>
        </w:rPr>
        <w:t>The Administrative Agent shall have received the following documents, each of which shall be in form and substance reasonably satisfactory to the Administrative Agent:</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i/>
          <w:color w:val="000000"/>
          <w:sz w:val="24"/>
        </w:rPr>
        <w:t>Agreement.</w:t>
      </w:r>
      <w:r>
        <w:rPr>
          <w:color w:val="000000"/>
        </w:rPr>
        <w:t xml:space="preserve"> </w:t>
      </w:r>
      <w:r>
        <w:rPr>
          <w:rFonts w:ascii="Times New Roman;sans-serif" w:hAnsi="Times New Roman;sans-serif"/>
          <w:b w:val="false"/>
          <w:color w:val="000000"/>
          <w:sz w:val="24"/>
        </w:rPr>
        <w:t>This Agreement duly executed and delivered by the Obligors and each of the other parties hereto.</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i/>
          <w:color w:val="000000"/>
          <w:sz w:val="24"/>
        </w:rPr>
        <w:t>Security Documents.</w:t>
      </w:r>
      <w:r>
        <w:rPr>
          <w:color w:val="000000"/>
        </w:rPr>
        <w:t xml:space="preserve"> </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Security Agreement, each Short-Form IP Security Agreement and financing statements, each in form and substance reasonably satisfactory to the Administrative Agent and duly executed and delivered by each of the Obligors and the other parties thereto.</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Collateral Questionnaire, duly executed and delivered by a Responsible Officer of Holdings and each Borrower, substantially in the form of Exhibit I hereto and otherwise in form and substance reasonably satisfactory to the Administrative Agent.</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(C)Without limitation, all other documents and instruments reasonably required to perfect the Administrative Agent’s Lien on, and security interest in, the Collateral required to be delivered on or prior to the Closing Date shall have been duly executed and delivered and be in proper form for filing, and shall create in favor of the Administrative Agent, a perfected Lien on, and security interest in, the Collateral, subject to no Liens other than Permitted Liens.</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i/>
          <w:color w:val="000000"/>
          <w:sz w:val="24"/>
        </w:rPr>
        <w:t>Note.</w:t>
      </w:r>
      <w:r>
        <w:rPr>
          <w:color w:val="000000"/>
        </w:rPr>
        <w:t xml:space="preserve"> </w:t>
      </w:r>
      <w:r>
        <w:rPr>
          <w:rFonts w:ascii="Times New Roman;sans-serif" w:hAnsi="Times New Roman;sans-serif"/>
          <w:b w:val="false"/>
          <w:color w:val="000000"/>
          <w:sz w:val="24"/>
        </w:rPr>
        <w:t>Any Notes requested in accordance with Section 2.04.</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(iv)</w:t>
      </w:r>
      <w:r>
        <w:rPr>
          <w:color w:val="000000"/>
        </w:rPr>
        <w:t>    </w:t>
      </w:r>
      <w:r>
        <w:rPr>
          <w:rFonts w:ascii="Times New Roman;sans-serif" w:hAnsi="Times New Roman;sans-serif"/>
          <w:b w:val="false"/>
          <w:i/>
          <w:color w:val="000000"/>
          <w:sz w:val="24"/>
        </w:rPr>
        <w:t>Fee Letter</w:t>
      </w:r>
      <w:r>
        <w:rPr>
          <w:rFonts w:ascii="Times New Roman;sans-serif" w:hAnsi="Times New Roman;sans-serif"/>
          <w:b w:val="false"/>
          <w:color w:val="000000"/>
          <w:sz w:val="24"/>
        </w:rPr>
        <w:t xml:space="preserve">. The Fee Letter duly executed and delivered by the Obligors, the Lenders and the Administrative Agent. </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w:t>
      </w:r>
      <w:r>
        <w:rPr>
          <w:color w:val="000000"/>
        </w:rPr>
        <w:t>    </w:t>
      </w:r>
      <w:r>
        <w:rPr>
          <w:rFonts w:ascii="Times New Roman;sans-serif" w:hAnsi="Times New Roman;sans-serif"/>
          <w:b w:val="false"/>
          <w:i/>
          <w:color w:val="000000"/>
          <w:sz w:val="24"/>
        </w:rPr>
        <w:t>Organizational Documents.</w:t>
      </w:r>
      <w:r>
        <w:rPr>
          <w:color w:val="000000"/>
        </w:rPr>
        <w:t xml:space="preserve"> </w:t>
      </w:r>
      <w:r>
        <w:rPr>
          <w:rFonts w:ascii="Times New Roman;sans-serif" w:hAnsi="Times New Roman;sans-serif"/>
          <w:b w:val="false"/>
          <w:color w:val="000000"/>
          <w:sz w:val="24"/>
        </w:rPr>
        <w:t xml:space="preserve">(A) Certified copies of the Organizational Documents of each Obligor and of resolutions of the Board (or similar governing body) of each Obligor approving and authorizing the execution, delivery and performance of this Agreement and each of the other Loan Documents to which it is a party, certified as of the Closing Date by a Responsible Officer of such Obligor as being in full force and effect without modification or amendment; (B) a good standing certificate and/or compliance certificate from the applicable Governmental Authority of each Obligor’s (i) jurisdiction of incorporation or formation, as applicable, and (ii) in each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0"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jurisdiction in which it is qualified as a foreign corporation or other entity to do business (except where failure to be in good standing would not, either individually or in the aggregate, reasonably be expected to have a Material Adverse Effect), in each case, dated as of a recent date prior to the Closing Date; (C) the amended operating agreement for GeneDx, LLC in connection with the Liens created pursuant to the Security Documents; and (D) such other documents as the Administrative Agent may reasonably request.</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(vi)</w:t>
      </w:r>
      <w:r>
        <w:rPr>
          <w:rFonts w:ascii="Times New Roman;sans-serif" w:hAnsi="Times New Roman;sans-serif"/>
          <w:b w:val="false"/>
          <w:i/>
          <w:color w:val="000000"/>
          <w:sz w:val="24"/>
        </w:rPr>
        <w:t>Incumbency Certificate.</w:t>
      </w:r>
      <w:r>
        <w:rPr>
          <w:color w:val="000000"/>
        </w:rPr>
        <w:t xml:space="preserve"> </w:t>
      </w:r>
      <w:r>
        <w:rPr>
          <w:rFonts w:ascii="Times New Roman;sans-serif" w:hAnsi="Times New Roman;sans-serif"/>
          <w:b w:val="false"/>
          <w:color w:val="000000"/>
          <w:sz w:val="24"/>
        </w:rPr>
        <w:t>A certificate of each Obligor as to the authority, incumbency and specimen signatures of the persons who have executed the Loan Documents and any other documents in connection herewith on behalf of the Obligors.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(vii)</w:t>
      </w:r>
      <w:r>
        <w:rPr>
          <w:rFonts w:ascii="Times New Roman;sans-serif" w:hAnsi="Times New Roman;sans-serif"/>
          <w:b w:val="false"/>
          <w:i/>
          <w:color w:val="000000"/>
          <w:sz w:val="24"/>
        </w:rPr>
        <w:t>Officer’s Certificate.</w:t>
      </w:r>
      <w:r>
        <w:rPr>
          <w:color w:val="000000"/>
        </w:rPr>
        <w:t xml:space="preserve"> </w:t>
      </w:r>
      <w:r>
        <w:rPr>
          <w:rFonts w:ascii="Times New Roman;sans-serif" w:hAnsi="Times New Roman;sans-serif"/>
          <w:b w:val="false"/>
          <w:color w:val="000000"/>
          <w:sz w:val="24"/>
        </w:rPr>
        <w:t>A certificate, in form and substance reasonably satisfactory to the Administrative Agent, dated as of the Closing Date and signed by a Responsible Officer of each Obligor, confirming compliance with the conditions set forth in subsections (f) and (h) of this Section 6.01.</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(viii)</w:t>
      </w:r>
      <w:r>
        <w:rPr>
          <w:color w:val="000000"/>
        </w:rPr>
        <w:t xml:space="preserve"> </w:t>
      </w:r>
      <w:r>
        <w:rPr>
          <w:rFonts w:ascii="Times New Roman;sans-serif" w:hAnsi="Times New Roman;sans-serif"/>
          <w:b w:val="false"/>
          <w:i/>
          <w:color w:val="000000"/>
          <w:sz w:val="24"/>
        </w:rPr>
        <w:t>Opinion of Counsel.</w:t>
      </w:r>
      <w:r>
        <w:rPr>
          <w:color w:val="000000"/>
        </w:rPr>
        <w:t xml:space="preserve"> </w:t>
      </w:r>
      <w:r>
        <w:rPr>
          <w:rFonts w:ascii="Times New Roman;sans-serif" w:hAnsi="Times New Roman;sans-serif"/>
          <w:b w:val="false"/>
          <w:color w:val="000000"/>
          <w:sz w:val="24"/>
        </w:rPr>
        <w:t>A favorable opinion, dated as of the Closing Date, of Fenwick &amp; West LLP, counsel to each Obligor in form reasonably acceptable to the Administrative Agent and its counsel.</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(ix)</w:t>
      </w:r>
      <w:r>
        <w:rPr>
          <w:color w:val="000000"/>
        </w:rPr>
        <w:t xml:space="preserve">     </w:t>
      </w:r>
      <w:r>
        <w:rPr>
          <w:rFonts w:ascii="Times New Roman;sans-serif" w:hAnsi="Times New Roman;sans-serif"/>
          <w:b w:val="false"/>
          <w:i/>
          <w:color w:val="000000"/>
          <w:sz w:val="24"/>
        </w:rPr>
        <w:t>Evidence of Insurance.</w:t>
      </w:r>
      <w:r>
        <w:rPr>
          <w:color w:val="000000"/>
        </w:rPr>
        <w:t xml:space="preserve"> </w:t>
      </w:r>
      <w:r>
        <w:rPr>
          <w:rFonts w:ascii="Times New Roman;sans-serif" w:hAnsi="Times New Roman;sans-serif"/>
          <w:b w:val="false"/>
          <w:color w:val="000000"/>
          <w:sz w:val="24"/>
        </w:rPr>
        <w:t>Certificates from each Obligor’s insurance broker or other evidence reasonably satisfactory to the Administrative Agent that all insurance required to be maintained pursuant to Section 8.05 is in full force and effect.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(x)</w:t>
      </w:r>
      <w:r>
        <w:rPr>
          <w:color w:val="000000"/>
        </w:rPr>
        <w:t xml:space="preserve">     </w:t>
      </w:r>
      <w:r>
        <w:rPr>
          <w:rFonts w:ascii="Times New Roman;sans-serif" w:hAnsi="Times New Roman;sans-serif"/>
          <w:b w:val="false"/>
          <w:i/>
          <w:color w:val="000000"/>
          <w:sz w:val="24"/>
        </w:rPr>
        <w:t>Borrowing Notice.</w:t>
      </w:r>
      <w:r>
        <w:rPr>
          <w:color w:val="000000"/>
        </w:rPr>
        <w:t xml:space="preserve"> </w:t>
      </w:r>
      <w:r>
        <w:rPr>
          <w:rFonts w:ascii="Times New Roman;sans-serif" w:hAnsi="Times New Roman;sans-serif"/>
          <w:b w:val="false"/>
          <w:color w:val="000000"/>
          <w:sz w:val="24"/>
        </w:rPr>
        <w:t xml:space="preserve">The Administrative Agent shall have received a Borrowing Notice in accordance with Section 2.01(a)(ii) duly executed and delivered by a Responsible Officer of Administrative Borrower, in form and substance reasonably satisfactory to the Administrative Agent.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(xi)</w:t>
      </w:r>
      <w:r>
        <w:rPr>
          <w:rFonts w:ascii="Times New Roman;sans-serif" w:hAnsi="Times New Roman;sans-serif"/>
          <w:b w:val="false"/>
          <w:i/>
          <w:color w:val="000000"/>
          <w:sz w:val="24"/>
        </w:rPr>
        <w:t>Warrant Certificate</w:t>
      </w:r>
      <w:r>
        <w:rPr>
          <w:rFonts w:ascii="Times New Roman;sans-serif" w:hAnsi="Times New Roman;sans-serif"/>
          <w:b w:val="false"/>
          <w:color w:val="000000"/>
          <w:sz w:val="24"/>
        </w:rPr>
        <w:t>. The Administrative Agent shall have received the executed Warrant Certificate, dated as of the Closing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w:t>
      </w:r>
      <w:r>
        <w:rPr>
          <w:rFonts w:ascii="Times New Roman;sans-serif" w:hAnsi="Times New Roman;sans-serif"/>
          <w:b w:val="false"/>
          <w:i/>
          <w:color w:val="000000"/>
          <w:sz w:val="24"/>
        </w:rPr>
        <w:t>Indebtedness.</w:t>
      </w:r>
      <w:r>
        <w:rPr>
          <w:color w:val="000000"/>
        </w:rPr>
        <w:t xml:space="preserve"> </w:t>
      </w:r>
      <w:r>
        <w:rPr>
          <w:rFonts w:ascii="Times New Roman;sans-serif" w:hAnsi="Times New Roman;sans-serif"/>
          <w:b w:val="false"/>
          <w:color w:val="000000"/>
          <w:sz w:val="24"/>
        </w:rPr>
        <w:t>As of the Closing Date, after giving effect to the Transactions, no Obligor shall have any Indebtedness other than the Obligations and Permitted Indebtedness. All commitments and obligations in respect of the Existing Credit Documents shall be terminated, all guarantees (if any) thereof discharged and released and all security therefor (if any) released, together with all fees and other amounts owing thereon, or documentation in form and substance reasonably satisfactory to the Administrative Agent to effect such release upon such repayment and termination shall have been delivered to the Administrative Agent.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i/>
          <w:color w:val="000000"/>
          <w:sz w:val="24"/>
        </w:rPr>
        <w:t>Closing Fees, Expenses, Etc.</w:t>
      </w:r>
      <w:r>
        <w:rPr>
          <w:color w:val="000000"/>
        </w:rPr>
        <w:t xml:space="preserve"> </w:t>
      </w:r>
      <w:r>
        <w:rPr>
          <w:rFonts w:ascii="Times New Roman;sans-serif" w:hAnsi="Times New Roman;sans-serif"/>
          <w:b w:val="false"/>
          <w:color w:val="000000"/>
          <w:sz w:val="24"/>
        </w:rPr>
        <w:t xml:space="preserve">The Lenders and their Affiliates shall have received for their own account, the Closing Fee and all reasonable and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1"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documented out-of-pocket fees costs and expenses due (including applicable attorney costs and the reasonable and documented out-of-pocket fees and expenses of any other advisors to the Lenders) and payable pursuant to Section 13.03, after deducting therefrom the Expense Deposit.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i/>
          <w:color w:val="000000"/>
          <w:sz w:val="24"/>
        </w:rPr>
        <w:t>Representations and Warranties</w:t>
      </w:r>
      <w:r>
        <w:rPr>
          <w:rFonts w:ascii="Times New Roman;sans-serif" w:hAnsi="Times New Roman;sans-serif"/>
          <w:b w:val="false"/>
          <w:color w:val="000000"/>
          <w:sz w:val="24"/>
        </w:rPr>
        <w:t xml:space="preserve">. The representations and warranties of the Obligors contained in Article 7 or any other Loan Document shall be true and correct in all material respects on and as of the Closing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to the extent that such representations and warranties specifically refer to an earlier date, they shall be true and correct in all material respects as of such earlier date;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i/>
          <w:color w:val="000000"/>
          <w:sz w:val="24"/>
        </w:rPr>
        <w:t>No Material Adverse Change</w:t>
      </w:r>
      <w:r>
        <w:rPr>
          <w:rFonts w:ascii="Times New Roman;sans-serif" w:hAnsi="Times New Roman;sans-serif"/>
          <w:b w:val="false"/>
          <w:color w:val="000000"/>
          <w:sz w:val="24"/>
        </w:rPr>
        <w:t xml:space="preserve">. No Material Adverse Change shall have occurred since December 31, 2022.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rFonts w:ascii="Times New Roman;sans-serif" w:hAnsi="Times New Roman;sans-serif"/>
          <w:b w:val="false"/>
          <w:i/>
          <w:color w:val="000000"/>
          <w:sz w:val="24"/>
        </w:rPr>
        <w:t>No Default</w:t>
      </w:r>
      <w:r>
        <w:rPr>
          <w:rFonts w:ascii="Times New Roman;sans-serif" w:hAnsi="Times New Roman;sans-serif"/>
          <w:b w:val="false"/>
          <w:color w:val="000000"/>
          <w:sz w:val="24"/>
        </w:rPr>
        <w:t>. No Default shall exist, or would result from such proposed Borrowing or from the application of the proceeds therefrom.</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6.02.    Conditions to Tranche B Term Loan; Tranche B Term Loan Borrowing Date.</w:t>
      </w:r>
      <w:r>
        <w:rPr>
          <w:color w:val="000000"/>
        </w:rPr>
        <w:t xml:space="preserve"> </w:t>
      </w:r>
      <w:r>
        <w:rPr>
          <w:rFonts w:ascii="Times New Roman;sans-serif" w:hAnsi="Times New Roman;sans-serif"/>
          <w:b w:val="false"/>
          <w:color w:val="000000"/>
          <w:sz w:val="24"/>
        </w:rPr>
        <w:t>The obligation of each Lender to make the Tranche B Term Loan on the Tranche B Term Loan Borrowing Date shall not become effective until the following conditions precedent shall have been satisfied or waived in writing by the Administrative Agent (which satisfaction or waiver may be made simultaneously with the making of the Tranche B Term Loan hereunder):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Tranche B Term Loan Commitment Termination Date</w:t>
      </w:r>
      <w:r>
        <w:rPr>
          <w:rFonts w:ascii="Times New Roman;sans-serif" w:hAnsi="Times New Roman;sans-serif"/>
          <w:b w:val="false"/>
          <w:color w:val="000000"/>
          <w:sz w:val="24"/>
        </w:rPr>
        <w:t>. The Tranche B Term Loan Commitment Termination Date shall not have occurred.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Borrowing Notice.</w:t>
      </w:r>
      <w:r>
        <w:rPr>
          <w:color w:val="000000"/>
        </w:rPr>
        <w:t xml:space="preserve"> </w:t>
      </w:r>
      <w:r>
        <w:rPr>
          <w:rFonts w:ascii="Times New Roman;sans-serif" w:hAnsi="Times New Roman;sans-serif"/>
          <w:b w:val="false"/>
          <w:color w:val="000000"/>
          <w:sz w:val="24"/>
        </w:rPr>
        <w:t>The Administrative Agent shall have received a Borrowing Notice in accordance with Section 2.01(b)(ii) requesting the Borrowing of the Tranche B Term Loan duly executed by a Responsible Officer of Administrative Borrower and Borrowers’ updated Schedules to this Agreement (if any), in form and substance reasonably satisfactory to the Administrative Agent.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Representations and Warranties</w:t>
      </w:r>
      <w:r>
        <w:rPr>
          <w:rFonts w:ascii="Times New Roman;sans-serif" w:hAnsi="Times New Roman;sans-serif"/>
          <w:b w:val="false"/>
          <w:color w:val="000000"/>
          <w:sz w:val="24"/>
        </w:rPr>
        <w:t xml:space="preserve">. The representations and warranties of the Obligors contained in Article 7 or any other Loan Document shall be true and correct in all material respects on and as of the Tranche B Term Loan Borrowing Date;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to the extent that such representations and warranties specifically refer to an earlier date, they shall be true and correct in all material respects as of such earlier date;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that any representation and warranty that is qualified as to “materiality”, “Material Adverse Effect” or similar language shall be true and correct (after giving effect to any qualification therein) in all respects.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No Default</w:t>
      </w:r>
      <w:r>
        <w:rPr>
          <w:rFonts w:ascii="Times New Roman;sans-serif" w:hAnsi="Times New Roman;sans-serif"/>
          <w:b w:val="false"/>
          <w:color w:val="000000"/>
          <w:sz w:val="24"/>
        </w:rPr>
        <w:t>. No Default or Event of Default shall exist, or would result from such proposed Borrowing or from the application of the proceeds therefrom.</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2"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-54-</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rFonts w:ascii="Times New Roman;sans-serif" w:hAnsi="Times New Roman;sans-serif"/>
          <w:b w:val="false"/>
          <w:i/>
          <w:color w:val="000000"/>
          <w:sz w:val="24"/>
        </w:rPr>
        <w:t>Officer’s Certificate.</w:t>
      </w:r>
      <w:r>
        <w:rPr>
          <w:color w:val="000000"/>
        </w:rPr>
        <w:t xml:space="preserve"> </w:t>
      </w:r>
      <w:r>
        <w:rPr>
          <w:rFonts w:ascii="Times New Roman;sans-serif" w:hAnsi="Times New Roman;sans-serif"/>
          <w:b w:val="false"/>
          <w:color w:val="000000"/>
          <w:sz w:val="24"/>
        </w:rPr>
        <w:t>A certificate, dated as of the Tranche B Borrowing Date and signed by a Responsible Officer of each Obligor, confirming compliance with the conditions set forth in subsections (c), (d) and (f) this Section 6.02.</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rFonts w:ascii="Times New Roman;sans-serif" w:hAnsi="Times New Roman;sans-serif"/>
          <w:b w:val="false"/>
          <w:i/>
          <w:color w:val="000000"/>
          <w:sz w:val="24"/>
        </w:rPr>
        <w:t>Milestone.</w:t>
      </w:r>
      <w:r>
        <w:rPr>
          <w:color w:val="000000"/>
        </w:rPr>
        <w:t xml:space="preserve"> </w:t>
      </w:r>
      <w:r>
        <w:rPr>
          <w:rFonts w:ascii="Times New Roman;sans-serif" w:hAnsi="Times New Roman;sans-serif"/>
          <w:b w:val="false"/>
          <w:color w:val="000000"/>
          <w:sz w:val="24"/>
        </w:rPr>
        <w:t>The Administrative Agent shall have received evidence reasonably satisfactory to the Administrative Agent that the Obligors have achieved Core Product Revenue of at least $215,000,000 for any twelve (12) consecutive month period prior to the Tranche B Borrowing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rFonts w:ascii="Times New Roman;sans-serif" w:hAnsi="Times New Roman;sans-serif"/>
          <w:b w:val="false"/>
          <w:i/>
          <w:color w:val="000000"/>
          <w:sz w:val="24"/>
        </w:rPr>
        <w:t>Expenses, Etc.</w:t>
      </w:r>
      <w:r>
        <w:rPr>
          <w:color w:val="000000"/>
        </w:rPr>
        <w:t xml:space="preserve"> </w:t>
      </w:r>
      <w:r>
        <w:rPr>
          <w:rFonts w:ascii="Times New Roman;sans-serif" w:hAnsi="Times New Roman;sans-serif"/>
          <w:b w:val="false"/>
          <w:color w:val="000000"/>
          <w:sz w:val="24"/>
        </w:rPr>
        <w:t>The Lenders and their Affiliates shall have received for their own account, the Tranche B Term Loan Fee and all reasonable and documented out-of-pocket fees, costs and expenses due (including applicable attorney costs and the reasonable and documented out-of-pocket fees and expenses of any other advisors to the Lenders) and payable pursuant to Section 13.03.</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borrowing of the Term Loans shall constitute a certification by Borrowers to the effect that the conditions set forth in Sections 6.01 and 6.02, as applicable, have been fulfilled as of the Closing Date or the Tranche B Term Loan Borrowing Date, as applicable.</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7</w:t>
        <w:br/>
        <w:br/>
        <w:t>Representations and Warranties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order to induce the Lenders to enter into this Agreement and to extend the Term Loans hereunder, each Obligor represents and warrants to the Lenders and the Administrative Agent, on the Closing Date and on the Tranche B Term Loan Borrowing Date, as applicable, that the following statements are true and correct: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7.01.    Power and Authority.</w:t>
      </w:r>
      <w:r>
        <w:rPr>
          <w:color w:val="000000"/>
        </w:rPr>
        <w:t xml:space="preserve"> </w:t>
      </w:r>
      <w:r>
        <w:rPr>
          <w:rFonts w:ascii="Times New Roman;sans-serif" w:hAnsi="Times New Roman;sans-serif"/>
          <w:b w:val="false"/>
          <w:color w:val="000000"/>
          <w:sz w:val="24"/>
        </w:rPr>
        <w:t>Each Obligor and each of its Subsidiaries (a) is duly organized, validly existing and in good standing under the Laws of its jurisdiction of organization, (b) has all requisite corporate (or equivalent) power, and has all material Governmental Approvals necessary to own its assets and carry on its business as now being or as proposed to be conducted except to the extent that failure to have the same would not reasonably be expected to have a Material Adverse Effect, (c) is qualified to do business and is in good standing in all jurisdictions in which the nature of the business conducted by it makes such qualification necessary except where failure to so qualify would not (either individually or in the aggregate) reasonably be expected to have a Material Adverse Effect, and (d) has full power, authority and legal right to make and perform its obligations under each of the Loan Documents to which it is a party and, in the case of Borrowers, to borrow the Term Loans hereunder.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7.02.    Authorization; Enforceability.</w:t>
      </w:r>
      <w:r>
        <w:rPr>
          <w:color w:val="000000"/>
        </w:rPr>
        <w:t xml:space="preserve"> </w:t>
      </w:r>
      <w:r>
        <w:rPr>
          <w:rFonts w:ascii="Times New Roman;sans-serif" w:hAnsi="Times New Roman;sans-serif"/>
          <w:b w:val="false"/>
          <w:color w:val="000000"/>
          <w:sz w:val="24"/>
        </w:rPr>
        <w:t xml:space="preserve">The Transactions are within each Obligor’s corporate (or equivalent) powers and have been duly authorized by all necessary corporate (or equivalent) action and, if required, by all necessary shareholder or other equity holder action. The Loan Documents have been duly executed and delivered by each Obligor party thereto and constitutes, and each of the other Loan Documents to which it is a party when executed and delivered by such Obligor will constitute, a legal, valid and binding obligation of such Obligor,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3"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enforceable against each Obligor in accordance with its terms, except as such enforceability may be limited by (a) bankruptcy, insolvency, reorganization, moratorium or similar Laws of general applicability affecting the enforcement of creditors’ rights and (b) the application of general principles of equity (regardless of whether such enforceability is considered in a proceeding in equity or at law).</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7.03.    Governmental and Other Approvals; No Conflicts.</w:t>
      </w:r>
      <w:r>
        <w:rPr>
          <w:color w:val="000000"/>
        </w:rPr>
        <w:t xml:space="preserve"> </w:t>
      </w:r>
      <w:r>
        <w:rPr>
          <w:rFonts w:ascii="Times New Roman;sans-serif" w:hAnsi="Times New Roman;sans-serif"/>
          <w:b w:val="false"/>
          <w:color w:val="000000"/>
          <w:sz w:val="24"/>
        </w:rPr>
        <w:t>The Transactions (a) do not require any consent or approval of, registration or filing with, or any other action by, any Governmental Authority or any other Person, except for (i) such as have been obtained or made and are in full force and effect and (ii) filings and recordings in respect of perfecting or recording the Liens created pursuant to the Security Documents, (b) will not violate any applicable Requirement of Law or the Organizational Documents of any Obligor or any applicable order of any Governmental Authority, in each case, other than any such violations that, individually or in the aggregate, would not reasonably be expected to have a Material Adverse Effect, (c) will not violate or result in a default under any Material Agreement, or give rise to a right thereunder to require any payment to be made by any such Person, and (d) will not result in the creation or imposition of any Lien (other than Permitted Liens) on any asset of any Obligor or any of its Subsidiaries.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7.04.    Financial Statements; Projections; Material Adverse Change</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Financial Statements. </w:t>
      </w:r>
      <w:r>
        <w:rPr>
          <w:rFonts w:ascii="Times New Roman;sans-serif" w:hAnsi="Times New Roman;sans-serif"/>
          <w:b w:val="false"/>
          <w:color w:val="000000"/>
          <w:sz w:val="24"/>
        </w:rPr>
        <w:t>Obligors have heretofore furnished to the Administrative Agent certain consolidated financial statements as provided for in Section 8.01. Such financial statements present fairly, in all material respects, the consolidated financial position and results of operations and cash flows of the Obligors as of such dates and for such periods substantially in accordance with GAAP, subject to quarterly or year-end adjustments and the absence of footnotes. As of the date of such financial statements, no Obligor has any material contingent liabilities or liabilities for taxes, long-term lease or unusual forward or long-term commitments not disclosed in the aforementioned financial statements that would be required under GAAP to be included in such financial statements.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Projections.</w:t>
      </w:r>
      <w:r>
        <w:rPr>
          <w:color w:val="000000"/>
        </w:rPr>
        <w:t xml:space="preserve"> </w:t>
      </w:r>
      <w:r>
        <w:rPr>
          <w:rFonts w:ascii="Times New Roman;sans-serif" w:hAnsi="Times New Roman;sans-serif"/>
          <w:b w:val="false"/>
          <w:color w:val="000000"/>
          <w:sz w:val="24"/>
        </w:rPr>
        <w:t xml:space="preserve">On and as of the Closing Date, the projections of the Obligors (collectively, the </w:t>
      </w:r>
      <w:r>
        <w:rPr>
          <w:color w:val="000000"/>
        </w:rPr>
        <w:t>“</w:t>
      </w:r>
      <w:r>
        <w:rPr>
          <w:rFonts w:ascii="Times New Roman;sans-serif" w:hAnsi="Times New Roman;sans-serif"/>
          <w:b w:val="false"/>
          <w:i/>
          <w:color w:val="000000"/>
          <w:sz w:val="24"/>
        </w:rPr>
        <w:t>Projections”</w:t>
      </w:r>
      <w:r>
        <w:rPr>
          <w:rFonts w:ascii="Times New Roman;sans-serif" w:hAnsi="Times New Roman;sans-serif"/>
          <w:b w:val="false"/>
          <w:color w:val="000000"/>
          <w:sz w:val="24"/>
        </w:rPr>
        <w:t xml:space="preserve">) are based on good faith estimates and assumptions made by the management of the Obligors;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the Projections are not to be viewed as facts and that actual results during the period or periods covered by the Projections may differ from such Projections and that the differences may be material; </w:t>
      </w:r>
      <w:r>
        <w:rPr>
          <w:rFonts w:ascii="Times New Roman;sans-serif" w:hAnsi="Times New Roman;sans-serif"/>
          <w:b w:val="false"/>
          <w:i/>
          <w:color w:val="000000"/>
          <w:sz w:val="24"/>
        </w:rPr>
        <w:t>provided, further,</w:t>
      </w:r>
      <w:r>
        <w:rPr>
          <w:color w:val="000000"/>
        </w:rPr>
        <w:t xml:space="preserve"> </w:t>
      </w:r>
      <w:r>
        <w:rPr>
          <w:rFonts w:ascii="Times New Roman;sans-serif" w:hAnsi="Times New Roman;sans-serif"/>
          <w:b w:val="false"/>
          <w:color w:val="000000"/>
          <w:sz w:val="24"/>
        </w:rPr>
        <w:t>as of the Closing Date, the management of the Obligors believe that the Projections are reasonable and attainable, as of the date prepared.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No Material Adverse Change.</w:t>
      </w:r>
      <w:r>
        <w:rPr>
          <w:color w:val="000000"/>
        </w:rPr>
        <w:t xml:space="preserve"> </w:t>
      </w:r>
      <w:r>
        <w:rPr>
          <w:rFonts w:ascii="Times New Roman;sans-serif" w:hAnsi="Times New Roman;sans-serif"/>
          <w:b w:val="false"/>
          <w:color w:val="000000"/>
          <w:sz w:val="24"/>
        </w:rPr>
        <w:t>Since December 31, 2022 no event, circumstance or change has occurred that has caused or evidences, either in individually or in the aggregate, a Material Adverse Change.</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4"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-56-</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7.05.    Properties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Property Generally.</w:t>
      </w:r>
      <w:r>
        <w:rPr>
          <w:color w:val="000000"/>
        </w:rPr>
        <w:t xml:space="preserve"> </w:t>
      </w:r>
      <w:r>
        <w:rPr>
          <w:rFonts w:ascii="Times New Roman;sans-serif" w:hAnsi="Times New Roman;sans-serif"/>
          <w:b w:val="false"/>
          <w:color w:val="000000"/>
          <w:sz w:val="24"/>
        </w:rPr>
        <w:t xml:space="preserve">With respect to all real and personal assets and properties of each Obligor and each of its Subsidiaries (other than Intellectual Property which is covered by clause (b) below), such Obligor and each of its Subsidiaries has good and marketable fee simple title to, or valid leasehold or license interests in, all its real and personal Property material to its business, including all Product Assets, subject only to Permitted Liens and except as would not reasonably be expected to materially interfere with its ability to conduct its business as currently conducted or to utilize such properties for their intended purposes.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Intellectual Property.</w:t>
      </w:r>
      <w:r>
        <w:rPr>
          <w:color w:val="000000"/>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Schedule 7.05(b) lists, with respect to each Obligor, all United States and foreign registrations of and applications for Patents, Trademarks, Copyrights, and Industrial Designs that are Obligor Intellectual Property owned by or exclusively licensed to such Obligor as of the Closing Date, including the applicable jurisdiction, registration or application number and date, as applicable thereto, and a designation as to whether it is licensed or owned by an Obligor.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Each Obligor (A) owns or possesses all legal rights, title and interest in and to the Obligor Intellectual Property designated on Schedule 7.05(b) as being owned by such Obligor and (B) has the right to use the Obligor Intellectual Property licensed to such Obligor, in each case, free and clear of any Liens or Claims of any kind, other than Permitted Liens.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To each Obligor’s knowledge, the Obligor Intellectual Property does not violate any license or infringe any valid and enforceable Intellectual Property right of another, that either individually or in the aggregate would reasonably be expected to have a Material Adverse Effect.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Other than with respect to the Material Agreements, or as permitted by this Agreement, the Obligors have not assigned or otherwise transferred ownership of, or agreed to assign or otherwise transfer ownership of, any Obligor Intellectual Property owned by an Obligor, in whole or in part, to any Person who is not an Obligor.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(v)</w:t>
      </w:r>
      <w:r>
        <w:rPr>
          <w:color w:val="000000"/>
        </w:rPr>
        <w:t xml:space="preserve">     </w:t>
      </w:r>
      <w:r>
        <w:rPr>
          <w:rFonts w:ascii="Times New Roman;sans-serif" w:hAnsi="Times New Roman;sans-serif"/>
          <w:b w:val="false"/>
          <w:color w:val="000000"/>
          <w:sz w:val="24"/>
        </w:rPr>
        <w:t>Other than as set forth on Schedule 7.05(b), the Obligors have not received any written communications in the past twelve (12) months, nor is there any pending or, to each Obligor’s knowledge, threatened action in writing, suit, proceeding or Claim in writing by another, alleging that any of the Obligors has violated, infringed, diluted or misappropriated any Intellectual Property of another.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5"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-57-</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(vi)</w:t>
      </w:r>
      <w:r>
        <w:rPr>
          <w:color w:val="000000"/>
        </w:rPr>
        <w:t xml:space="preserve">     </w:t>
      </w:r>
      <w:r>
        <w:rPr>
          <w:rFonts w:ascii="Times New Roman;sans-serif" w:hAnsi="Times New Roman;sans-serif"/>
          <w:b w:val="false"/>
          <w:color w:val="000000"/>
          <w:sz w:val="24"/>
        </w:rPr>
        <w:t>There is no pending or, to any Obligor’s knowledge, threatened action in writing, suit, proceeding or Claim in writing by another: (A) challenging an Obligor’s rights in or to any Obligor Intellectual Property owned by such Obligor; or (B) challenging the validity, enforceability or scope of any Obligor Intellectual Property owned by an Obligor.</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(vii)Each Obligor has taken commercially reasonable precautions to protect the secrecy, confidentiality and value of the Obligor Intellectual Property (including without limitation, by requiring that all relevant current and former employees, contractors and consultants of the Obligors execute written confidentiality and Invention assignment Contracts).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(viii)Each Obligor has complied with the material terms of each Material Agreement pursuant to which Intellectual Property has been licensed to the Obligors (which material terms shall include, but not be limited to, pricing and duration of the agreement).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(ix)</w:t>
      </w:r>
      <w:r>
        <w:rPr>
          <w:color w:val="000000"/>
        </w:rPr>
        <w:t>    </w:t>
      </w:r>
      <w:r>
        <w:rPr>
          <w:rFonts w:ascii="Times New Roman;sans-serif" w:hAnsi="Times New Roman;sans-serif"/>
          <w:b w:val="false"/>
          <w:color w:val="000000"/>
          <w:sz w:val="24"/>
        </w:rPr>
        <w:t>All maintenance fees, annuities, and the like due or payable on the Patents within the Obligor Intellectual Property owned by an Obligor and, to each Obligor’s knowledge, the Patents within the Obligor Intellectual Property licensed to such Obligor have been timely paid or the failure to so pay was the result of an intentional decision by the applicable Obligor, which would not reasonably be expected to result in a Material Adverse Change. All documents and instruments necessary to register or apply for or renew registration of all Patents, Trademarks and Copyrights within the Obligor Intellectual Property owned by an Obligor and, to each Obligor’s knowledge, the Obligor Intellectual Property licensed to such Obligor have been validly executed, delivered and filed in a timely manner with the United States Patent and Trademark Office or the United States Copyright Office, as applicable.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(x)</w:t>
      </w:r>
      <w:r>
        <w:rPr>
          <w:color w:val="000000"/>
        </w:rPr>
        <w:t xml:space="preserve">     </w:t>
      </w:r>
      <w:r>
        <w:rPr>
          <w:rFonts w:ascii="Times New Roman;sans-serif" w:hAnsi="Times New Roman;sans-serif"/>
          <w:b w:val="false"/>
          <w:color w:val="000000"/>
          <w:sz w:val="24"/>
        </w:rPr>
        <w:t>To each Obligor’s knowledge, (A) there are no material defects in the applications for any of the Patents within the Obligor Intellectual Property owned by an Obligor and (B) no such Patents within the Obligor Intellectual Property owned by an Obligor have ever been finally adjudicated to be invalid, unpatentable or unenforceable for any reason in any administrative, arbitration, judicial or other proceeding.</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(xi)</w:t>
      </w:r>
      <w:r>
        <w:rPr>
          <w:color w:val="000000"/>
        </w:rPr>
        <w:t xml:space="preserve">     </w:t>
      </w:r>
      <w:r>
        <w:rPr>
          <w:rFonts w:ascii="Times New Roman;sans-serif" w:hAnsi="Times New Roman;sans-serif"/>
          <w:b w:val="false"/>
          <w:color w:val="000000"/>
          <w:sz w:val="24"/>
        </w:rPr>
        <w:t>To each Obligor’s knowledge, no Obligor has received any written notice in the past twelve (12) months asserting that the Patents within the Obligor Intellectual Property owned by an Obligor are invalid, unpatentable or unenforceable and, to each Obligor’s knowledge, no Obligor has engaged in any conduct, or omitted to perform any necessary act, the result of which would invalidate or render unpatentable or unenforceable any such Patent within the Obligor Intellectual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06"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-58-</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(xii)Each employee and consultant that creates or develops Obligor Intellectual Property has signed a written agreement assigning to the applicable Obligor all intellectual property rights that are created or developed by such employee or consultant, as applicable, on behalf of such Obligor with respect to such Obligor’s business as now conducted and as presently proposed to be conducted and confidentiality provisions protecting trade secrets and confidentiality information of the Obligors.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(xiii)</w:t>
      </w:r>
      <w:r>
        <w:rPr>
          <w:color w:val="000000"/>
        </w:rPr>
        <w:t xml:space="preserve"> </w:t>
      </w:r>
      <w:r>
        <w:rPr>
          <w:rFonts w:ascii="Times New Roman;sans-serif" w:hAnsi="Times New Roman;sans-serif"/>
          <w:b w:val="false"/>
          <w:color w:val="000000"/>
          <w:sz w:val="24"/>
        </w:rPr>
        <w:t>To the knowledge of each Obligor, no third party is infringing upon or misappropriating any Obligor Intellectual Property, or violating any material license or agreement with such Obligor relating to any Obligor Intellectual Property.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7.06.    No Actions or Proceedings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Litigation.</w:t>
      </w:r>
      <w:r>
        <w:rPr>
          <w:color w:val="000000"/>
        </w:rPr>
        <w:t xml:space="preserve"> </w:t>
      </w:r>
      <w:r>
        <w:rPr>
          <w:rFonts w:ascii="Times New Roman;sans-serif" w:hAnsi="Times New Roman;sans-serif"/>
          <w:b w:val="false"/>
          <w:color w:val="000000"/>
          <w:sz w:val="24"/>
        </w:rPr>
        <w:t>There is no litigation, investigation or enforcement proceeding pending or threatened in writing with respect to any Obligor by or before any Governmental Authority or arbitrator (i) that either individually or in the aggregate would reasonably be expected to have a Material Adverse Effect or (ii) that involves this Agreement or the Transactions.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Environmental Matters.</w:t>
      </w:r>
      <w:r>
        <w:rPr>
          <w:color w:val="000000"/>
        </w:rPr>
        <w:t xml:space="preserve"> </w:t>
      </w:r>
      <w:r>
        <w:rPr>
          <w:rFonts w:ascii="Times New Roman;sans-serif" w:hAnsi="Times New Roman;sans-serif"/>
          <w:b w:val="false"/>
          <w:color w:val="000000"/>
          <w:sz w:val="24"/>
        </w:rPr>
        <w:t>The operations and the real Property of the Obligors comply with all applicable Environmental Laws, except to the extent the failure to so comply, either individually or in the aggregate, would not reasonably be expected to have a Material Adverse Effect. To each Obligor’s knowledge, there have been no conditions, occurrences or release of Hazardous Materials which would reasonably be expected to have a Material Adverse Effect.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Labor Matters.</w:t>
      </w:r>
      <w:r>
        <w:rPr>
          <w:color w:val="000000"/>
        </w:rPr>
        <w:t xml:space="preserve"> </w:t>
      </w:r>
      <w:r>
        <w:rPr>
          <w:rFonts w:ascii="Times New Roman;sans-serif" w:hAnsi="Times New Roman;sans-serif"/>
          <w:b w:val="false"/>
          <w:color w:val="000000"/>
          <w:sz w:val="24"/>
        </w:rPr>
        <w:t>No Obligor has engaged in unfair labor practices and there are no pending or, to any Obligor’s knowledge, threatened in writing labor actions, disputes, grievance or arbitration proceedings involving the employees of any Obligor, in each case that would reasonably be expected to have a Material Adverse Effect. There is no material strike or work stoppage in existence or threatened in writing against any Obligor and to the knowledge of such Obligor, no union organization activity is taking place.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7.07.    Compliance with Laws and Agreements</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Obligor is in compliance with all Requirements of Law (including Health Care Laws and Environmental Laws) and all Contracts binding upon it or its Property, except (other than with respect to Obligor Intellectual Property) where the failure to do so, individually or in the aggregate, would not reasonably be expected to result in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(b)Without limiting the generality of the foregoing:</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07"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-59-</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Except as would not reasonably be expected to result in a Material Adverse Effect, to each Obligor’s knowledge, any financial relationships between or among any Obligor or any Subsidiary thereof, on the one hand, and any Person who is in a position to refer patients or other health care business to any Obligor or any Subsidiary thereof (collectively a </w:t>
      </w:r>
      <w:r>
        <w:rPr>
          <w:color w:val="000000"/>
        </w:rPr>
        <w:t>“</w:t>
      </w:r>
      <w:r>
        <w:rPr>
          <w:rFonts w:ascii="Times New Roman;sans-serif" w:hAnsi="Times New Roman;sans-serif"/>
          <w:b w:val="false"/>
          <w:i/>
          <w:color w:val="000000"/>
          <w:sz w:val="24"/>
        </w:rPr>
        <w:t>Referral Source”</w:t>
      </w:r>
      <w:r>
        <w:rPr>
          <w:rFonts w:ascii="Times New Roman;sans-serif" w:hAnsi="Times New Roman;sans-serif"/>
          <w:b w:val="false"/>
          <w:color w:val="000000"/>
          <w:sz w:val="24"/>
        </w:rPr>
        <w:t>), on the other hand, (A) comply in all material respects with all applicable Health Care Laws, (B) reflect fair market value, have commercially reasonable terms and were negotiated at arm’s length, and (C) do not obligate the Referral Source to purchase, use, recommend or arrange for the use of any products or services of any Obligor or any Subsidiary thereof in any manner that could reasonably be expected to constitute a violation of Health Care Law. No Obligor, nor any Subsidiary thereof, directly or indirectly, has guaranteed a loan, made a payment toward a loan or otherwise subsidized a loan for any Referral Source including, without limitation, any loans related to financing the Referral Source’s ownership, investment or financial interest in any Obligor or any such Subsidiary in any manner that could reasonably be expected to constitute a violation of a state, federal or foreign health care fraud and abuse law.</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All Products have been developed, tested, manufactured, distributed, marketed and sold in compliance in all material respects with all applicable FDA Laws, including, without limitation, all requirements relating to pre-market notification, good manufacturing practices/quality system regulations (21 CFR Part 820), labeling, advertising, record-keeping, and adverse event reporting.</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Except as would not reasonably be expected to result in a Material Adverse Effect, each Obligor and each Subsidiary thereof is in compliance in all material respects with the Physician Payments Sunshine Act (Section 6002 of the Affordable Care Act of 2010) and its implementing regulations and any applicable state disclosure and transparency laws.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Except as would not reasonably be expected to result in a Material Adverse Effect, each Obligor and each Subsidiary thereof holds all Third-Party Payor Authorizations in full force and effect that are necessary to participate in and be reimbursed by all Third-Party Payor Programs in which it participates, if any. To the knowledge of any Obligor, there is no investigation, audit, claim review, or other action pending or threatened in writing, which could result in a suspension, revocation, termination, restriction, limitation, modification or nonrenewal of any Third-Party Payor Authorization or in the exclusion of an Obligor from participation in any Third-Party Payor Program.</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(v)</w:t>
      </w:r>
      <w:r>
        <w:rPr>
          <w:color w:val="000000"/>
        </w:rPr>
        <w:t xml:space="preserve">     </w:t>
      </w:r>
      <w:r>
        <w:rPr>
          <w:rFonts w:ascii="Times New Roman;sans-serif" w:hAnsi="Times New Roman;sans-serif"/>
          <w:b w:val="false"/>
          <w:color w:val="000000"/>
          <w:sz w:val="24"/>
        </w:rPr>
        <w:t xml:space="preserve">No Obligor nor any Subsidiary thereof, nor any owner, officer, director, partner, agent or managing employee or Person with a “direct or indirect ownership interest” (as that phrase is defined in 42 C.F.R. § 420.201) in any Obligor has been (i) excluded from any Federal Health Care Program, (ii) “suspended” or “debarred” from selling products to the U.S. government or its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08"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agencies pursuant to the Federal Acquisition Regulation, relating to debarment and suspension applicable to federal government agencies generally (42 C.F.R. Subpart 9.4), (iii) debarred, disqualified, suspended or excluded from participation in any Third-Party Payor Program or is listed on the General Services Administration list of excluded parties, nor, to the knowledge of the Obligors, is any such debarment, disqualification, suspension or exclusion threatened or pending, or (iv) made a party to any other action by any Governmental Authority that may prohibit it from selling products or providing services to any governmental or other purchaser pursuant to any federal, state or local laws or regulations.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(vi)No Obligor nor any Subsidiary thereof is subject to any pending audit, claim review, investigation, proceeding, or other action (in each case, whether civil, criminal, administrative or investigative) relating to any actual or alleged noncompliance with any applicable Health Care Law, which could result in, the repayment of any material monies received, or the imposition of any material penalties, from any Third-Party Payor Program or Governmental Authority. No Obligor nor any Subsidiary thereof, nor any owner, officer, director, partner, agent or managing employee of any Obligor is a party to or bound by any individual integrity agreement, corporate integrity agreement, corporate compliance agreement, deferred prosecution agreement, settlement agreement or other formal written agreement with any Governmental Authority concerning its compliance with any Health Care Law.</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(vii)No Obligor nor any Subsidiary thereof has experienced or had an unauthorized use or disclosure of Protected Health Information (as defined in the HIPAA regulations) or privacy or security breach or other privacy or security incident within the meaning of HIPAA that has affected more than five hundred (500) individuals. Each Obligor and each Subsidiary thereof has created and maintains written policies and procedures to protect the privacy of all patient protected health information in accordance with HIPAA and applicable state consumer privacy and security laws, and has implemented appropriate security procedures including, without limitation, administrative, physical and technical safeguards, to protect the confidentiality, integrity and availability of all electronic protected health information that it creates, receives, maintains or transmits. Each Obligor and each Subsidiary thereof has conducted any security risk assessments, risk analyses, and/or other supplemental assessments required by HIPAA and, except where failure to do so would not reasonably be expected to have a Material Adverse Effect, remediated any deficiencies identified thereby, if any. Each Obligor and each Subsidiary thereof has provided compliance training with respect to HIPAA to its “workforce” and, except where failure to do so would not reasonably be expected to have a Material Adverse Effect, has entered into a business associate agreement with each third party acting as a “business associate” or “subcontractor” thereto (as such terms are defined in HIPAA).</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09"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-61-</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(viii)Each Obligor and Subsidiary thereof maintains and adheres to, in all material respects, a commercially reasonable compliance program designed to promote compliance with and to detect, prevent and address violations of all material Health Care Laws (a </w:t>
      </w:r>
      <w:r>
        <w:rPr>
          <w:color w:val="000000"/>
        </w:rPr>
        <w:t>“</w:t>
      </w:r>
      <w:r>
        <w:rPr>
          <w:rFonts w:ascii="Times New Roman;sans-serif" w:hAnsi="Times New Roman;sans-serif"/>
          <w:b w:val="false"/>
          <w:i/>
          <w:color w:val="000000"/>
          <w:sz w:val="24"/>
        </w:rPr>
        <w:t>Health Care Compliance Program”</w:t>
      </w:r>
      <w:r>
        <w:rPr>
          <w:rFonts w:ascii="Times New Roman;sans-serif" w:hAnsi="Times New Roman;sans-serif"/>
          <w:b w:val="false"/>
          <w:color w:val="000000"/>
          <w:sz w:val="24"/>
        </w:rPr>
        <w:t>), developed in accordance with the Department of Health and Human Services Office of the Inspector General “Compliance Program Guidance for Clinical Laboratories.” No Obligor nor any Subsidiary thereof is aware of any complaints from any employees, independent contractors, vendors, physicians, customers, patients or other persons that would reasonably be considered to indicate a violation of Health Care Laws which would be reasonably expected to result individually, or in the aggregate, in a Material Adverse Effect.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7.08.    Taxes.</w:t>
      </w:r>
      <w:r>
        <w:rPr>
          <w:color w:val="000000"/>
        </w:rPr>
        <w:t xml:space="preserve"> </w:t>
      </w:r>
      <w:r>
        <w:rPr>
          <w:rFonts w:ascii="Times New Roman;sans-serif" w:hAnsi="Times New Roman;sans-serif"/>
          <w:b w:val="false"/>
          <w:color w:val="000000"/>
          <w:sz w:val="24"/>
        </w:rPr>
        <w:t>Each Obligor has timely filed or caused to be filed all federal income and other material Tax returns and reports required to have been filed and has paid or caused to be paid all federal income and other material Taxes required to have been paid by it, except Taxes that are being contested in good faith by appropriate proceedings and for which such Obligor has set aside on its books adequate reserves with respect thereto substantially in accordance with GAAP.</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7.09.    Full Disclosure. </w:t>
      </w:r>
      <w:r>
        <w:rPr>
          <w:rFonts w:ascii="Times New Roman;sans-serif" w:hAnsi="Times New Roman;sans-serif"/>
          <w:b w:val="false"/>
          <w:color w:val="000000"/>
          <w:sz w:val="24"/>
        </w:rPr>
        <w:t xml:space="preserve">Obligors have disclosed to the Lenders all Material Agreements to which any Obligor is party, and all other matters to its knowledge, that, individually or in the aggregate, would reasonably be expected to result in a Material Adverse Effect. None of the reports, financial statements, certificates or other written information furnished by or on behalf of the Obligors to the Lenders in connection with the negotiation of this Agreement and the other Loan Documents or delivered hereunder or thereunder (as modified or supplemented by other information so furnished), taken as a whole, contains any material misstatement of material fact or omits to state any material fact necessary to make the statements therein, in the light of the circumstances under which they were made, not misleading;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with respect to projected financial information, Obligors represent only that such information was prepared in good faith based upon assumptions believed to be reasonable at the time.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7.10.    Regulation</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Investment Company Act.</w:t>
      </w:r>
      <w:r>
        <w:rPr>
          <w:color w:val="000000"/>
        </w:rPr>
        <w:t xml:space="preserve"> </w:t>
      </w:r>
      <w:r>
        <w:rPr>
          <w:rFonts w:ascii="Times New Roman;sans-serif" w:hAnsi="Times New Roman;sans-serif"/>
          <w:b w:val="false"/>
          <w:color w:val="000000"/>
          <w:sz w:val="24"/>
        </w:rPr>
        <w:t>No Obligor is an “investment company” as defined in, or subject to regulation under, the Investment Company Act of 1940.</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Margin Stock.</w:t>
      </w:r>
      <w:r>
        <w:rPr>
          <w:color w:val="000000"/>
        </w:rPr>
        <w:t xml:space="preserve"> </w:t>
      </w:r>
      <w:r>
        <w:rPr>
          <w:rFonts w:ascii="Times New Roman;sans-serif" w:hAnsi="Times New Roman;sans-serif"/>
          <w:b w:val="false"/>
          <w:color w:val="000000"/>
          <w:sz w:val="24"/>
        </w:rPr>
        <w:t>No Obligor is engaged principally, or as one of its important activities, in the business of extending credit for the purpose, whether immediate, incidental or ultimate, of buying or carrying Margin Stock and no part of the proceeds of the Term Loans will be used to buy or carry any Margin Stock in violation of Regulation T, U or X.</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7.11.    Solvency.</w:t>
      </w:r>
      <w:r>
        <w:rPr>
          <w:color w:val="000000"/>
        </w:rPr>
        <w:t xml:space="preserve"> </w:t>
      </w:r>
      <w:r>
        <w:rPr>
          <w:rFonts w:ascii="Times New Roman;sans-serif" w:hAnsi="Times New Roman;sans-serif"/>
          <w:b w:val="false"/>
          <w:color w:val="000000"/>
          <w:sz w:val="24"/>
        </w:rPr>
        <w:t>The Obligors, on a consolidated basis, are, and, immediately after giving effect to the Borrowings, the use of proceeds thereof, and the consummation of the Transactions, will be, Solvent.</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0"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7.12.    [Reserved].</w:t>
      </w:r>
      <w:r>
        <w:rPr>
          <w:color w:val="000000"/>
        </w:rPr>
        <w:t xml:space="preserve">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7.13.    Indebtedness and Liens.</w:t>
      </w:r>
      <w:r>
        <w:rPr>
          <w:color w:val="000000"/>
        </w:rPr>
        <w:t xml:space="preserve"> </w:t>
      </w:r>
      <w:r>
        <w:rPr>
          <w:rFonts w:ascii="Times New Roman;sans-serif" w:hAnsi="Times New Roman;sans-serif"/>
          <w:b w:val="false"/>
          <w:color w:val="000000"/>
          <w:sz w:val="24"/>
        </w:rPr>
        <w:t>As of the date hereof, the Obligors and their respective Subsidiaries do not have any Indebtedness other than Permitted Indebtedness, and their Property is not subject to any Liens other than Permitted Liens.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7.14.    Material Agreements.</w:t>
      </w:r>
      <w:r>
        <w:rPr>
          <w:color w:val="000000"/>
        </w:rPr>
        <w:t xml:space="preserve"> </w:t>
      </w:r>
      <w:r>
        <w:rPr>
          <w:rFonts w:ascii="Times New Roman;sans-serif" w:hAnsi="Times New Roman;sans-serif"/>
          <w:b w:val="false"/>
          <w:color w:val="000000"/>
          <w:sz w:val="24"/>
        </w:rPr>
        <w:t>Set forth on Schedule 7.14 (as such Schedule may be updated by the Obligors from time to time) is a complete and correct list of (a) each Material Agreement and (b) each Contract creating or evidencing any Material Indebtedness. Accurate and complete copies of each such Contract listed on such schedule have been made available to the Administrative Agent. No Obligor is in default in any respect under any such Material Agreement or such Contract creating or evidencing any Material Indebtedness listed on such schedule, in each case, other than bona fide disputes and defaults which would not, individually or in the aggregate, be reasonably expected to have a Material Adverse Effect. No Obligor has knowledge of any default in any material respect by any counterparty to such Material Agreement or such Contract. Except as otherwise disclosed on Schedule 7.14 (as such Schedule may be updated the Obligors from time to time), all material vendor purchase agreements and provider Contracts of the Obligors, and all Material Agreements including a grant of rights under any Intellectual Property to an Obligor, are in full force and effect without material modification from the form in which the same were disclosed to the Lenders.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7.15.    Restrictive Agreements.</w:t>
      </w:r>
      <w:r>
        <w:rPr>
          <w:color w:val="000000"/>
        </w:rPr>
        <w:t xml:space="preserve"> </w:t>
      </w:r>
      <w:r>
        <w:rPr>
          <w:rFonts w:ascii="Times New Roman;sans-serif" w:hAnsi="Times New Roman;sans-serif"/>
          <w:b w:val="false"/>
          <w:color w:val="000000"/>
          <w:sz w:val="24"/>
        </w:rPr>
        <w:t>None of the Obligors is party to any Restrictive Agreement, except (a) those listed on Schedule 7.15 or otherwise permitted under Section 9.11, (b) restrictions and conditions imposed by Law or by the Loan Documents, (c) any stockholder agreement, investor rights agreement, charter, bylaws or other Organizational Documents of an Obligor and (d) limitations associated with Permitted Liens.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7.16.    Real Property.</w:t>
      </w:r>
      <w:r>
        <w:rPr>
          <w:color w:val="000000"/>
        </w:rPr>
        <w:t xml:space="preserve"> </w:t>
      </w:r>
      <w:r>
        <w:rPr>
          <w:rFonts w:ascii="Times New Roman;sans-serif" w:hAnsi="Times New Roman;sans-serif"/>
          <w:b w:val="false"/>
          <w:color w:val="000000"/>
          <w:sz w:val="24"/>
        </w:rPr>
        <w:t>No Obligor or any of its Subsidiaries owns or leases (as tenant thereof) any real Property on the date hereof, except as described on Schedule 7.16.</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7.17.    Pension and Other Plans</w:t>
      </w:r>
      <w:r>
        <w:rPr>
          <w:rFonts w:ascii="Times New Roman;sans-serif" w:hAnsi="Times New Roman;sans-serif"/>
          <w:b w:val="false"/>
          <w:color w:val="000000"/>
          <w:sz w:val="24"/>
        </w:rPr>
        <w:t>. Schedule 7.17 sets forth, as of the date hereof, a complete and correct list of, and that separately identifies, (a) all Title IV Plans, and (b) all Multiemployer Plans. Except as would not, in the aggregate, have a Material Adverse Effect, (i) each Benefit Plan is in compliance with applicable provisions of ERISA, the Code and other Requirements of Law, (ii) there are no existing or pending (or to the knowledge of any Obligor or Subsidiary thereof, threatened) Claims (other than routine Claims for benefits in the normal course), sanctions, actions, lawsuits or other proceedings or investigations involving any Benefit Plan, and (iii) no ERISA Event has occurred or is reasonably expected to occur.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7.18.    Collateral; Security Interest.</w:t>
      </w:r>
      <w:r>
        <w:rPr>
          <w:color w:val="000000"/>
        </w:rPr>
        <w:t xml:space="preserve"> </w:t>
      </w:r>
      <w:r>
        <w:rPr>
          <w:rFonts w:ascii="Times New Roman;sans-serif" w:hAnsi="Times New Roman;sans-serif"/>
          <w:b w:val="false"/>
          <w:color w:val="000000"/>
          <w:sz w:val="24"/>
        </w:rPr>
        <w:t xml:space="preserve">Each Security Document is effective to create in favor of the Administrative Agent for the benefit of the Lenders a legal, valid and enforceable security interest in the Collateral subject thereto and each such security interest is perfected to the extent required by (and has the priority required by) the applicable Security Document, subject to Permitted Liens. The Security Documents collectively are effective to create in favor of the Administrative Agent for the benefit of the Lenders a legal, valid and enforceable security interest in the Collateral, which upon the filing of financing statements and other similar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1"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statements filed in the appropriate offices, such security interests are perfected security interests (subject only to Permitted Liens) to the extent that such perfection may be obtained by such filing.</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7.19.    Regulatory Approvals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(a)Each Obligor and each of its Subsidiaries holds either directly or through licensees and agents, all Regulatory Approvals and Permits necessary or required for each Obligor and its Subsidiaries to conduct all material Product Development and Commercialization Activities conducted by such Obligor and its respective Subsidiaries with respect to the Products.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(b)Set forth on Schedule 7.19(b) is a complete and accurate list as of the date hereof of all Regulatory Approvals referred to in clause (a) above, if any, setting forth (on a per Product basis) the Obligor that holds such Regulatory Approval and identifying the Product related to such Regulatory Approval. All such Regulatory Approvals are (i) legally and beneficially owned exclusively by the Obligor identified on Schedule 7.19(b), free and clear of all Liens other than Permitted Liens, (ii) validly registered and on file with the applicable Regulatory Authority, in material compliance with all registration, filing and maintenance requirements (including any fee requirements) thereof, and (iii) in good standing, valid and enforceable with the applicable Regulatory Authority. All required and material notices, registrations and listings, supplemental applications or notifications, reports (including annual reports, field alerts, Device reports or other reports of adverse experiences) and all other required and material filings with respect to the Products or any related Product Development and Commercialization Activities by such Obligor have been filed with the FDA and all other applicable Governmental Authorities.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(i) All material regulatory filings required by any Regulatory Authority or in respect of any Product Authorization or other Regulatory Approval with respect to any Product or any Product Development and Commercialization Activities by such Obligor have been made, and all such filings are complete and correct in all material respects and have complied in all material respects with all applicable Requirements of Law, (ii) all clinical and pre-clinical trials, if any, of investigational Products have been and are being conducted by each Obligor according to all applicable Requirements of Law in all material respects along with appropriate monitoring of clinical investigator trial sites for their compliance, and (iii) each Obligor has disclosed to the Lenders all such material regulatory filings and to the extent requested in writing by any Lender, any written material communications between representatives of each Obligor and any Regulatory Authority.</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(d)Each Obligor and, to each Obligor’s knowledge, each of its agents are in compliance in all material respects with all applicable statutes, rules and regulations (including all Product Authorizations and other Regulatory Approvals) of all applicable Governmental Authorities, including the FDA and all other Regulatory Authorities, with respect to each Product and all Product Development and Commercialization Activities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2"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by such Obligor have related thereto. Each Obligor has and maintains in full force and effect all the necessary and requisite Product Authorizations and other Regulatory Approvals for its Products. Each Obligor is in compliance in all material respects with all applicable registration and listing requirements set forth in all applicable FDA Laws or equivalent regulation of each other Governmental Authority having jurisdiction over such Person. Each Obligor adheres in all material respects to all applicable regulations of all Regulatory Authorities with respect to the Products and all Product Development and Commercialization Activities by such Obligor have related thereto.</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(e)(i) No Obligor has received from any Regulatory Authority any notice of adverse findings with respect to any Product or any Product Development and Commercialization Activities related thereto, including any FDA Form 483 inspectional observations, notices of violations, warning letters, criminal proceeding notices under Section 305 of the FD&amp;C Act, or any other similar communication from any Regulatory Authority, (ii) there have been no seizures conducted or, to each Obligor’s knowledge, threatened by any Regulatory Authority with respect to any Product, and no recalls, market withdrawals, field notifications, notifications of misbranding or adulteration or safety alerts conducted, requested or, to any Obligor’s knowledge, threatened by any Regulatory Authority with respect to any Product, and (iii) no Obligor has received any written notification that remains unresolved from the FDA or any other Regulatory Authority indicating any breach or violation of any applicable Product Authorization or other Regulatory Approval, including that any Product is misbranded or adulterated as defined in the FD&amp;C Act or the rules and regulations promulgated thereunder, in each case of (i), (ii) and (iii) that has had, or would reasonably be expected to have, a Material Adverse Effect.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(f)Neither any Obligor nor, to any Obligor’s knowledge, any officer, employee or agent thereof, has made an untrue statement of a material fact or fraudulent statements to the FDA or any other Regulatory Authority, failed to disclose a material fact required to be disclosed to the FDA or any other Regulatory Authority, or committed an act, made a statement, or failed to make a statement that, at the time such disclosure was made (or was not made), would reasonably be expected to provide a basis for the FDA or any other Regulatory Authority to invoke its policy respecting Fraud, Untrue Statements of Material Facts, Bribery and Illegal Gratuities, set forth in 56 Fed. Reg. 46191 (September 10, 1991) or any similar policy.</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(g)No Obligor has received any written notice that the FDA or any other applicable Regulatory Authority has commenced or initiated, or, to the knowledge of any such Obligor, threatened to commence or initiate, any action to withdraw any Regulatory Approval or Product Authorization or requested the recall of any Products or commenced or initiated or, to the knowledge of such Obligor, threatened to commence or initiate, any action to enjoin any Product Development and Commercialization Activities of such Obligor.</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(h)The clinical, preclinical, safety and other studies and tests conducted by or on behalf of or sponsored by each Obligor, or in respect of which any Products or Product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3"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candidates under development have participated, were (and if still pending, are) being conducted materially in accordance with standard medical and scientific research procedures and all applicable Product Authorizations. Each Obligor has operated within, and currently is in compliance in all material respects with, all applicable Laws, Product Authorizations and other Regulatory Approvals, as well as the rules and regulations of the FDA and each other Regulatory Authority. No Obligor has received any notices or other correspondence from the FDA or any other Regulatory Authority requiring the termination or suspension of any clinical, preclinical, safety or other studies or tests used to support regulatory clearance of, or any Product Authorization or other Regulatory Approval for, any Product.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(i)No material debarment or exclusionary Claims, actions, proceedings or investigations in respect of any Obligor’s business is pending, or to such Obligor’s knowledge, threatened in writing against such Obligor or its officers, employees or agents. No Obligor or, to such Obligor’s knowledge, any officer, employee or agent of such Obligor, has been convicted of any crime or engaged in any conduct that would reasonably be expected to result in a debarment or exclusion under (i) Section 335a of the FD&amp;C Act or (ii) any similar applicable Law.</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7.20.    Capitalization.</w:t>
      </w:r>
      <w:r>
        <w:rPr>
          <w:color w:val="000000"/>
        </w:rPr>
        <w:t xml:space="preserve"> </w:t>
      </w:r>
      <w:r>
        <w:rPr>
          <w:rFonts w:ascii="Times New Roman;sans-serif" w:hAnsi="Times New Roman;sans-serif"/>
          <w:b w:val="false"/>
          <w:color w:val="000000"/>
          <w:sz w:val="24"/>
        </w:rPr>
        <w:t>All of the issued and outstanding securities of each Obligor have been duly authorized, are validly issued, fully paid, and non-assessable. There are no outstanding or authorized stock appreciation, phantom stock, profit participation, or similar rights with respect to the Obligors. There are no voting trusts, proxies, or other agreements or understandings with respect to the voting of the ownership interests of the Obligors (other than Holdings). None of the Equity Interests in any Obligor (other than Holdings) has been mortgaged, assigned or pledged in favor of any Person, other than pursuant to the Security Agreement.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7.21.    Insurance.</w:t>
      </w:r>
      <w:r>
        <w:rPr>
          <w:color w:val="000000"/>
        </w:rPr>
        <w:t xml:space="preserve"> </w:t>
      </w:r>
      <w:r>
        <w:rPr>
          <w:rFonts w:ascii="Times New Roman;sans-serif" w:hAnsi="Times New Roman;sans-serif"/>
          <w:b w:val="false"/>
          <w:color w:val="000000"/>
          <w:sz w:val="24"/>
        </w:rPr>
        <w:t>Each Obligor has obtained (and is maintaining), insurance for its assets (including the Collateral) and business as required under the Loan Documents.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7.22.    Certain Fees.</w:t>
      </w:r>
      <w:r>
        <w:rPr>
          <w:color w:val="000000"/>
        </w:rPr>
        <w:t xml:space="preserve"> </w:t>
      </w:r>
      <w:r>
        <w:rPr>
          <w:rFonts w:ascii="Times New Roman;sans-serif" w:hAnsi="Times New Roman;sans-serif"/>
          <w:b w:val="false"/>
          <w:color w:val="000000"/>
          <w:sz w:val="24"/>
        </w:rPr>
        <w:t>Except as described on Schedule 7.22, no broker’s or finder’s fee will be payable in connection with the execution and delivery of this Agreement.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7.23.    Sanctions Laws.</w:t>
      </w:r>
      <w:r>
        <w:rPr>
          <w:color w:val="000000"/>
        </w:rPr>
        <w:t xml:space="preserve"> </w:t>
      </w:r>
      <w:r>
        <w:rPr>
          <w:rFonts w:ascii="Times New Roman;sans-serif" w:hAnsi="Times New Roman;sans-serif"/>
          <w:b w:val="false"/>
          <w:color w:val="000000"/>
          <w:sz w:val="24"/>
        </w:rPr>
        <w:t>Obligors and, to the knowledge of the Obligors, any director, officer or employee of an Obligor acting on behalf of the Obligors, are in compliance with the Sanctions Laws.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7.24.    Anti-Corruption Laws.</w:t>
      </w:r>
      <w:r>
        <w:rPr>
          <w:color w:val="000000"/>
        </w:rPr>
        <w:t xml:space="preserve"> </w:t>
      </w:r>
      <w:r>
        <w:rPr>
          <w:rFonts w:ascii="Times New Roman;sans-serif" w:hAnsi="Times New Roman;sans-serif"/>
          <w:b w:val="false"/>
          <w:color w:val="000000"/>
          <w:sz w:val="24"/>
        </w:rPr>
        <w:t>No Obligor nor any of its Subsidiaries has, nor, to the knowledge of any Responsible Officer of any Obligor, has any director, officer, agent or employee of any Obligor acting on behalf of such Obligor (a) taken any action, directly or indirectly, that would result in a violation by such Persons of the Anti-Corruption Laws, (b) made, offered to make, promised to make or authorized the payment or giving of, directly or indirectly, any Prohibited Payment or (c) been subject to any investigation by any Governmental Authority with regard to any actual or alleged Prohibited Payment.</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4"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-66-</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7.25.    Anti-Terrorism Laws.</w:t>
      </w:r>
      <w:r>
        <w:rPr>
          <w:color w:val="000000"/>
        </w:rPr>
        <w:t xml:space="preserve"> </w:t>
      </w:r>
      <w:r>
        <w:rPr>
          <w:rFonts w:ascii="Times New Roman;sans-serif" w:hAnsi="Times New Roman;sans-serif"/>
          <w:b w:val="false"/>
          <w:color w:val="000000"/>
          <w:sz w:val="24"/>
        </w:rPr>
        <w:t>The Obligors (a) have taken reasonable measures to ensure compliance with applicable Economic Sanctions Laws and Anti-Terrorism Laws, (b) are not Designated Persons and (c) have not used any part of the proceeds from any advance on behalf of any Designated Person or has not used, directly by it or indirectly through any Subsidiary, such proceeds in connection with any investment in, or any transactions or dealings with, any Designated Person.</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7.26.    Royalty and Other Payments</w:t>
      </w:r>
      <w:r>
        <w:rPr>
          <w:rFonts w:ascii="Times New Roman;sans-serif" w:hAnsi="Times New Roman;sans-serif"/>
          <w:b w:val="false"/>
          <w:color w:val="000000"/>
          <w:sz w:val="24"/>
        </w:rPr>
        <w:t>. Except as set forth on Schedule 7.26, no Obligor, nor any of its Subsidiaries, is obligated to pay any royalty, milestone payment, deferred payment or any other contingent payment in respect of any Product.</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8</w:t>
        <w:br/>
        <w:br/>
        <w:t>Affirmative Covenants and Financial Covenants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Obligor covenants and agrees with the Lenders that, until the Commitments have expired or been terminated and all Obligations (other than the Warrant Obligations and inchoate indemnity obligations) have been paid in full in cash:</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8.01.    Financial Statements and Other Information</w:t>
      </w:r>
      <w:r>
        <w:rPr>
          <w:rFonts w:ascii="Times New Roman;sans-serif" w:hAnsi="Times New Roman;sans-serif"/>
          <w:b w:val="false"/>
          <w:color w:val="000000"/>
          <w:sz w:val="24"/>
        </w:rPr>
        <w:t>. It will furnish to the Administrative Agent for distribution to the Lenders: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(a)as soon as available and in any event within forty-five (45) days after the end of each fiscal quarter, the consolidated balance sheet of Holdings and its Subsidiaries as at the end of such fiscal quarter and the related consolidated statement of income, stockholders’ equity and cash flows of Holdings and its Subsidiaries for such fiscal quarter and for the period from the beginning of the then current fiscal year to the end of such fiscal quarter, together with (i) a certificate of a Responsible Officer of Holdings stating that such financial statements fairly present in all material respects the financial condition of Holdings and its Subsidiaries as at such date and the results of operations of Holdings and its Subsidiaries for the period ended on such date and have been prepared substantially in accordance with GAAP consistently applied, subject to changes resulting from normal quarterly or year-end adjustments and except for the absence of footnotes and (ii) a management’s discussion and analysis of the financial condition and results of operations, including Holdings’ and its Subsidiaries’ liquidity and capital resources;</w:t>
      </w:r>
      <w:r>
        <w:rPr>
          <w:color w:val="000000"/>
        </w:rPr>
        <w:t xml:space="preserv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Holdings is subject to the public reporting requirements of the Exchange Act, Holdings’ filing of a Quarterly Report on Form 10-Q with the SEC shall be deemed to satisfy the requirements of this Section 8.01(a) on the date on which such report is first available via the SEC’s EDGAR system or a successor system related thereto.</w:t>
      </w:r>
    </w:p>
    <w:p>
      <w:pPr>
        <w:pStyle w:val="TextBody"/>
        <w:bidi w:val="0"/>
        <w:spacing w:lineRule="auto" w:line="304"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(b)as soon as available and in any event within one hundred twenty (120) days after the end of each fiscal year, the consolidated balance sheet of Holdings and its Subsidiaries as of the end of such fiscal year, and the related consolidated statement of income, shareholders’ equity and cash flows of Holdings and its Subsidiaries for such fiscal year prepared substantially in accordance with GAAP consistently applied,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5"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-67-</w:t>
                      </w:r>
                    </w:p>
                  </w:txbxContent>
                </v:textbox>
                <w10:wrap type="none"/>
              </v:rect>
            </w:pict>
          </mc:Fallback>
        </mc:AlternateContent>
      </w:r>
    </w:p>
    <w:p>
      <w:pPr>
        <w:pStyle w:val="TextBody"/>
        <w:bidi w:val="0"/>
        <w:spacing w:lineRule="auto" w:line="304" w:before="280" w:after="283"/>
        <w:jc w:val="both"/>
        <w:rPr/>
      </w:pPr>
      <w:r>
        <w:rPr>
          <w:rFonts w:ascii="Times New Roman;sans-serif" w:hAnsi="Times New Roman;sans-serif"/>
          <w:b w:val="false"/>
          <w:color w:val="000000"/>
          <w:sz w:val="24"/>
        </w:rPr>
        <w:t xml:space="preserve">accompanied by (i) a report and opinion thereon of Ernst &amp; Young LLP or another firm of independent certified public accountants of recognized national standing, which report and opinion shall be prepared in accordance with generally accepted auditing standards and shall not be subject to any “going concern” or like qualification or exception audit or any qualification or exception as to the scope of such audit (other than (A) solely with respect to, or resulting solely from the upcoming Stated Maturity Date occurring within one year from the time such report is delivered or (B) with respect to the extent the components of such consolidated financial statements relating to a prior fiscal period are separately audited by different independent public accounting firms, the audit report of any such accounting firm may contain a qualification or exception as to scope of such consolidated financial statements as they relate to such components) and (ii) a management’s discussion and analysis of the financial condition and results of operations, including the Obligors’ liquidity and capital resources;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Holdings is subject to the public reporting requirements of the Exchange Act, Holdings’ filing of an Annual Report on Form 10-K with the SEC shall be deemed to satisfy the requirements of this Section 8.01(b) on the date on which such report is first available via the SEC’s EDGAR system or a successor system related thereto;</w:t>
      </w:r>
      <w:r>
        <w:rPr>
          <w:color w:val="000000"/>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(c)within thirty (30) days after the end of each month, a compliance certificate of a Responsible Officer of Holdings as of the end of the applicable accounting period (which delivery may, unless a Lender requests executed originals, be by electronic communication including email and shall be deemed to be an original authentic counterpart thereof for all purposes) in the form of Exhibit E (a </w:t>
      </w:r>
      <w:r>
        <w:rPr>
          <w:color w:val="000000"/>
        </w:rPr>
        <w:t>“</w:t>
      </w:r>
      <w:r>
        <w:rPr>
          <w:rFonts w:ascii="Times New Roman;sans-serif" w:hAnsi="Times New Roman;sans-serif"/>
          <w:b w:val="false"/>
          <w:i/>
          <w:color w:val="000000"/>
          <w:sz w:val="24"/>
        </w:rPr>
        <w:t>Compliance Certificate”</w:t>
      </w:r>
      <w:r>
        <w:rPr>
          <w:rFonts w:ascii="Times New Roman;sans-serif" w:hAnsi="Times New Roman;sans-serif"/>
          <w:b w:val="false"/>
          <w:color w:val="000000"/>
          <w:sz w:val="24"/>
        </w:rPr>
        <w:t xml:space="preserve">) which, for purposes of clarification, shall (i) confirm the Obligors’ compliance with Section 8.15(a) and (ii) for each month end that coincides with the end of a fiscal quarter or fiscal year of Obligors, (A) confirm the Obligors’ compliance with Section 8.11 and Section 8.15(b), (B) confirm that no Default or Event of Default is continuing (and if a Default or Event of Default has occurred and is continuing state the proposed actions that the Obligors intend to take in connection with such Default or Event of Default), (C) notify the Administrative Agent if a Foreign Subsidiary which qualified as an Immaterial Foreign Subsidiary at the time of the delivery of the previous Compliance Certificate ceases to qualify as an Immaterial Foreign Subsidiary, and (D) provide a copy of any new Material Agreement,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Holdings’ filing of any such Material Agreement with the SEC shall be deemed to satisfy the requirements of this clause (D) on the date on which such report is first available via the SEC’s EDGAR system or a successor system related thereto;</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(d)promptly, and in any event within five (5) Business Days after receipt thereof by an Obligor thereof, copies of each notice or other correspondence received from any securities regulator or exchange to the authority of which an Obligor is subject concerning any investigation or possible investigation or other inquiry by such agency regarding financial or other operational results of such Obligor;</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16"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-68-</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(e)upon any renewal or replacement, the information regarding insurance maintained by Obligors as and when required under Section 8.05;</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(f)promptly following the Lenders’ written request at any time, proof of the Obligors’ compliance with Section 8.15(a), which may include statements showing the current balance of each account of the Obligors holding Unrestricted Cash necessary to establish compliance with Section 8.15(a);</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(g)within ten (10) days of delivery, copies of all periodic reports distributed by Holdings to its shareholders generally;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 any such material may be redacted by Holdings to exclude information relating to the Loan Documents or the Lenders and (ii) the Lenders shall not be entitled to receive statements, reports and notices relating to topics that (A) are subject to attorney-client privilege or (B) present a conflict of interest for the Lenders;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Holdings is subject to the public reporting requirements of the Exchange Act, Holdings’ filing of any such material with the SEC shall be deemed to satisfy the requirements of this Section 8.01(g) on the date on which such report is first available via the SEC’s EDGAR system or a successor system related thereto;</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(h)only to the extent requested in writing by the Administrative Agent, a financial forecast for Holdings and its Subsidiaries for each fiscal year, including forecasted balance sheets, statements of income and cash flows of Holdings and its Subsidiaries (the “</w:t>
      </w:r>
      <w:r>
        <w:rPr>
          <w:rFonts w:ascii="Times New Roman;sans-serif" w:hAnsi="Times New Roman;sans-serif"/>
          <w:b w:val="false"/>
          <w:i/>
          <w:color w:val="000000"/>
          <w:sz w:val="24"/>
        </w:rPr>
        <w:t>Financial Plan</w:t>
      </w:r>
      <w:r>
        <w:rPr>
          <w:color w:val="000000"/>
        </w:rPr>
        <w:t>”</w:t>
      </w:r>
      <w:r>
        <w:rPr>
          <w:rFonts w:ascii="Times New Roman;sans-serif" w:hAnsi="Times New Roman;sans-serif"/>
          <w:b w:val="false"/>
          <w:color w:val="000000"/>
          <w:sz w:val="24"/>
        </w:rPr>
        <w:t>), all of which shall be prepared on a consolidated basis and delivered not later than March 31 of such fiscal year;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(i)within five (5) Business Days following any Lender’s written request, certification that such Obligor is not a passive foreign investment company (</w:t>
      </w:r>
      <w:r>
        <w:rPr>
          <w:color w:val="000000"/>
        </w:rPr>
        <w:t>“</w:t>
      </w:r>
      <w:r>
        <w:rPr>
          <w:rFonts w:ascii="Times New Roman;sans-serif" w:hAnsi="Times New Roman;sans-serif"/>
          <w:b w:val="false"/>
          <w:i/>
          <w:color w:val="000000"/>
          <w:sz w:val="24"/>
        </w:rPr>
        <w:t>PFIC”</w:t>
      </w:r>
      <w:r>
        <w:rPr>
          <w:rFonts w:ascii="Times New Roman;sans-serif" w:hAnsi="Times New Roman;sans-serif"/>
          <w:b w:val="false"/>
          <w:color w:val="000000"/>
          <w:sz w:val="24"/>
        </w:rPr>
        <w:t>) within the meaning of Sections 1291 through 1297 of the Code, or, if such Obligor determines that it is a PFIC, such information as would allow the Lender to make a qualified electing fund election with respect to the Equity Interest of the Obligor;</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(j)such other financial information respecting the operations, properties, business or financial condition of the Obligors (including with respect to the Collateral) as the Lenders may from time to time reasonably request; and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(k)so long as Holdings is a Publicly Reporting Company, Holdings shall within five (5) Business Days of Holdings filing, provide access (via posting and/or links on Holdings’ web site) to all reports on Form 10-K and Form 10-Q filed with the SEC, any Governmental Authority succeeding to any or all of the functions of the SEC or with any national securities exchange; and within five (5) Business Days of filing, provide notice and access (via posting and/or links on Holdings’ web site) to all reports filed on Form 8-K with the SEC, and copies of (or access to, via posting and/or links on Holdings’ web site) all other reports, proxy statements and other materials filed by Holdings with the SEC, any Governmental Authority succeeding to any of the functions of the SEC or with any national securities exchange.</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17"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-69-</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to the contrary herein, no Obligor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Obligor or any Subsidiary owes confidentiality obligations (to the extent not created in contemplation of such Obligor’s or such Subsidiary’s Obligations under this Section 8.01) to any third party.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8.02.    Notices of Material Events. </w:t>
      </w:r>
      <w:r>
        <w:rPr>
          <w:rFonts w:ascii="Times New Roman;sans-serif" w:hAnsi="Times New Roman;sans-serif"/>
          <w:b w:val="false"/>
          <w:color w:val="000000"/>
          <w:sz w:val="24"/>
        </w:rPr>
        <w:t>It will furnish to the Administrative Agent for distribution to the Lenders written notice of the following promptly after a Responsible Officer of Holdings and its Subsidiaries first learns of the existence of:</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(a)promptly after the occurrence of any Default or Event of Default;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(b)within three (3) Business Days after the occurrence of any event with respect to any Obligor’s Property resulting in a Loss, to the extent not covered by insurance, aggregating $1,000,000 or more;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(i) prior to the execution of a definitive agreement for any proposed Acquisition by any Obligor that would reasonably be expected to result in environmental liability under Environmental Laws in excess of $1,000,000, and (ii) in each case, to the extent that any of the following would reasonably be expected to result in liability in excess of $1,000,000: (A) spillage, leakage, discharge, disposal, leaching, migration or release of any Hazardous Material required to be reported to any Governmental Authority under applicable Environmental Laws, and (B) all actions, suits, Claims, notices of violation, hearings, investigations or proceedings pending, or threatened in writing against or affecting any Obligor or any of its Subsidiaries or with respect to the ownership, use, maintenance and operation of their respective businesses, operations or properties, relating to Environmental Laws or Hazardous Material;</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(d)within three (3) Business Days of obtaining knowledge thereof, the assertion of any environmental matter by any Person in writing against, or with respect to the activities of, any Obligor or any of its Subsidiaries and any alleged violation of or non-compliance with any Environmental Laws or any Permits, licenses or authorizations, in each case, which would reasonably be expected to involve damages in excess of $1,000,000 other than any environmental matter or alleged violation that, if adversely determined, would not (either individually or in the aggregate) have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(e)within three (3) Business Days of obtaining written notice or knowledge thereof, the filing or commencement of any action, suit or proceeding by or before any arbitrator or Governmental Authority against or directly affecting any Obligor or any of its Subsidiaries, in each case, that would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8"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-70-</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(f)(i) within ten (10) Business Days after receipt by any Obligor from the PBGC of a notice of intent to terminate any Title IV Plan or to have a trustee appointed to administer any Title IV Plan, a copy of such notice and (ii) promptly, and in any event within ten (10) days, after any Responsible Officer of any Obligor knows or has reason to know that a request for a minimum funding waiver under Section 412 of the Code has been filed with respect to any Title IV Plan or Multiemployer Plan, a notice (which may be made by telephone if promptly confirmed in writing) describing such waiver request, together with a copy of any notice filed with the PBGC or the IRS pertaining thereto;</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(g)within ten (10) Business Days of obtaining written notice or knowledge thereof, (i) the termination of any Material Agreement (other than in the Ordinary Course of Business); (ii) the receipt by any Obligor or any of its Subsidiaries of a written notice under any Material Agreement (and a copy thereof) asserting a default by such Obligor or any of its Subsidiaries where such alleged default would permit such counterparty to terminate such Material Agreement; (iii) the entering into any new Material Agreement by an Obligor (and a copy thereof, solely to the extent such Material Agreement is not made publicly available on the SEC’s EDGAR system or a successor system related thereto); or (iv) any amendment to a Material Agreement that would be materially adverse to the Lenders (and a copy thereof) (which includes, but is not limited to, any amendments to provisions relating to pricing and term);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notices required under this subsection (g) may be delivered with the next Compliance Certificate unless any of the foregoing events would reasonably be expected to have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(h)within three (3) Business Days of obtaining written notice or knowledge thereof, any product recalls, safety alerts, corrections, withdrawals, marketing suspensions, removals or the like conducted, to be undertaken or issued by any Obligor or any of its Subsidiaries, whether or not at the request, demand or order of any Governmental Authority or otherwise with respect to any Product;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(i)within five (5) Business Days of obtaining written notice or knowledge thereof, any infringement or other violation by any Person of any Obligor Intellectual Property that would reasonably be expected to result in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(j)within five (5) Business Days of obtaining written notice or knowledge thereof, a material licensing agreement or arrangement entered into by any Obligor or any of its Subsidiaries in connection with any infringement or alleged infringement of the Intellectual Property of another Person that would reasonably be expected to have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(k)within five (5) Business Days of obtaining written notice or knowledge thereof, any written Claim by any Person that the conduct of any Obligor’s (or any Subsidiary thereof) business, including the development, manufacture, use, sale or other commercialization of any Product, infringes any Intellectual Property of such Person, except to the extent any such Claim would not reasonably be expected to result in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9"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-71-</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(l)the distribution of reports and notices as and when required by the Security Documents;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(m)within thirty (30) days of the date thereof, or, if earlier, on the date of delivery of any financial statements pursuant to Section 8.01, notice of any material change in accounting policies or financial reporting practices by the Obligors;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(n)within five (5) Business Days after the occurrence thereof, notice of any labor controversy resulting in or threatening to result in any strike, work stoppage, boycott, shutdown or other labor disruption against or involving an Obligor (or any Subsidiary thereof) that is reasonably expected to have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(o)within five (5) Business Days of any other development that results in, or would reasonably be expected to result in,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(p)within five (5) Business Days of the acceleration of the maturity of any Material Indebtedness owed by any Obligor or of any default by Obligors under the CDEC Indebtedness, the Settlement Agreement and any other indenture, mortgage, agreement, contract or other instrument to which any of them is a party or by which any of them or any of their properties is bound, if such acceleration or default could, in the reasonable opinion of Holdings, cause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(q)within five (5) Business Days of the failure to pay any Taxes or obligations that are not paid in accordance with Section 8.04;</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(r)concurrently with the delivery of financial statements under Section 8.01, the creation or other acquisition of any Intellectual Property by any Obligor or any Subsidiary after the date hereof and during such prior fiscal year which is registered or becomes registered or the subject of an application for registration with the United States Copyright Office or the United States Patent and Trademark Office, as applicable, or with any other equivalent foreign Governmental Authority;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(s)within five (5) Business Days of any change to any Obligor’s ownership of Deposit Accounts, Securities Accounts and Commodity Accounts, by delivering to the Lenders an updated Schedule 7 to the Security Agreement setting forth a complete and correct list of all such accounts as of the date of such change; and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(t)within ten (10) Business Days of (i) receipt of any subpoena, civil investigative demand letter, or other notice from any Governmental Authority of any investigation or audit, or pending or threatened (in writing) proceedings relating to any material violation of any Health Care Law, (ii) receipt of notice from any Governmental Authority or Third-Party Payor Program of any payment suspension, material overpayment demand, prepayment review, validation review or program integrity review relating to a Federal Health Care Program or any material Third-Party Payor Program, (iii) loss, suspension or relinquishment of any Product Authorization, other Regulatory Approval, or material Third-Party Payor Authorization, or (iv) voluntary disclosure to a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0"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-72-</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Governmental Authority of an overpayment amount greater than $1,000,000 related to an actual or potential violation of Health Care Laws.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Each notice delivered under this Section 8.02 shall be accompanied by a statement of a Responsible Officer of Holdings setting forth in reasonable detail the event or development requiring such notice and any action taken or proposed to be taken with respect thereto;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so long as Holdings is a Publicly Reporting Company, Holdings’ filing of notice of any such event with the SEC shall be deemed to satisfy the requirements of this Section 8.02 on the date on which such report is first available via the SEC’s EDGAR system or a successor system related thereto.</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Notwithstanding any contrary provision of this Agreement or any other Loan Document (including, without limitation, Sections 8.01 and 8.02), so long as Holdings is a Publicly Reporting Company, in the event that the Administrative Agent provides notice to Holdings that it no longer desires to receive any information that constitutes material non-public information, the Obligors shall not be required to provide any information pursuant to the terms hereof or thereof unless Holdings is disclosing such information pursuant to a filing with the SEC;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notwithstanding the foregoing, the Obligors shall at all times comply with Section 8.01(c) and 8.02(a).</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Notwithstanding anything to the contrary herein, no Obligor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Obligor or any Subsidiary owes confidentiality obligations (to the extent not created in contemplation of such Obligor’s or such Subsidiary’s Obligations under this Section 8.02) to any third party.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8.03.    Existence; Maintenance of Properties, Etc</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(a)It will, and will cause each of its Subsidiaries to, do or cause to be done all things necessary to preserve, renew and keep in full force and effect its legal existence;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foregoing shall not prohibit any merger, amalgamation, plan of arrangement, consolidation, liquidation or dissolution permitted under Section 9.03.</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(b)It shall, and shall cause each of its Subsidiaries to, maintain and preserve all rights, licenses, Permits, privileges and franchises material to the conduct of its business, and maintain and preserve all of its assets and properties, including all Product Assets, necessary to the conduct of its business in good working order and condition, ordinary wear and tear and damage from casualty or condemnation excepted.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(c)It shall, and shall cause each of its Subsidiaries to, use commercially reasonable efforts to cause each new employee and contractor that creates or develops Obligor Intellectual Property to execute and deliver a customary confidentiality, non-disclosure and Intellectual Property assignment agreement that includes a waiver of moral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1"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rights to the extent permitted by Law and such agreements are customary in the applicable jurisdiction.</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(d)Holdings shall maintain sufficient authorized but unissued share capital to satisfy in full, without the need for the passing of any further resolutions of its shareholders, the outstanding rights represented by the Warrant Certificate.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8.04.    Payment of Obligations.</w:t>
      </w:r>
      <w:r>
        <w:rPr>
          <w:color w:val="000000"/>
        </w:rPr>
        <w:t xml:space="preserve"> </w:t>
      </w:r>
      <w:r>
        <w:rPr>
          <w:rFonts w:ascii="Times New Roman;sans-serif" w:hAnsi="Times New Roman;sans-serif"/>
          <w:b w:val="false"/>
          <w:color w:val="000000"/>
          <w:sz w:val="24"/>
        </w:rPr>
        <w:t>It will, and will cause each of its Subsidiaries to, pay and discharge (a) all federal income and other material Taxes, fees, assessments and governmental charges or levies imposed upon it or upon its properties or assets prior to the date on which penalties attach thereto, and all lawful Claims for labor, materials and supplies which, if unpaid, might become a Lien (other than a Permitted Lien) upon any properties or assets of any Obligor, except to the extent such Taxes, fees, assessments or governmental charges or levies, or such Claims, are being contested in good faith by appropriate proceedings and are adequately reserved against substantially in accordance with GAAP, (b) all lawful Claims which, if unpaid, would by Law become a Lien upon its Property not constituting a Permitted Lien and (c) all other obligations if the failure to discharge such obligation would reasonably be expected to result in a Material Adverse Effect.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8.05.    Insurance.</w:t>
      </w:r>
      <w:r>
        <w:rPr>
          <w:color w:val="000000"/>
        </w:rPr>
        <w:t xml:space="preserve"> </w:t>
      </w:r>
      <w:r>
        <w:rPr>
          <w:rFonts w:ascii="Times New Roman;sans-serif" w:hAnsi="Times New Roman;sans-serif"/>
          <w:b w:val="false"/>
          <w:color w:val="000000"/>
          <w:sz w:val="24"/>
        </w:rPr>
        <w:t>At its own cost and expense, it will, and will cause each of its Subsidiaries, to obtain and maintain, with financially sound and reputable insurers, insurance of the kinds, and in the amounts, as are consistent with customary practices and standards of its industry in the same or similar locations, it being understood and agreed that the insurance held by the Obligors on the Closing Date is deemed to fulfill this requirement on the date hereof. All of the insurance policies required pursuant to this Section 8.05 will name the Administrative Agent as a “lender’s loss payee,” “additional insured” or “mortgagee,” as applicable and as its interests may appear. Borrowers will use their commercially reasonable efforts to ensure, or to cause others to ensure, that all insurance policies required pursuant to this Section 8.05 shall provide that they shall not be terminated or cancelled nor shall any policy be materially changed in a manner adverse to the insured Person without at least thirty (30) days’ written notice (or ten (10) days’ written notice if termination is due to non-payment) to the insured Person and the Administrative Agent. Receipt of notice of termination or cancellation of any such insurance policies shall entitle the Administrative Agent to renew any such policies, all in accordance with the first sentence of this Section 8.05 or otherwise to obtain similar insurance in place of such policies, in each case at the expense of Borrowers (payable within three (3) Business Days of a Borrower’s receipt of written demand therefor) and, unless an Event of Default has occurred and is continuing, with the prior written consent of Administrative Borrower (such consent not to be unreasonably withheld). The amount of any such expenses shall accrue interest at the Default Rate if not paid when due and shall constitute “Obligations.” All of the insurance policies required hereby will be evidenced by one or more certificates of insurance, together with appropriate lender’s loss payee or additional insured clauses or endorsements in favor of the Administrative Agent as required by this Section 8.05, delivered to the Administrative Agent on or before the Closing Date (or, with respect to such endorsements, within the time period set forth in Section 8.18) and at such other times as the Administrative Agent may request from time to time.</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2"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-74-</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8.06.    Books and Records; Inspection Rights.</w:t>
      </w:r>
      <w:r>
        <w:rPr>
          <w:color w:val="000000"/>
        </w:rPr>
        <w:t xml:space="preserve"> </w:t>
      </w:r>
      <w:r>
        <w:rPr>
          <w:rFonts w:ascii="Times New Roman;sans-serif" w:hAnsi="Times New Roman;sans-serif"/>
          <w:b w:val="false"/>
          <w:color w:val="000000"/>
          <w:sz w:val="24"/>
        </w:rPr>
        <w:t>It will, and will cause each of its Subsidiaries to, keep proper books of record and account in which full, true and correct entries are made of all dealings and transactions in relation to its business and activities. It will, and will cause each of its Subsidiaries to, permit any representatives designated by the Administrative Agent, upon reasonable prior notice and at reasonable times, to visit and inspect its properties, to examine and make extracts from its books and records, and to discuss its affairs, finances and condition with its officers and independent accountants, all at such reasonable times during normal business hours and with reasonable advance notice as the Administrative Agent may request. It will, and will cause each of its Subsidiaries to, pay all reasonable and documented out-of-pocket expenses incurred by the Administrative Agent (a) so long as no Default has occurred and is continuing, for no more than one (1) such inspections each calendar year and (b) during a continuing Default, all such inspections.</w:t>
      </w:r>
    </w:p>
    <w:p>
      <w:pPr>
        <w:pStyle w:val="TextBody"/>
        <w:bidi w:val="0"/>
        <w:spacing w:lineRule="auto" w:line="280" w:before="280" w:after="283"/>
        <w:jc w:val="both"/>
        <w:rPr/>
      </w:pPr>
      <w:r>
        <w:rPr>
          <w:color w:val="000000"/>
        </w:rPr>
        <w:t>    </w:t>
      </w:r>
      <w:r>
        <w:rPr>
          <w:rFonts w:ascii="Times New Roman;sans-serif" w:hAnsi="Times New Roman;sans-serif"/>
          <w:b w:val="false"/>
          <w:color w:val="000000"/>
          <w:sz w:val="24"/>
        </w:rPr>
        <w:t>During the course any inspections, audits and other visits and discussions permitted under this Section 8.06 or elsewhere under the Loan Documents, representatives of the Administrative Agent (or any Lender (or their respective representatives or contractors)) may encounter individually identifiable health care information as defined under HIPAA, or other confidential information relating to health care patients (collectively, the “</w:t>
      </w:r>
      <w:r>
        <w:rPr>
          <w:rFonts w:ascii="Times New Roman;sans-serif" w:hAnsi="Times New Roman;sans-serif"/>
          <w:b w:val="false"/>
          <w:i/>
          <w:color w:val="000000"/>
          <w:sz w:val="24"/>
        </w:rPr>
        <w:t>Confidential Healthcare Information</w:t>
      </w:r>
      <w:r>
        <w:rPr>
          <w:color w:val="000000"/>
        </w:rPr>
        <w:t>”</w:t>
      </w:r>
      <w:r>
        <w:rPr>
          <w:rFonts w:ascii="Times New Roman;sans-serif" w:hAnsi="Times New Roman;sans-serif"/>
          <w:b w:val="false"/>
          <w:color w:val="000000"/>
          <w:sz w:val="24"/>
        </w:rPr>
        <w:t>). Unless otherwise required by any applicable laws, the Administrative Agent, the Lenders and their representatives shall not require or perform any act that would cause any Obligor, any Subsidiary or any other Person to violate any Health Care Laws, including HIPAA, including, without limitation, as a result of the disclosure of any Confidential Healthcare Information. In the event that the Administrative Agent (or any Lender (or their respective representatives or contractors)) proposes to undertake activities that the Administrative Borrower reasonably believes would constitute services of a “business associate” under HIPAA, including the disclosure of any protected Confidential Healthcare Information, the parties hereto agree to review the matter and, where appropriate, the Administrative Agent (or applicable Lender (or such respective representatives or contractors)) may take action to comply with HIPAA, and shall, upon the Administrative Borrower’s reasonable request and at the Administrative Borrower’s expense, execute a business associate agreement with the applicable Person.</w:t>
      </w:r>
    </w:p>
    <w:p>
      <w:pPr>
        <w:pStyle w:val="TextBody"/>
        <w:bidi w:val="0"/>
        <w:spacing w:lineRule="auto" w:line="280" w:before="280" w:after="283"/>
        <w:jc w:val="both"/>
        <w:rPr>
          <w:color w:val="000000"/>
        </w:rPr>
      </w:pPr>
      <w:r>
        <w:rPr>
          <w:color w:val="000000"/>
        </w:rPr>
        <w:t>    </w:t>
      </w:r>
      <w:r>
        <w:rPr>
          <w:rFonts w:ascii="Times New Roman;sans-serif" w:hAnsi="Times New Roman;sans-serif"/>
          <w:b w:val="false"/>
          <w:color w:val="000000"/>
          <w:sz w:val="24"/>
        </w:rPr>
        <w:t>Notwithstanding anything to the contrary herein, no Obligor nor any Subsidiary shall be required to deliver, disclose, permit the inspection, examination or making of copies of or excerpts from, or any discussion of, any document, information, or other matter (i) in respect of which disclosure to the Administrative Agent (or any Lender (or their respective representatives or contractors)) is prohibited by applicable law, (ii) that is subject to attorney-client or similar privilege or constitutes attorney work product or (iii) with respect to which any Obligor or any Subsidiary owes confidentiality obligations (to the extent not created in contemplation of such Obligor’s or such Subsidiary’s Obligations under this Section 8.06) to any third party.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8.07.    Compliance with Laws.</w:t>
      </w:r>
      <w:r>
        <w:rPr>
          <w:color w:val="000000"/>
        </w:rPr>
        <w:t xml:space="preserve">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(a)It will, and will cause each of its Subsidiaries to, (i) comply in all material respects with all Requirements of Law (including Health Care Laws and Environmental Laws) and (ii) comply in all material respects with all terms of outstanding Indebtedness and all Material Agreements, except (other than with respect to Obligor Intellectual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3"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Property) where the failure to do so, individually or in the aggregate, would not reasonably be expected to result in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(b)Each Obligor will maintain, and will cause each of its Subsidiaries to maintain, all records required to be maintained by a Governmental Authority or otherwise under any applicable Health Care Law, except where failure to do so, individually or in the aggregate, would not reasonably be expected to have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(c)Each Obligor will maintain, and will cause each of its Subsidiaries to maintain, in all material respects, a Health Care Compliance Program, which will be reviewed and updated annually, as necessary.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8.08.    Licenses.</w:t>
      </w:r>
      <w:r>
        <w:rPr>
          <w:color w:val="000000"/>
        </w:rPr>
        <w:t xml:space="preserve"> </w:t>
      </w:r>
      <w:r>
        <w:rPr>
          <w:rFonts w:ascii="Times New Roman;sans-serif" w:hAnsi="Times New Roman;sans-serif"/>
          <w:b w:val="false"/>
          <w:color w:val="000000"/>
          <w:sz w:val="24"/>
        </w:rPr>
        <w:t>It will, and will cause each of its Subsidiaries to, obtain and maintain all licenses, authorizations, consents, filings, exemptions, registrations and other Governmental Approvals necessary in connection with the execution, delivery and performance of the Loan Documents, the consummation of the Transactions or the operation and conduct of its business and ownership of its properties, except where failure to do so would not reasonably be expected to have a Material Adverse Effect.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8.09.    Action under Environmental Laws.</w:t>
      </w:r>
      <w:r>
        <w:rPr>
          <w:color w:val="000000"/>
        </w:rPr>
        <w:t xml:space="preserve"> </w:t>
      </w:r>
      <w:r>
        <w:rPr>
          <w:rFonts w:ascii="Times New Roman;sans-serif" w:hAnsi="Times New Roman;sans-serif"/>
          <w:b w:val="false"/>
          <w:color w:val="000000"/>
          <w:sz w:val="24"/>
        </w:rPr>
        <w:t xml:space="preserve">It will, and will cause each of its Subsidiaries to, upon a Responsible Officer becoming aware of the release of any Hazardous Materials in violation of any applicable Environmental Laws or the existence of any environmental liability under applicable Environmental Laws with respect to their respective businesses, operations or properties, take all actions, at their cost and expense, as shall be required by applicable Law to investigate and clean up the condition of their respective businesses, operations or properties, including all required removal, containment and remedial actions, and restore their respective businesses, operations or properties to a condition, except where failure to do so would not reasonably be expected to have a Material Adverse Effect;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neither an Obligor nor any Subsidiary shall be required to undertake any such investigation, clean up, removal, containment, remediation or other corrective action required by Environmental Laws to the extent that its obligation to do so is being contested in good faith and by proper proceedings and appropriate reserves are being maintained with respect to such circumstances in accordance with GAAP.</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8.10.    Use of Proceeds.</w:t>
      </w:r>
      <w:r>
        <w:rPr>
          <w:color w:val="000000"/>
        </w:rPr>
        <w:t xml:space="preserve"> </w:t>
      </w:r>
      <w:r>
        <w:rPr>
          <w:rFonts w:ascii="Times New Roman;sans-serif" w:hAnsi="Times New Roman;sans-serif"/>
          <w:b w:val="false"/>
          <w:color w:val="000000"/>
          <w:sz w:val="24"/>
        </w:rPr>
        <w:t>The proceeds of the Term Loans will be used only as provided in Section 2.05. No part of the proceeds of the Term Loans will be used, whether directly or indirectly, for any purpose that violates any of the Regulations of the Board of Governors of the Federal Reserve System, including Regulations T, U and X.</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8.11.    Certain Obligations Respecting Subsidiaries; Further Assurances</w:t>
      </w:r>
      <w:r>
        <w:rPr>
          <w:rFonts w:ascii="Times New Roman;sans-serif" w:hAnsi="Times New Roman;sans-serif"/>
          <w:b w:val="false"/>
          <w:color w:val="000000"/>
          <w:sz w:val="24"/>
        </w:rPr>
        <w:t xml:space="preserve">; Intellectual Property.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Subsidiaries.</w:t>
      </w:r>
      <w:r>
        <w:rPr>
          <w:color w:val="000000"/>
        </w:rPr>
        <w:t xml:space="preserve"> </w:t>
      </w:r>
      <w:r>
        <w:rPr>
          <w:rFonts w:ascii="Times New Roman;sans-serif" w:hAnsi="Times New Roman;sans-serif"/>
          <w:b w:val="false"/>
          <w:color w:val="000000"/>
          <w:sz w:val="24"/>
        </w:rPr>
        <w:t xml:space="preserve">It will take such action, and will cause each of its Subsidiaries to take such action, from time to time as shall be necessary to ensure that all Domestic Subsidiaries are “Guarantors” hereunder. Without limiting the generality of the foregoing, in the event that any Obligor shall form or acquire any new Subsidiary, it and </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4"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-76-</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its Subsidiaries will promptly and in any event within thirty (30) days (or such longer time as consented to by the Administrative Agent in writing) of the formation or Acquisition of such Subsidiary: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cause such new Subsidiary to become a “Guarantor” hereunder, and a “Grantor” under the Security Documents, pursuant to a Guarantee Assumption Agreement;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take such action or cause such Subsidiary to take such action (including delivering originals of any certificated Equity Interests of such Subsidiary, together with original, executed, undated transfer powers executed in blank and originals of any intercompany notes with undated endorsements executed in blank) as shall be necessary to create and perfect valid and enforceable first priority (subject to Permitted Liens) Liens on substantially all of the personal Property of such new Subsidiary as collateral security for the obligations of such new Subsidiary hereunder;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to the extent that the parent of such Subsidiary is not a party to the Security Documents or has not otherwise pledged Equity Interests in its Subsidiaries in accordance with the terms of the Security Documents and this Agreement, cause the parent of such Subsidiary to execute and deliver a pledge agreement in favor of the Administrative Agent, in respect of all outstanding issued shares of such Subsidiary;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deliver such proof of corporate action, incumbency of officers, opinions of counsel and other documents as is consistent with those delivered by each Obligor pursuant to Section 6.01 or as the Majority Lenders shall have requested;</w:t>
      </w:r>
    </w:p>
    <w:p>
      <w:pPr>
        <w:pStyle w:val="TextBody"/>
        <w:bidi w:val="0"/>
        <w:spacing w:before="0" w:after="0"/>
        <w:jc w:val="both"/>
        <w:rPr/>
      </w:pPr>
      <w:r>
        <w:rPr/>
      </w:r>
    </w:p>
    <w:p>
      <w:pPr>
        <w:pStyle w:val="TextBody"/>
        <w:bidi w:val="0"/>
        <w:spacing w:lineRule="auto" w:line="280" w:before="0" w:after="0"/>
        <w:jc w:val="both"/>
        <w:rPr/>
      </w:pP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solely with respect to any Foreign Subsidiary that is an Immaterial Foreign Subsidiary, no such actions shall be required other than a pledge by the owner of such Immaterial Foreign Subsidiary of 100% of the Equity Interests of such Immaterial Foreign Subsidiary, which pledge shall not be required to be perfected under the Law of such Immaterial Foreign Subsidiary’s jurisdiction of formation. For the avoidance of doubt, in the event that any Foreign Subsidiary ceases to qualify as an Immaterial Foreign Subsidiary, such Foreign Subsidiary shall, at the request of the Administrative Agent, promptly comply with clauses (a)(i)-(iv) hereof.</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Further Assurances.</w:t>
      </w:r>
      <w:r>
        <w:rPr>
          <w:color w:val="000000"/>
        </w:rPr>
        <w:t xml:space="preserve"> </w:t>
      </w:r>
      <w:r>
        <w:rPr>
          <w:rFonts w:ascii="Times New Roman;sans-serif" w:hAnsi="Times New Roman;sans-serif"/>
          <w:b w:val="false"/>
          <w:color w:val="000000"/>
          <w:sz w:val="24"/>
        </w:rPr>
        <w:t xml:space="preserve">It will, and will cause each of its Subsidiaries to, take such action from time to time as shall reasonably be requested in writing by the Majority Lenders to effectuate the purposes and objectives of this Agreement. Without limiting the generality of the foregoing, it will, and will cause each Person that is required to be a Guarantor to, take such action from time to time (including executing and delivering such assignments, security agreements, control agreements and other instruments) as shall be reasonably requested in writing by the Majority Lenders to create, in favor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25"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-77-</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Administrative Agent, perfected security interests and Liens (subject to Permitted Liens) in substantially all of the personal Property of such Obligor as collateral security for the Obligations;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any such security interest or Lien shall be subject to the relevant requirements of the Security Documents.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Intellectual Property</w:t>
      </w:r>
      <w:r>
        <w:rPr>
          <w:rFonts w:ascii="Times New Roman;sans-serif" w:hAnsi="Times New Roman;sans-serif"/>
          <w:b w:val="false"/>
          <w:color w:val="000000"/>
          <w:sz w:val="24"/>
        </w:rPr>
        <w:t xml:space="preserve">. In the event that any Obligor creates, develops or acquires Obligor Intellectual Property during the term of this Agreement, then the provisions of this Agreement shall automatically apply thereto and any such Obligor Intellectual Property shall automatically constitute part of the Collateral under the Security Documents, without further action by any party, in each case from and after the date of such creation, development or acquisition (except that any representations or warranties of any Obligor shall apply to any such Obligor Intellectual Property only from and after the date, if any, subsequent to such acquisition that such representations and warranties are brought down or made anew as provided herein). In the event that any Obligor holds or acquires Obligor Intellectual Property during the term of this Agreement, then, upon the request of the Administrative Agent, such Obligor shall take any action as shall be reasonably necessary and reasonably requested by the Administrative Agent to ensure that the provisions of this Agreement and the Security Agreement shall apply thereto and any such Obligor Intellectual Property shall constitute part of the Collateral under the Security Documents.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8.12.    Termination of Non-Permitted Liens.</w:t>
      </w:r>
      <w:r>
        <w:rPr>
          <w:color w:val="000000"/>
        </w:rPr>
        <w:t xml:space="preserve"> </w:t>
      </w:r>
      <w:r>
        <w:rPr>
          <w:rFonts w:ascii="Times New Roman;sans-serif" w:hAnsi="Times New Roman;sans-serif"/>
          <w:b w:val="false"/>
          <w:color w:val="000000"/>
          <w:sz w:val="24"/>
        </w:rPr>
        <w:t>In the event that any Responsible Officer of any Obligor shall become aware or be notified by the Lenders of the existence of any outstanding Lien against any Property of any Obligor or any of its Subsidiaries, which Lien is not a Permitted Lien, such Obligor shall use its best efforts to promptly terminate or cause the termination of such Lien.</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8.13.    [Reserved].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8.14.    Anti-Terrorism and Anti-Corruption Laws</w:t>
      </w:r>
      <w:r>
        <w:rPr>
          <w:rFonts w:ascii="Times New Roman;sans-serif" w:hAnsi="Times New Roman;sans-serif"/>
          <w:b w:val="false"/>
          <w:color w:val="000000"/>
          <w:sz w:val="24"/>
        </w:rPr>
        <w:t xml:space="preserve">. No Obligor shall engage in any transaction that violates any of the applicable prohibitions set forth in any Economic Sanctions Law, Anti-Terrorism Law, or the </w:t>
      </w:r>
      <w:r>
        <w:rPr>
          <w:rFonts w:ascii="Times New Roman;sans-serif" w:hAnsi="Times New Roman;sans-serif"/>
          <w:b w:val="false"/>
          <w:i/>
          <w:color w:val="000000"/>
          <w:sz w:val="24"/>
        </w:rPr>
        <w:t>US Foreign Corrupt Practices Act of 1977</w:t>
      </w:r>
      <w:r>
        <w:rPr>
          <w:color w:val="000000"/>
        </w:rPr>
        <w:t xml:space="preserve"> </w:t>
      </w:r>
      <w:r>
        <w:rPr>
          <w:rFonts w:ascii="Times New Roman;sans-serif" w:hAnsi="Times New Roman;sans-serif"/>
          <w:b w:val="false"/>
          <w:color w:val="000000"/>
          <w:sz w:val="24"/>
        </w:rPr>
        <w:t xml:space="preserve">(15 USC. §§ 78dd-1 </w:t>
      </w:r>
      <w:r>
        <w:rPr>
          <w:rFonts w:ascii="Times New Roman;sans-serif" w:hAnsi="Times New Roman;sans-serif"/>
          <w:b w:val="false"/>
          <w:i/>
          <w:color w:val="000000"/>
          <w:sz w:val="24"/>
        </w:rPr>
        <w:t>et seq.</w:t>
      </w:r>
      <w:r>
        <w:rPr>
          <w:rFonts w:ascii="Times New Roman;sans-serif" w:hAnsi="Times New Roman;sans-serif"/>
          <w:b w:val="false"/>
          <w:color w:val="000000"/>
          <w:sz w:val="24"/>
        </w:rPr>
        <w:t>). None of the funds or assets of such Obligor or any Subsidiary that are used to repay the Term Loans shall constitute property of, or shall be beneficially owned by, any Designated Person or, to such Obligor’s knowledge, be the direct proceeds derived from any transactions that violate the prohibitions set forth in any applicable Economic Sanctions Law, and no Designated Person shall have any direct or indirect interest in such Obligor insofar as such interest would violate any Economic Sanctions Laws applicable to such Obligor.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8.15.    Financial Covenants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Minimum Liquidity</w:t>
      </w:r>
      <w:r>
        <w:rPr>
          <w:rFonts w:ascii="Times New Roman;sans-serif" w:hAnsi="Times New Roman;sans-serif"/>
          <w:b w:val="false"/>
          <w:color w:val="000000"/>
          <w:sz w:val="24"/>
        </w:rPr>
        <w:t>. Borrowers shall ensure that the Obligors shall have aggregate Unrestricted Cash of not less than $5,000,000 at all times.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Minimum Core Product Revenue</w:t>
      </w:r>
      <w:r>
        <w:rPr>
          <w:rFonts w:ascii="Times New Roman;sans-serif" w:hAnsi="Times New Roman;sans-serif"/>
          <w:b w:val="false"/>
          <w:color w:val="000000"/>
          <w:sz w:val="24"/>
        </w:rPr>
        <w:t xml:space="preserve">. As of the end of the fiscal quarter ended December 31, 2023, and each fiscal quarter thereafter, the Obligors shall maintain, on a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6"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-78-</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consolidated basis, Core Product Revenue for the twelve (12) month period most recently ended on such date of not less than the amount set forth in the table below:</w:t>
      </w:r>
    </w:p>
    <w:tbl>
      <w:tblPr>
        <w:tblW w:w="6450" w:type="dxa"/>
        <w:jc w:val="left"/>
        <w:tblInd w:w="0" w:type="dxa"/>
        <w:tblLayout w:type="fixed"/>
        <w:tblCellMar>
          <w:top w:w="28" w:type="dxa"/>
          <w:left w:w="28" w:type="dxa"/>
          <w:bottom w:w="28" w:type="dxa"/>
          <w:right w:w="28" w:type="dxa"/>
        </w:tblCellMar>
      </w:tblPr>
      <w:tblGrid>
        <w:gridCol w:w="1071"/>
        <w:gridCol w:w="939"/>
        <w:gridCol w:w="945"/>
        <w:gridCol w:w="1021"/>
        <w:gridCol w:w="1021"/>
        <w:gridCol w:w="1453"/>
      </w:tblGrid>
      <w:tr>
        <w:trPr/>
        <w:tc>
          <w:tcPr>
            <w:tcW w:w="107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Twelve- Month Period Ended</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Cambria;sans-serif" w:hAnsi="Cambria;sans-serif"/>
                <w:b w:val="false"/>
                <w:color w:val="000000"/>
                <w:sz w:val="24"/>
              </w:rPr>
            </w:pPr>
            <w:r>
              <w:rPr>
                <w:rFonts w:ascii="Cambria;sans-serif" w:hAnsi="Cambria;sans-serif"/>
                <w:b w:val="false"/>
                <w:color w:val="000000"/>
                <w:sz w:val="24"/>
              </w:rPr>
              <w:t>Minimum Core Product Revenue</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31, 2023</w:t>
            </w:r>
          </w:p>
        </w:tc>
        <w:tc>
          <w:tcPr>
            <w:tcW w:w="3495" w:type="dxa"/>
            <w:gridSpan w:val="3"/>
            <w:tcBorders/>
            <w:tcMar>
              <w:top w:w="0" w:type="dxa"/>
              <w:left w:w="0" w:type="dxa"/>
              <w:bottom w:w="0" w:type="dxa"/>
              <w:right w:w="0" w:type="dxa"/>
            </w:tcMar>
            <w:vAlign w:val="center"/>
          </w:tcPr>
          <w:p>
            <w:pPr>
              <w:pStyle w:val="TableContents"/>
              <w:bidi w:val="0"/>
              <w:spacing w:lineRule="auto" w:line="240" w:before="280" w:after="283"/>
              <w:jc w:val="center"/>
              <w:rPr/>
            </w:pPr>
            <w:r>
              <w:rPr>
                <w:rFonts w:ascii="Cambria;sans-serif" w:hAnsi="Cambria;sans-serif"/>
                <w:b w:val="false"/>
                <w:color w:val="000000"/>
                <w:sz w:val="24"/>
              </w:rPr>
              <w:t>$</w:t>
            </w:r>
            <w:r>
              <w:rPr>
                <w:rFonts w:ascii="Times New Roman;sans-serif" w:hAnsi="Times New Roman;sans-serif"/>
                <w:b w:val="false"/>
                <w:color w:val="000000"/>
                <w:sz w:val="24"/>
              </w:rPr>
              <w:t>165,000,000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31, 2024</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June 30, 2024</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2024</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$177,000,000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31, 2024</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31, 2025</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$185,000,000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June 30, 2025</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2025</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$195,000,000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31, 2025</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31, 2026</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$205,000,000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June 30, 2026</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$215,000,000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2026</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31, 2026</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$225,000,000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31, 2027</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June 30, 2027</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$255,000,000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2027</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$260,000,000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December 31, 2027</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$265,000,000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March 31, 2028</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$269,000,000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June 30, 2028</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$280,000,000</w:t>
            </w:r>
          </w:p>
        </w:tc>
      </w:tr>
      <w:tr>
        <w:trPr/>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September 30, 2028</w:t>
            </w:r>
          </w:p>
        </w:tc>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$285,000,000</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27"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-79-</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8.16.    Maintenance of Regulatory Approvals, Contracts, Intellectual Property, Etc.</w:t>
      </w:r>
      <w:r>
        <w:rPr>
          <w:color w:val="000000"/>
        </w:rPr>
        <w:t xml:space="preserve"> </w:t>
      </w:r>
      <w:r>
        <w:rPr>
          <w:rFonts w:ascii="Times New Roman;sans-serif" w:hAnsi="Times New Roman;sans-serif"/>
          <w:b w:val="false"/>
          <w:color w:val="000000"/>
          <w:sz w:val="24"/>
        </w:rPr>
        <w:t xml:space="preserve">Each Obligor will, and will cause each of its Subsidiaries (to the extent applicable) to: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(a)maintain in full force and effect all CLIA laboratory certifications or accreditations, Regulatory Approvals (including the Product Authorizations), Material Agreements, or other rights necessary for the current operations of such Obligor’s or such Subsidiary’s business, except where failure to do so, individually or in the aggregate, would not reasonably be expected to have a Material Adverse Effect;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(b)maintain in full force and effect all Obligor Intellectual Property that is used in and necessary for related Product Development and Commercialization Activities; and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(c)use commercially reasonable efforts to pursue and maintain in full force and effect legal protection for all new, Obligor Intellectual Property that is used in and necessary in connection with any Product Development and Commercialization Activities by such Obligor relating to any such Product.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8.17.    Cash Management</w:t>
      </w:r>
      <w:r>
        <w:rPr>
          <w:rFonts w:ascii="Times New Roman;sans-serif" w:hAnsi="Times New Roman;sans-serif"/>
          <w:b w:val="false"/>
          <w:color w:val="000000"/>
          <w:sz w:val="24"/>
        </w:rPr>
        <w:t>. It will, and will cause each of their Subsidiaries to:</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(a)subject to Section 8.18, maintain all Deposit Accounts, Securities Accounts, Commodity Accounts and lockboxes (other than Excluded Accounts) with a bank or financial institution that has executed and delivered to the Administrative Agent an account control agreement, in form and substance reasonably acceptable to the Administrative Agent (each such Deposit Account, Securities Account, Commodity Account and lockbox, a </w:t>
      </w:r>
      <w:r>
        <w:rPr>
          <w:color w:val="000000"/>
        </w:rPr>
        <w:t>“</w:t>
      </w:r>
      <w:r>
        <w:rPr>
          <w:rFonts w:ascii="Times New Roman;sans-serif" w:hAnsi="Times New Roman;sans-serif"/>
          <w:b w:val="false"/>
          <w:i/>
          <w:color w:val="000000"/>
          <w:sz w:val="24"/>
        </w:rPr>
        <w:t>Controlled Account”</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any Foreign Subsidiary is joined as an Obligor, such Obligor shall only be required to comply with this Section 8.17 to the extent such agreements are customary in the applicable jurisdiction;</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(b)to the extent not deposited in a Sweep Account, deposit promptly, and in any event no later than seven (7) Business Days after the date of receipt thereof, all cash, checks, drafts or other similar items of payment relating to or constituting payments greater than $150,000 in the aggregate at any time made in respect of any and all accounts and other rights and interests into Controlled Accounts; and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(c)in order to segregate and to facilitate perfection of the security interest in any funds an Obligor receives from Third-Party Payor Programs, to the extent any Obligor receives payments from a Federal Health Care Program all such payments shall only be deposited into a Segregated Health Care Account. Subject to Section 8.18, the Obligors shall cause all Sweep Accounts to be automatically swept on a daily basis to a Controlled Account.</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28"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-80-</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8.18.    Post-Closing Obligations</w:t>
      </w:r>
      <w:r>
        <w:rPr>
          <w:rFonts w:ascii="Times New Roman;sans-serif" w:hAnsi="Times New Roman;sans-serif"/>
          <w:b w:val="false"/>
          <w:color w:val="000000"/>
          <w:sz w:val="24"/>
        </w:rPr>
        <w:t>. The Obligors will provide the items set forth in Schedule 8.18 within the time periods set forth therein.</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9</w:t>
        <w:br/>
        <w:br/>
        <w:t>Negative Covenants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Obligor covenants and agrees with the Administrative Agent and the Lenders that, until the Commitments have expired or been terminated and all Obligations (other than the Warrant Obligations and inchoate indemnity obligations) have been paid in full in cash:</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9.01.    Indebtedness.</w:t>
      </w:r>
      <w:r>
        <w:rPr>
          <w:color w:val="000000"/>
        </w:rPr>
        <w:t xml:space="preserve"> </w:t>
      </w:r>
      <w:r>
        <w:rPr>
          <w:rFonts w:ascii="Times New Roman;sans-serif" w:hAnsi="Times New Roman;sans-serif"/>
          <w:b w:val="false"/>
          <w:color w:val="000000"/>
          <w:sz w:val="24"/>
        </w:rPr>
        <w:t>It will not, and will not permit any of its Subsidiaries to, create, incur, assume or permit to exist any Indebtedness, whether directly or indirectly, except: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Obligations;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(b)Indebtedness existing on the date hereof and set forth in Schedule 9.01(b) and Permitted Refinancings thereof;</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(c)accounts payable to trade creditors for goods and services and current operating liabilities (not the result of the borrowing of money) incurred in the Ordinary Course of Business;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(d)Indebtedness consisting of guarantees resulting from endorsement of negotiable instruments for collection by an Obligor or any of its Subsidiaries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(e)unsecured Indebtedness of an Obligor to any other Obligor;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such Indebtedness is pledged to the Administrative Agent for the benefit of the Lenders under the Security Agreement and otherwise subordinate in right of payment to the Obligations on terms reasonably satisfactory to the Administrative Agent in its discretion;</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(f)Guarantees by any Obligor of Indebtedness of any other Obligor;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(g)Purchase money Indebtedness and Capital Lease Obligations and Permitted Refinancings thereof;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 if secured, the collateral therefor consists solely of the assets being financed, the products and proceeds thereof and books and records related thereto, and (ii) the aggregate outstanding principal amount of such Indebtedness does not exceed $2,000,000 at any time;</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(h)unsecured (other than any non-consensual Liens) workers’ compensation Claims, payment obligations in connection with health, disability or other types of social security or other employee related benefits, unemployment or other insurance obligations (including premiums related thereto), reclamation and statutory obligations, in each case incurred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29"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-81-</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(i)Indebtedness under Hedging Agreements permitted pursuant to Section 9.05(f);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(j)Indebtedness approved in advance in writing by the Majority Lenders;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(k)Indebtedness of Holdings and its Subsidiaries with respect to corporate credit cards not to exceed $500,000 at any time outstanding;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(l)the CDEC Indebtedness in an aggregate principal amount not to exceed $6,250,0000;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(m)Indebtedness outstanding in connection with the Settlement Agreement in an amount not to exceed $27,000,000 at any time outstanding;</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(n)deferred consideration consisting of milestone payments under (i) the Sema4 Merger Agreement and (ii) any Permitted Acquisition;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with respect to clause (ii), the aggregate amount of all such deferred compensation, together with all other consideration for Permitted Acquisitions shall not exceed the amounts permitted pursuant to Section 9.03(c)(ii).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(o)Indebtedness of any Obligor and/or any Subsidiary (i) pursuant to tenders, statutory obligations (including health, safety and environmental obligations), bids, leases, governmental contracts, trade contracts, surety, indemnity, stay, customs, judgment, appeal, performance, completion and/or return of money bonds or guaranties, contract manufacturer obligations or other similar obligations incurred in the Ordinary Course of Business, and (ii) in respect of letters of credit, bank guaranties, surety bonds, performance bonds or similar instruments to support any of the foregoing items in the Ordinary Course of Business;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(p)Indebtedness in respect of any agreement providing for treasury, depositary or cash management services, including in connection with any automated clearing house transfers of funds or any similar transfers, netting services, overdraft protections and other cash management and similar arrangements, in each case, in the Ordinary Course of Business;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(q)customer deposits and advance payments received in the Ordinary Course of Business from customers for goods and services purchased in the Ordinary Course of Business;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(r)Indebtedness consisting of the deferred obligations to pay insurance premiums in respect of insurance policies pursuant to Section 8.05 insuring assets or businesses of an Obligor or its Subsidiaries written or arranged in such Obligor’s Ordinary Course of Business;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(s)Indebtedness incurred in connection with letters of credit that are secured solely by cash or Permitted Cash Equivalent Investments and issued on behalf of any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0"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-82-</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Obligor or its Subsidiaries in the Ordinary Course of Business in an aggregate amount outstanding not to exceed $500,000 at any time;</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(t)Indebtedness in respect of performance bonds, bid bonds, appeal bonds, surety bonds and similar obligations, in each case provided in the Ordinary Course of Business in an aggregate amount not to exceed $500,000 outstanding at any time;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(u)</w:t>
      </w:r>
      <w:r>
        <w:rPr>
          <w:color w:val="000000"/>
        </w:rPr>
        <w:t xml:space="preserve"> </w:t>
      </w:r>
      <w:r>
        <w:rPr>
          <w:rFonts w:ascii="Times New Roman;sans-serif" w:hAnsi="Times New Roman;sans-serif"/>
          <w:b w:val="false"/>
          <w:color w:val="000000"/>
          <w:sz w:val="24"/>
        </w:rPr>
        <w:t xml:space="preserve">unsecured Indebtedness: (i) among Immaterial Foreign Subsidiaries; (ii) among Immaterial Foreign Subsidiaries and an Obligor;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(A) all Indebtedness from an Obligor to an Immaterial Foreign Subsidiary pursuant to this clause (ii) arising after the Closing Date, together with the Investments in Immaterial Foreign Subsidiaries permitted pursuant to Section 9.05(l) made after the date hereof, shall in an aggregate amount not exceed $1,000,000 per fiscal year plus interest accrued thereon, (B) at the time of, and after giving effect to such Indebtedness, no Default shall have occurred and be continuing and (C) such Indebtedness is pledged to the Administrative Agent for the benefit of the Lenders under the Security Agreement and otherwise subordinate in right of payment to the Obligations on terms satisfactory to the Administrative Agent in its discretion; and (iii) Indebtedness consisting of intercompany journal entries made in connection with cost sharing, cost-plus or transfer pricing transactions among the Obligors and their Subsidiaries; and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(v)unsecured Indebtedness in an aggregate principal amount not to exceed $500,000 at any time outstanding.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9.02.    Liens.</w:t>
      </w:r>
      <w:r>
        <w:rPr>
          <w:color w:val="000000"/>
        </w:rPr>
        <w:t xml:space="preserve"> </w:t>
      </w:r>
      <w:r>
        <w:rPr>
          <w:rFonts w:ascii="Times New Roman;sans-serif" w:hAnsi="Times New Roman;sans-serif"/>
          <w:b w:val="false"/>
          <w:color w:val="000000"/>
          <w:sz w:val="24"/>
        </w:rPr>
        <w:t>It will not, and will not permit any of its Subsidiaries to, create, incur, assume or permit to exist any Lien on any Property now owned by it, except: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(a)Liens securing the Obligations;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(b)any Lien on any Property of any Obligor existing on the date hereof and set forth in Schedule 9.02(b);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 no such Lien shall extend to any other Property of such Obligor and (ii) any such Lien shall secure only those obligations which it secures on the date hereof and extensions, renewals and replacements thereof that do not increase the outstanding principal amount thereof;</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(c)Liens securing Indebtedness permitted under Section 9.01(g);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Liens are restricted solely to the collateral described in Section 9.01(g);</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(d)Liens imposed by Law which were incurred in the Ordinary Course of Business, including (but not limited to) carriers’, warehousemen’s, landlords’ and mechanics’ Liens, Liens relating to leasehold improvements and other similar liens arising in the Ordinary Course of Business and which (i) do not in the aggregate materially detract from the value of the Property subject thereto or materially impair the use thereof in the operations of the business of such Person or (ii) are being contested in good faith by appropriate proceedings, which proceedings have the effect of preventing </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1"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forfeiture or sale of the Property subject to such Liens and for which adequate reserves have been made if required substantially in accordance with GAAP;</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(e)Liens, pledges or deposits made in the Ordinary Course of Business in connection with bids, grant applications, Contracts, leases, surety, performance and appeal bonds, workers’ compensation, unemployment insurance or other similar social security legislation;</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(f)Liens securing Taxes, assessments and other governmental charges, the payment of which is not yet due or is being contested in good faith by appropriate proceedings promptly initiated and diligently conducted and for which such reserve or other appropriate provisions, if any, as shall be required by GAAP shall have been made;</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(g)servitudes, easements, rights of way, restrictions and other similar encumbrances on real Property imposed by applicable Laws and encumbrances consisting of zoning or building restrictions, easements, licenses, restrictions on the use of Property or minor imperfections in title thereto which, in the aggregate, are not material, and which do not in any case materially detract from the value of the Property subject thereto or materially interfere with the ordinary conduct of the business of any of the Obligors;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rPr>
        <w:t>bankers’ Liens, rights of setoff and similar Liens incurred in the Ordinary Course of Business or otherwise arising in connection with the Obligors’ deposit accounts or securities accounts or credit card programs held at financial institutions to secure payment of fees and similar costs and expenses of such financial institutions with respect to such accounts or programs;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Liens in connection with transfers permitted under Section 9.09;</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(j)</w:t>
      </w:r>
      <w:r>
        <w:rPr>
          <w:color w:val="000000"/>
        </w:rPr>
        <w:t xml:space="preserve">     </w:t>
      </w:r>
      <w:r>
        <w:rPr>
          <w:rFonts w:ascii="Times New Roman;sans-serif" w:hAnsi="Times New Roman;sans-serif"/>
          <w:b w:val="false"/>
          <w:color w:val="000000"/>
          <w:sz w:val="24"/>
        </w:rPr>
        <w:t>any judgment Lien or Lien arising from decrees or attachments not constituting an Event of Default;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(k)</w:t>
      </w:r>
      <w:r>
        <w:rPr>
          <w:color w:val="000000"/>
        </w:rPr>
        <w:t xml:space="preserve">     </w:t>
      </w:r>
      <w:r>
        <w:rPr>
          <w:rFonts w:ascii="Times New Roman;sans-serif" w:hAnsi="Times New Roman;sans-serif"/>
          <w:b w:val="false"/>
          <w:color w:val="000000"/>
          <w:sz w:val="24"/>
        </w:rPr>
        <w:t>leases or subleases of real property granted in the Ordinary Course of Business, and leases, subleases, nonexclusive licenses or sublicenses of personal property (other than Intellectual Property) granted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(l)</w:t>
      </w:r>
      <w:r>
        <w:rPr>
          <w:color w:val="000000"/>
        </w:rPr>
        <w:t xml:space="preserve">     </w:t>
      </w:r>
      <w:r>
        <w:rPr>
          <w:rFonts w:ascii="Times New Roman;sans-serif" w:hAnsi="Times New Roman;sans-serif"/>
          <w:b w:val="false"/>
          <w:color w:val="000000"/>
          <w:sz w:val="24"/>
        </w:rPr>
        <w:t>Liens in favor of customs and revenue authorities arising as a matter of law to secure the payment of custom duties in connection with the importation of goods, not securing an amount in the aggregate in excess of $1,000,000 at any given time;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(m)</w:t>
      </w:r>
      <w:r>
        <w:rPr>
          <w:color w:val="000000"/>
        </w:rPr>
        <w:t xml:space="preserve">     </w:t>
      </w:r>
      <w:r>
        <w:rPr>
          <w:rFonts w:ascii="Times New Roman;sans-serif" w:hAnsi="Times New Roman;sans-serif"/>
          <w:b w:val="false"/>
          <w:color w:val="000000"/>
          <w:sz w:val="24"/>
        </w:rPr>
        <w:t xml:space="preserve">Liens on a deposit account of the Obligors and the cash and cash equivalents therein, in each case, securing Indebtedness described in Section 9.01(k);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(n)Liens securing the CDEC Indebtedness;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(i) that the collateral therefor consists solely of the assets listed on Schedule A to the CDEC Security </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2"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Agreement, together with the proceeds thereof and (ii) subject to Section 8.18, such Liens are subordinated to the Liens securing the Obligations pursuant to a subordination agreement acceptable to the Administrative Agent;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(o)Liens on cash collateral securing reimbursement obligations in respect of Indebtedness permitted under Section 9.01(s);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(p)</w:t>
      </w:r>
      <w:r>
        <w:rPr>
          <w:color w:val="000000"/>
        </w:rPr>
        <w:t xml:space="preserve">     </w:t>
      </w:r>
      <w:r>
        <w:rPr>
          <w:rFonts w:ascii="Times New Roman;sans-serif" w:hAnsi="Times New Roman;sans-serif"/>
          <w:b w:val="false"/>
          <w:color w:val="000000"/>
          <w:sz w:val="24"/>
        </w:rPr>
        <w:t xml:space="preserve">Permitted Licenses;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(q)Liens on insurance policies and the proceeds thereof securing the financing of the premiums with respect thereto; and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(r)other Liens securing other obligations to the extent permitted hereby not to exceed $500,000 in an aggregate principal amount at any time outstanding;</w:t>
      </w:r>
    </w:p>
    <w:p>
      <w:pPr>
        <w:pStyle w:val="TextBody"/>
        <w:bidi w:val="0"/>
        <w:spacing w:lineRule="auto" w:line="280" w:before="280" w:after="283"/>
        <w:jc w:val="both"/>
        <w:rPr/>
      </w:pP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Lien otherwise permitted under any of the foregoing Section 9.02 (excluding Sections 9.02(a), (b), (f), (j) and (p)) shall apply to any Obligor Intellectual Property.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9.03.    Fundamental Changes and Acquisitions.</w:t>
      </w:r>
      <w:r>
        <w:rPr>
          <w:color w:val="000000"/>
        </w:rPr>
        <w:t xml:space="preserve"> </w:t>
      </w:r>
      <w:r>
        <w:rPr>
          <w:rFonts w:ascii="Times New Roman;sans-serif" w:hAnsi="Times New Roman;sans-serif"/>
          <w:b w:val="false"/>
          <w:color w:val="000000"/>
          <w:sz w:val="24"/>
        </w:rPr>
        <w:t xml:space="preserve">It will not, and will not permit any of its Subsidiaries to: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enter into or consummate any transaction of merger, amalgamation, plan of arrangement or consolidation, including without limitation, a reverse-triangular merger, or other similar transaction or series of related transactions;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liquidate, wind up or dissolve itself (or suffer any liquidation, wind up or dissolution) (including in connection with any division or plan of division under Delaware law or any comparable event under a different jurisdiction’s laws); or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make or consummate any Acquisition or sell or issue any Disqualified Equity Interests, except, in each case: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Investments permitted under Section 9.05;</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Permitted Acquisitions for (x) aggregate cash consideration not to exceed $2,000,000 and (y) total consideration not to exceed $5,000,000, in each case, for the course of this Agreement;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 xml:space="preserve">the merger, amalgamation, plan of arrangement, or consolidation of any Obligor with or into any other Obligor,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a Borrower is a party to such merger, amalgamation, plan of arrangement or consolidation, a Borrower shall be the surviving entity;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(iv)the sale, transfer or other disposition by any Obligor of any or all of its property to any other Obligor,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if a Borrower is a party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3"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sale, transfer or other disposition, a Borrower shall continue to own such property sold, transferred or disposed of;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(v)the merger, amalgamation, plan of arrangement, or consolidation of any Immaterial Foreign Subsidiary with or into any other Immaterial Foreign Subsidiary;</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(vi)the liquidation, winding up or dissolution of any Immaterial Foreign Subsidiary; and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(vii)Asset Sales permitted under Section 9.09.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9.04.    Lines of Business.</w:t>
      </w:r>
      <w:r>
        <w:rPr>
          <w:color w:val="000000"/>
        </w:rPr>
        <w:t xml:space="preserve"> </w:t>
      </w:r>
      <w:r>
        <w:rPr>
          <w:rFonts w:ascii="Times New Roman;sans-serif" w:hAnsi="Times New Roman;sans-serif"/>
          <w:b w:val="false"/>
          <w:color w:val="000000"/>
          <w:sz w:val="24"/>
        </w:rPr>
        <w:t>It will not, and will not permit any of its Subsidiaries to, engage to any material extent in any business other than the business engaged in on the date hereof by such Obligor, or a business reasonably related, incidental or complementary thereto or reasonable extensions thereof.</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9.05.    Investments.</w:t>
      </w:r>
      <w:r>
        <w:rPr>
          <w:color w:val="000000"/>
        </w:rPr>
        <w:t xml:space="preserve"> </w:t>
      </w:r>
      <w:r>
        <w:rPr>
          <w:rFonts w:ascii="Times New Roman;sans-serif" w:hAnsi="Times New Roman;sans-serif"/>
          <w:b w:val="false"/>
          <w:color w:val="000000"/>
          <w:sz w:val="24"/>
        </w:rPr>
        <w:t>It will not, and will not permit any of its Subsidiaries to, make, directly or indirectly, or permit to remain outstanding any Investments except: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Investments outstanding on the date hereof and identified in Schedule 9.05 and any modification, replacement, renewal or extension thereof to the extent not involving new or additional Investments;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operating deposit accounts, securities accounts or commodity accounts with banks or other financial institutions;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extensions of credit in the nature of accounts receivable or notes receivable arising from the sales of goods or services, or prepaid royalties or other extensions of credit to customers and suppliers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Investments in cash and Permitted Cash Equivalent Investments;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color w:val="000000"/>
          <w:sz w:val="24"/>
        </w:rPr>
        <w:t>(i)  Investments consisting of 100% of the ownership of the Equity Interests of its Subsidiaries, (ii) intercompany Investments by Obligors or a Subsidiary in any Obligor or (iii) Investments by Obligors or any Subsidiary acquired in connection with a Permitted Acquisition;</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color w:val="000000"/>
          <w:sz w:val="24"/>
        </w:rPr>
        <w:t>Hedging Agreements entered into in the ordinary course of any Obligor’s financial planning solely to hedge interest rate risks or foreign currency exchange risks (and not, in either case, for speculative purposes);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color w:val="000000"/>
          <w:sz w:val="24"/>
        </w:rPr>
        <w:t>Investments consisting of prepaid expenses, negotiable instruments held for collection or deposit, security deposits with utilities, landlords and other like Persons, and deposits in connection with workers’ compensation and similar deposits, in each case made in the Ordinary Course of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4"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-86-</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rPr>
        <w:t xml:space="preserve">Investments received in connection with any Insolvency Proceedings in respect of any customers, suppliers or clients and in settlement of delinquent obligations of, and other disputes with, customers, suppliers or clients;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Investments permitted under Section 9.01(e) and Section 9.03;</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(j)</w:t>
      </w:r>
      <w:r>
        <w:rPr>
          <w:color w:val="000000"/>
        </w:rPr>
        <w:t xml:space="preserve">     </w:t>
      </w:r>
      <w:r>
        <w:rPr>
          <w:rFonts w:ascii="Times New Roman;sans-serif" w:hAnsi="Times New Roman;sans-serif"/>
          <w:b w:val="false"/>
          <w:color w:val="000000"/>
          <w:sz w:val="24"/>
        </w:rPr>
        <w:t>Investments consisting of notes receivable of, or prepaid royalties and other credit extensions, to customers and suppliers who are not Affiliates,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(k)</w:t>
      </w:r>
      <w:r>
        <w:rPr>
          <w:color w:val="000000"/>
        </w:rPr>
        <w:t xml:space="preserve">     </w:t>
      </w:r>
      <w:r>
        <w:rPr>
          <w:rFonts w:ascii="Times New Roman;sans-serif" w:hAnsi="Times New Roman;sans-serif"/>
          <w:b w:val="false"/>
          <w:color w:val="000000"/>
          <w:sz w:val="24"/>
        </w:rPr>
        <w:t xml:space="preserve">Investments consisting of (i) travel advances and employee relocation loans and other employee loans and advances in the Ordinary Course of Business, and (ii) loans to employees, officers or directors relating to the purchase of equity securities of Holdings or its Subsidiaries pursuant to employee stock purchase plans or agreements approved by Holdings’ Board in an aggregate amount not to exceed $500,000 for subclauses (i) and (ii) in any fiscal year; </w:t>
      </w:r>
    </w:p>
    <w:p>
      <w:pPr>
        <w:pStyle w:val="TextBody"/>
        <w:bidi w:val="0"/>
        <w:spacing w:lineRule="auto" w:line="304" w:before="280" w:after="283"/>
        <w:ind w:left="0" w:right="0" w:firstLine="720"/>
        <w:jc w:val="both"/>
        <w:rPr/>
      </w:pPr>
      <w:r>
        <w:rPr>
          <w:rFonts w:ascii="Times New Roman;sans-serif" w:hAnsi="Times New Roman;sans-serif"/>
          <w:b w:val="false"/>
          <w:color w:val="000000"/>
          <w:sz w:val="24"/>
        </w:rPr>
        <w:t>(l)</w:t>
      </w:r>
      <w:r>
        <w:rPr>
          <w:color w:val="000000"/>
        </w:rPr>
        <w:t xml:space="preserve">     </w:t>
      </w:r>
      <w:r>
        <w:rPr>
          <w:rFonts w:ascii="Times New Roman;sans-serif" w:hAnsi="Times New Roman;sans-serif"/>
          <w:b w:val="false"/>
          <w:color w:val="000000"/>
          <w:sz w:val="24"/>
        </w:rPr>
        <w:t>so long as no Default or Event of Default shall have occurred and is continuing at the time of such Investment, or after giving effect thereto, Investments by Obligors in Immaterial Foreign Subsidiaries in an aggregate amount, together with all Indebtedness incurred pursuant to Section 9.01(u)(ii), not to exceed $1,000,000 in any fiscal year;</w:t>
      </w:r>
      <w:r>
        <w:rPr>
          <w:color w:val="000000"/>
        </w:rPr>
        <w:t xml:space="preserve">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(m)so long as no Default or Event of Default shall have occurred and is continuing at the time of such Investment, or after giving effect thereto, other Investments in an amount not to exceed $1,000,000 at any time outstanding in joint ventures and counterparties to collaboration and license agreements;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(n)so long as no Default or Event of Default shall have occurred and is continuing at the time of such Investment, or after giving effect thereto, other Investments in an amount not to exceed $750,000 in any fiscal year; and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(o)to the extent an Investment, cost sharing, cost-plus or transfer pricing transactions among the Obligors and their Subsidiaries entered into in the Ordinary Course of Business.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9.06.    Restricted Payments.</w:t>
      </w:r>
      <w:r>
        <w:rPr>
          <w:color w:val="000000"/>
        </w:rPr>
        <w:t xml:space="preserve"> </w:t>
      </w:r>
      <w:r>
        <w:rPr>
          <w:rFonts w:ascii="Times New Roman;sans-serif" w:hAnsi="Times New Roman;sans-serif"/>
          <w:b w:val="false"/>
          <w:color w:val="000000"/>
          <w:sz w:val="24"/>
        </w:rPr>
        <w:t>It will not, and will not permit any of its Subsidiaries to, declare or make, or agree to pay or make, directly or indirectly, any Restricted Payment, other than:</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dividends, stock splits or distributions with respect to any Equity Interests of Holdings or any of its Subsidiaries payable solely in additional shares of its Qualified Equity Interests;</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35"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-87-</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any Restricted Payment by an Obligor or a Subsidiary of an Obligor to an Obligor;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any purchase, redemption, retirement, or other Acquisition by Holdings or any of its Subsidiaries of shares of its capital stock or other Equity Interests with the proceeds received from a substantially concurrent issue of new shares of its capital stock or other Equity Interests;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cashless exercises of options and warrants;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color w:val="000000"/>
          <w:sz w:val="24"/>
        </w:rPr>
        <w:t xml:space="preserve">repurchases pursuant to the terms of employee stock purchase plans, employee restricted stock agreements, stockholder rights plans, director or consultant stock option plans, or similar plans in an aggregate amount not to exceed $250,000 in any fiscal year;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color w:val="000000"/>
          <w:sz w:val="24"/>
        </w:rPr>
        <w:t>the making of cash payments in lieu of the issuance of fractional shares upon the conversion of convertible securities (or in connection with the exercise of warrants or similar securities) not to exceed $50,000 in any fiscal year; and</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(g)repurchases, redemptions or cancellations of equity interests or rights in respect thereof granted to (or make payments on behalf of) directors, officers, employees or other providers of services to the Obligors and the Subsidiaries in an amount required to satisfy tax withholding obligations relating to the vesting, settlement or exercise of such equity interests or rights.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9.07.    Payments of Indebtedness.</w:t>
      </w:r>
      <w:r>
        <w:rPr>
          <w:color w:val="000000"/>
        </w:rPr>
        <w:t xml:space="preserve"> </w:t>
      </w:r>
      <w:r>
        <w:rPr>
          <w:rFonts w:ascii="Times New Roman;sans-serif" w:hAnsi="Times New Roman;sans-serif"/>
          <w:b w:val="false"/>
          <w:color w:val="000000"/>
          <w:sz w:val="24"/>
        </w:rPr>
        <w:t>It will not, and will not permit any of its Subsidiaries to, make any payments in respect of any Material Indebtedness other than (a) payments of the Obligations, (b) scheduled payments pursuant to the CDEC Documents and the Settlement Agreement, and (c) so long as no Default has occurred and is continuing or would result therefrom scheduled payments of other Permitted Indebtedness and repayment of intercompany Indebtedness permitted in reliance upon Section 9.01(e) or (u) (subject in each case to any subordination agreement entered into in connection therewith).</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9.08.    Change in Fiscal Year.</w:t>
      </w:r>
      <w:r>
        <w:rPr>
          <w:color w:val="000000"/>
        </w:rPr>
        <w:t xml:space="preserve"> </w:t>
      </w:r>
      <w:r>
        <w:rPr>
          <w:rFonts w:ascii="Times New Roman;sans-serif" w:hAnsi="Times New Roman;sans-serif"/>
          <w:b w:val="false"/>
          <w:color w:val="000000"/>
          <w:sz w:val="24"/>
        </w:rPr>
        <w:t>It will not, and will not permit any of its Subsidiaries to, change the last day of its fiscal year from that in effect on the date hereof, without prior written notice to the Administrative Agent, except to change the fiscal year of a Subsidiary acquired in connection with a Permitted Acquisition to conform its fiscal year to that of Holdings.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9.09.    Sales of Assets, Etc.</w:t>
      </w:r>
      <w:r>
        <w:rPr>
          <w:color w:val="000000"/>
        </w:rPr>
        <w:t xml:space="preserve"> </w:t>
      </w:r>
      <w:r>
        <w:rPr>
          <w:rFonts w:ascii="Times New Roman;sans-serif" w:hAnsi="Times New Roman;sans-serif"/>
          <w:b w:val="false"/>
          <w:color w:val="000000"/>
          <w:sz w:val="24"/>
        </w:rPr>
        <w:t xml:space="preserve">It will not, and will not permit any of its Subsidiaries to, sell, lease, exclusively license (in terms of geography or field of use), as a licensor, transfer (including in connection with any division or plan of division under Delaware law or any comparable event under a different jurisdiction’s laws) or otherwise dispose of any of its Property (including accounts receivable and Equity Interests of Subsidiaries), or forgive, release or compromise any amount owed to an Obligor or any of its Subsidiaries, in each case, in one transaction or series of transactions (any thereof, an </w:t>
      </w:r>
      <w:r>
        <w:rPr>
          <w:color w:val="000000"/>
        </w:rPr>
        <w:t>“</w:t>
      </w:r>
      <w:r>
        <w:rPr>
          <w:rFonts w:ascii="Times New Roman;sans-serif" w:hAnsi="Times New Roman;sans-serif"/>
          <w:b w:val="false"/>
          <w:i/>
          <w:color w:val="000000"/>
          <w:sz w:val="24"/>
        </w:rPr>
        <w:t>Asset Sale”</w:t>
      </w:r>
      <w:r>
        <w:rPr>
          <w:rFonts w:ascii="Times New Roman;sans-serif" w:hAnsi="Times New Roman;sans-serif"/>
          <w:b w:val="false"/>
          <w:color w:val="000000"/>
          <w:sz w:val="24"/>
        </w:rPr>
        <w:t>), except: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36"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-88-</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transfers of cash or Permitted Cash Equivalent Investments in the Ordinary Course of Business in a manner not prohibited by the terms of this Agreement;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sales or leases of inventory, products and services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the forgiveness, release or compromise of any amount owed to any Obligor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entering into, or becoming bound, by a Permitted License to the extent not otherwise prohibited by this Agreement;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color w:val="000000"/>
          <w:sz w:val="24"/>
        </w:rPr>
        <w:t xml:space="preserve">development and other collaborative arrangements where such arrangements provide for the license or disclosure of Patents, Trademarks, Copyrights or other Intellectual Property rights of any Obligor or any of its Subsidiaries in the Ordinary Course of Business and consistent with general market practices;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licenses must be true licenses that do not result in a legal transfer of title of the licensed Property or otherwise constitute sales transactions in substance,;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color w:val="000000"/>
          <w:sz w:val="24"/>
        </w:rPr>
        <w:t>a sale, lease, exclusive license, transfer or other disposition (including by way of abandonment, cancellation or trade-in) of any Property that is obsolete, worn out, surplus or no longer used or useful in connection with the business of the Obligors or with respect to which a newer and improved version is available and, with respect to Intellectual Property, the conveyance, sale, lease, license, abandonment, lapse or other disposition in the Ordinary Course of Business that is, in the reasonable good faith judgment of such Obligor, immaterial to the business of such Obligor, no longer economically practicable or commercially desirable to maintain or used or useful in the business of such Obligor, or the expiration of such Intellectual Property is in accordance with its statutory term (provided that such term is not renewable);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color w:val="000000"/>
          <w:sz w:val="24"/>
        </w:rPr>
        <w:t>dispositions resulting from Casualty Events;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rPr>
        <w:t xml:space="preserve">any transaction permitted under Section 9.02, 9.03, 9.05, 9.06, 9.10 and 9.20;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so long as no Default or Event of Default shall have occurred and is continuing at the time of such Asset Sale, or after giving effect thereto, Asset Sales of other property not to exceed $1,000,000 in the aggregate per fiscal year;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(j)a sale, transfer or other disposition (including by way of abandonment, cancellation or trade-in) of any Property of an Immaterial Foreign Subsidiary in connection with the liquidation, wind up or dissolution of such Immaterial Foreign Subsidiary; </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37"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-89-</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(k)transfers of assets or property by any Obligor to any other Obligor,</w:t>
      </w:r>
      <w:r>
        <w:rPr>
          <w:color w:val="000000"/>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if a Borrower is a party to such transfer of assets or property, a Borrower shall continue to own such assets or property transferred;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(l)</w:t>
      </w:r>
      <w:r>
        <w:rPr>
          <w:color w:val="000000"/>
        </w:rPr>
        <w:t>    </w:t>
      </w:r>
      <w:r>
        <w:rPr>
          <w:rFonts w:ascii="Times New Roman;sans-serif" w:hAnsi="Times New Roman;sans-serif"/>
          <w:b w:val="false"/>
          <w:color w:val="000000"/>
          <w:sz w:val="24"/>
        </w:rPr>
        <w:t xml:space="preserve">abandonments, cancellations or lapses of Intellectual Property rights or issuances or registrations, or applications for issuances or registrations, of Intellectual Property rights in the Ordinary Course of Business, which, in the good faith determination of the Obligors, are not material to the conduct of the business of the Obligors or its Subsidiaries;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(m)</w:t>
      </w:r>
      <w:r>
        <w:rPr>
          <w:color w:val="000000"/>
        </w:rPr>
        <w:t xml:space="preserve">     </w:t>
      </w:r>
      <w:r>
        <w:rPr>
          <w:rFonts w:ascii="Times New Roman;sans-serif" w:hAnsi="Times New Roman;sans-serif"/>
          <w:b w:val="false"/>
          <w:color w:val="000000"/>
          <w:sz w:val="24"/>
        </w:rPr>
        <w:t xml:space="preserve">the leasing or subleasing of real property in the Ordinary Course of Business;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(n)transfers and/or terminations of, or constituting, leases, subleases, licenses, sublicenses or cross-licenses (including the provision of software under any open source license and any related transfer of improvements made to leased real property resulting therefrom), the transfers or terminations of which (i) do not materially interfere with the business of the Obligors and their respective Subsidiaries or (ii) relate to closed facilities or the discontinuation of any product line, and in each case are made in the Ordinary Course of Business;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(o)</w:t>
      </w:r>
      <w:r>
        <w:rPr>
          <w:color w:val="000000"/>
        </w:rPr>
        <w:t xml:space="preserve"> </w:t>
      </w:r>
      <w:r>
        <w:rPr>
          <w:rFonts w:ascii="Times New Roman;sans-serif" w:hAnsi="Times New Roman;sans-serif"/>
          <w:b w:val="false"/>
          <w:color w:val="000000"/>
          <w:sz w:val="24"/>
        </w:rPr>
        <w:t>any surrender or waiver of contractual rights or the settlement, release or surrender of contractual rights or litigation claims (including in tort) in the Ordinary Course of Business;</w:t>
      </w:r>
    </w:p>
    <w:p>
      <w:pPr>
        <w:pStyle w:val="TextBody"/>
        <w:bidi w:val="0"/>
        <w:spacing w:lineRule="auto" w:line="280" w:before="280" w:after="283"/>
        <w:jc w:val="both"/>
        <w:rPr/>
      </w:pP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Asset Sale otherwise permitted under any of the foregoing Section 9.09 shall apply to any Equity Interests in any Borrower.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9.10.    Transactions with Affiliates.</w:t>
      </w:r>
      <w:r>
        <w:rPr>
          <w:color w:val="000000"/>
        </w:rPr>
        <w:t xml:space="preserve"> </w:t>
      </w:r>
      <w:r>
        <w:rPr>
          <w:rFonts w:ascii="Times New Roman;sans-serif" w:hAnsi="Times New Roman;sans-serif"/>
          <w:b w:val="false"/>
          <w:color w:val="000000"/>
          <w:sz w:val="24"/>
        </w:rPr>
        <w:t>It will not, and will not permit any of its Subsidiaries to, sell, lease, license or otherwise transfer any assets to, or purchase, lease, license or otherwise acquire any assets from, or otherwise engage in any other transactions with, any of its Affiliates, except: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w:t>
      </w:r>
      <w:r>
        <w:rPr>
          <w:rFonts w:ascii="Times New Roman;sans-serif" w:hAnsi="Times New Roman;sans-serif"/>
          <w:b w:val="false"/>
          <w:color w:val="000000"/>
          <w:sz w:val="24"/>
        </w:rPr>
        <w:t>transactions between or among the Obligors;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any transaction permitted under Section 9.01, 9.03, 9.05, 9.06 or 9.09;</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customary compensation and indemnification of, and other employment arrangements with, directors, officers and employees of any Obligor in the Ordinary Course of Business;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transactions upon fair and reasonable terms that are no less favorable to any Obligor than would be obtained in a comparable arm’s-length transaction with a Person not an Affiliate; and</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38"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-90-</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the transactions set forth on Schedule 9.10.</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9.11.    Restrictive Agreements.</w:t>
      </w:r>
      <w:r>
        <w:rPr>
          <w:color w:val="000000"/>
        </w:rPr>
        <w:t xml:space="preserve"> </w:t>
      </w:r>
      <w:r>
        <w:rPr>
          <w:rFonts w:ascii="Times New Roman;sans-serif" w:hAnsi="Times New Roman;sans-serif"/>
          <w:b w:val="false"/>
          <w:color w:val="000000"/>
          <w:sz w:val="24"/>
        </w:rPr>
        <w:t xml:space="preserve">It will not, and will not permit any of its Subsidiaries to, directly or indirectly, enter into, incur or permit to exist any Restrictive Agreement other than (a) restrictions and conditions imposed by Law or by the Loan Documents, (b) Restrictive Agreements listed on Schedule 7.15, (c) any stockholder agreement, investor rights agreement, charter, bylaws or other Organizational Documents of an Obligor as in effect on the date hereof, (d) limitations associated with Permitted Liens or with any transaction permitted under Sections 9.01, 9.03, 9.05, 9.06 or 9.09, (e) restrictions on cash (or Permitted Cash Equivalent Investments) or other deposits imposed by agreements entered into with customers in the Ordinary Course of Business (or other restrictions on cash or deposits constituting Permitted Liens), (f) customary provisions in leases and other agreements restricting the assignment thereof, (g) any restrictions and conditions imposed by any agreement relating to Indebtedness of any Subsidiary in existence at the time such Subsidiary became a Subsidiary (and any extension, renewal, amendment, modification or replacement thereof, expect to the extent any such amendment, modification or replacement materially expands the scope of any such restriction or condition), (h) in the case of any Subsidiary that is not a wholly-owned Subsidiary, restrictions and conditions imposed by its organizational documents or any related joint venture or similar agreements;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restrictions and conditions apply only to such Subsidiary and to the Equity Interests of such Subsidiary, (i) restrictions and conditions imposed by any agreement relating to secured Indebtedness permitted by Section 9.01(g) if such restrictions and conditions apply only to the assets securing such Indebtedness and (j) customary restrictions and conditions (and any extension, renewal, amendment, modification or replacement thereof, except to the extent any such amendment, modification or replacement expands the scope of any such restriction or condition) contained in agreements relating to the sale of a Subsidiary or any assets of the Obligors or any Subsidiary, in each case pending such sale;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such restrictions and conditions apply only to such Subsidiary or the assets that are to be sold and, in each case, such sale is permitted hereunder.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9.12.    Organizational Documents, Material Agreements; Settlement Agreement</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It will not, and will not permit any of its Subsidiaries to, enter into any amendment to or modification of any Organizational Document, without the prior written consent of the Administrative Agent.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It will not, and will not permit any of its Subsidiaries to (i) enter into any material waiver, amendment or modification of any Material Agreement (including, but not limited to, any amendments to provisions relating to pricing and term) that would be reasonably expected to materially and adversely affect the Lenders or (ii) take or omit to take any action that results in the termination of, or permits any other Person to terminate, any Material Agreement or Obligor Intellectual Property that would be reasonably expected to have a Material Adverse Effect, without, in each case, the prior written consent of the Administrative Agent, such consent not to be unreasonably conditioned, withheld or delayed.</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39"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-91-</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(c)It will not, and will not permit any other Obligor to, enter into any amendment or modification of the Settlement Agreement in any way that has the purpose or effect of (i) increasing the aggregate amount of Indebtedness payable by the Obligors thereunder, (ii) accelerating the scheduled payment dates thereunder, or (iii) adversely affecting the Lenders in any material respect.</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(d)It will not, and will not permit any other Obligor to, enter into any amendment or modification of the CDEC Documents in any way that has the purpose or effect of (i) increasing the aggregate amount of Indebtedness payable by the Obligors thereunder, (ii) accelerating the scheduled payment dates thereunder, or (iii) adversely affecting the Lenders in any material respect.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9.13.    Holding Company</w:t>
      </w:r>
      <w:r>
        <w:rPr>
          <w:rFonts w:ascii="Times New Roman;sans-serif" w:hAnsi="Times New Roman;sans-serif"/>
          <w:b w:val="false"/>
          <w:color w:val="000000"/>
          <w:sz w:val="24"/>
        </w:rPr>
        <w:t>. Holdings shall not: (a) incur, directly or indirectly, any Indebtedness or any other obligation or liability whatsoever other than Indebtedness permitted pursuant to Section 9.01; (b) create or suffer to exist any Lien upon any property or assets now owned or hereafter acquired by it other than the Liens created under the Security Documents to which it is a party or permitted pursuant to Section 9.02; (c) engage in any business or activity or own any assets other than: (i) holding 100% of the Equity Interests of each Borrower; and (ii) performing its obligations and activities incidental thereto under the Loan Documents; (d) consolidate with or merge with or into, or convey, transfer or lease all or substantially all its assets to, any Person; (e) sell or otherwise dispose of any Equity Interests of Borrowers; (f) create or acquire any Subsidiary or make or own any Investment any Person other than Borrowers; or (g) fail to hold itself out to the public as a legal entity separate and distinct from all other Persons.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9.14.    Sales and Leasebacks.</w:t>
      </w:r>
      <w:r>
        <w:rPr>
          <w:color w:val="000000"/>
        </w:rPr>
        <w:t xml:space="preserve"> </w:t>
      </w:r>
      <w:r>
        <w:rPr>
          <w:rFonts w:ascii="Times New Roman;sans-serif" w:hAnsi="Times New Roman;sans-serif"/>
          <w:b w:val="false"/>
          <w:color w:val="000000"/>
          <w:sz w:val="24"/>
        </w:rPr>
        <w:t>Except as permitted by Section 9.01(g), it will not, and will not permit any of its Subsidiaries to, become liable, directly or indirectly, with respect to any lease, whether an operating lease or a Capital Lease Obligation, of any Property (whether real, personal, or mixed), whether now owned or hereafter acquired, which (a) any Obligor has sold or transferred or is to sell or transfer to any other Person and (b) any Obligor intends to use for substantially the same purposes as Property which has been or is to be sold or transferred.</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9.15.    Hazardous Material.</w:t>
      </w:r>
      <w:r>
        <w:rPr>
          <w:color w:val="000000"/>
        </w:rPr>
        <w:t xml:space="preserve"> </w:t>
      </w:r>
      <w:r>
        <w:rPr>
          <w:rFonts w:ascii="Times New Roman;sans-serif" w:hAnsi="Times New Roman;sans-serif"/>
          <w:b w:val="false"/>
          <w:color w:val="000000"/>
          <w:sz w:val="24"/>
        </w:rPr>
        <w:t>It will not, and will not permit any of its Subsidiaries to, use, generate, manufacture, install, treat, release, store or dispose of any Hazardous Material, except in compliance with all applicable Environmental Laws or where the failure to comply would not reasonably be expected to result in a Material Adverse Change.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9.16.    Accounting Changes.</w:t>
      </w:r>
      <w:r>
        <w:rPr>
          <w:color w:val="000000"/>
        </w:rPr>
        <w:t xml:space="preserve"> </w:t>
      </w:r>
      <w:r>
        <w:rPr>
          <w:rFonts w:ascii="Times New Roman;sans-serif" w:hAnsi="Times New Roman;sans-serif"/>
          <w:b w:val="false"/>
          <w:color w:val="000000"/>
          <w:sz w:val="24"/>
        </w:rPr>
        <w:t>It will not, and will not permit any of its Subsidiaries to, make any significant change in accounting treatment, except as required or permitted by GAAP, without the consent of the Lenders, such consent not to be unreasonably withheld or delayed.</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9.17.    Compliance with ERISA.</w:t>
      </w:r>
      <w:r>
        <w:rPr>
          <w:color w:val="000000"/>
        </w:rPr>
        <w:t xml:space="preserve"> </w:t>
      </w:r>
      <w:r>
        <w:rPr>
          <w:rFonts w:ascii="Times New Roman;sans-serif" w:hAnsi="Times New Roman;sans-serif"/>
          <w:b w:val="false"/>
          <w:color w:val="000000"/>
          <w:sz w:val="24"/>
        </w:rPr>
        <w:t>No Obligor or ERISA Affiliate shall cause or suffer to exist (a) any event that would result in the imposition of a Lien with respect to any Title IV Plan or Multiemployer Plan or (b) any other ERISA Event, in the case of (a) and (b), that would, in the aggregate, have a Material Adverse Effect.</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0"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-92-</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9.18.    Deposit Accounts.</w:t>
      </w:r>
      <w:r>
        <w:rPr>
          <w:color w:val="000000"/>
        </w:rPr>
        <w:t xml:space="preserve"> </w:t>
      </w:r>
      <w:r>
        <w:rPr>
          <w:rFonts w:ascii="Times New Roman;sans-serif" w:hAnsi="Times New Roman;sans-serif"/>
          <w:b w:val="false"/>
          <w:color w:val="000000"/>
          <w:sz w:val="24"/>
        </w:rPr>
        <w:t>It will not, and will not permit any Obligor to, establish or maintain any bank account that is not a Controlled Account (other than an Excluded Account) and will not, and will not permit any Obligor to, deposit proceeds in a bank account that is not a Controlled Account (other than an Excluded Account).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9.19.    Outbound Licenses.</w:t>
      </w:r>
      <w:r>
        <w:rPr>
          <w:color w:val="000000"/>
        </w:rPr>
        <w:t xml:space="preserve"> </w:t>
      </w:r>
      <w:r>
        <w:rPr>
          <w:rFonts w:ascii="Times New Roman;sans-serif" w:hAnsi="Times New Roman;sans-serif"/>
          <w:b w:val="false"/>
          <w:color w:val="000000"/>
          <w:sz w:val="24"/>
        </w:rPr>
        <w:t>It will not, and will not permit any of its Subsidiaries to, enter into or become bound by any outbound license or agreement unless such outbound license or agreement is a Permitted License.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9.20.    Inbound Licenses.</w:t>
      </w:r>
      <w:r>
        <w:rPr>
          <w:color w:val="000000"/>
        </w:rPr>
        <w:t xml:space="preserve"> </w:t>
      </w:r>
      <w:r>
        <w:rPr>
          <w:rFonts w:ascii="Times New Roman;sans-serif" w:hAnsi="Times New Roman;sans-serif"/>
          <w:b w:val="false"/>
          <w:color w:val="000000"/>
          <w:sz w:val="24"/>
        </w:rPr>
        <w:t xml:space="preserve">It will not, and will not permit any of its Subsidiaries to, enter into or become bound by any inbound license or agreement (other than Permitted Licenses) unless (a) no Default has occurred and is continuing, (b) such Obligor has provided written notice to the Administrative Agent of such inbound license and if requested by the Administrative Agent in its reasonable discretion, a summary of the material terms of such license or agreement with a description of its anticipated and projected impact on such Obligor’s business or financial condition, and (c) such Obligor has taken such commercially reasonable actions as the Administrative Agent may reasonably request to obtain the consent of, or waiver by, any Person whose consent or waiver is necessary for the Administrative Agent to be granted a valid and perfected security interest in such license or agreement allowing the Administrative Agent to fully exercise its rights under any of the Loan Documents in the event of a disposition or liquidation of the rights, assets or property that is the subject of such license or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the aggregate amounts to be paid under all such inbound licenses pursuant to this Section 9.20 shall not exceed an amount equal to $1,500,000 per fiscal year. </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10</w:t>
        <w:br/>
        <w:br/>
        <w:t>Events of Default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10.01.    Events of Default.</w:t>
      </w:r>
      <w:r>
        <w:rPr>
          <w:color w:val="000000"/>
        </w:rPr>
        <w:t xml:space="preserve"> </w:t>
      </w:r>
      <w:r>
        <w:rPr>
          <w:rFonts w:ascii="Times New Roman;sans-serif" w:hAnsi="Times New Roman;sans-serif"/>
          <w:b w:val="false"/>
          <w:color w:val="000000"/>
          <w:sz w:val="24"/>
        </w:rPr>
        <w:t xml:space="preserve">Each of the following events shall constitute an </w:t>
      </w:r>
      <w:r>
        <w:rPr>
          <w:color w:val="000000"/>
        </w:rPr>
        <w:t>“</w:t>
      </w:r>
      <w:r>
        <w:rPr>
          <w:rFonts w:ascii="Times New Roman;sans-serif" w:hAnsi="Times New Roman;sans-serif"/>
          <w:b w:val="false"/>
          <w:i/>
          <w:color w:val="000000"/>
          <w:sz w:val="24"/>
        </w:rPr>
        <w:t>Event of Default”</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Borrowers shall fail to pay any principal on the Term Loans when and as the same shall become due and payable, whether at the due date thereof or at a date fixed for mandatory prepayment thereof or otherwise;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any Obligor shall fail to pay any Obligation (other than an amount referred to in Section 10.01(a)) when and as the same shall become due and payable, and such failure shall continue unremedied for a period of three (3) Business Days;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 xml:space="preserve">any representation or warranty made by or on behalf of an Obligor or any of its Subsidiaries in or in connection with this Agreement or any other Loan Document or any amendment or modification hereof or thereof, or in any report, certificate, financial statement or other document furnished pursuant to or in connection with this Agreement or any other Loan Document or any amendment or modification hereof or thereof, shall: (i) prove to have been incorrect when made or deemed made to the extent that such representation or warranty contains any materiality or Material </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1"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Adverse Effect qualifier; or (ii) prove to have been incorrect in any material respect when made or deemed made to the extent that such representation or warranty does not otherwise contain any materiality or Material Adverse Effect qualifier;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any Obligor shall fail to observe or perform any covenant, condition or agreement contained in Sections 8.01, 8.02, 8.03(a) (with respect to such Obligor’s existence), 8.10, 8.11, 8.13, 8.15, 8.16, 8.17, 8.18 or Article 9;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w:t>
      </w:r>
      <w:r>
        <w:rPr>
          <w:rFonts w:ascii="Times New Roman;sans-serif" w:hAnsi="Times New Roman;sans-serif"/>
          <w:b w:val="false"/>
          <w:color w:val="000000"/>
          <w:sz w:val="24"/>
        </w:rPr>
        <w:t>any Obligor shall fail to observe or perform any covenant, condition or agreement contained in this Agreement (other than those specified in Section 10.01(a), (b) or (d)) or any other Loan Document, and, in the case of any failure that is capable of cure, such failure shall continue unremedied for a period of thirty (30) or more days, after actual knowledge by a Responsible Officer or receipt of notice from the Administrative Agent;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color w:val="000000"/>
          <w:sz w:val="24"/>
        </w:rPr>
        <w:t>any Obligor shall fail to make any payment (whether of principal or interest and regardless of amount) in respect of any Material Indebtedness, when and as the same shall become due and payable after giving effect to any applicable grace or cure period as originally provided by the terms of such Indebtedness;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color w:val="000000"/>
          <w:sz w:val="24"/>
        </w:rPr>
        <w:t xml:space="preserve">(i) any material breach of, or “event of default” or similar event under, the Contract governing any Material Indebtedness shall occur and such breach or “event of default” or similar event shall continue unremedied, uncured or unwaived after a period of five (5) Business Days after the expiration of any cure period thereunder, or (ii) any event or condition occurs (A) that results in any Material Indebtedness becoming due prior to its scheduled maturity or (B) that enables or permits (with or without the giving of notice, the lapse of time or both) the holder or holders of such Material Indebtedness or any trustee or agent on its or their behalf to cause such Material Indebtedness to become due, or to require the prepayment, repurchase, redemption or defeasance thereof, prior to its scheduled maturity;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this Section 10.01(g) shall not apply to secured Indebtedness that becomes due as a result of the voluntary sale or transfer of the Property securing such Material Indebtedness;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rPr>
        <w:t>any Obligor or any of its Subsidiaries: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ceases to be Solvent, or generally does not or becomes unable to pay its debts or meet its liabilities as the same become due, or admits in writing its inability to pay its debts generally, or declares any general moratorium on its Indebtedness, or proposes a compromise or arrangement or deed of company arrangement between it and any class of its creditors;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shall (A) voluntarily commence any proceeding or file any petition seeking liquidation, reorganization or other relief under any Federal, state or foreign bankruptcy, insolvency, receivership or similar law now or hereafter in effect, (B) consent to the institution of, or fail to contest in a timely and appropriate manner, any proceeding or petition described in Section 10.01(i),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2"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 apply for or consent to the appointment of a receiver, trustee, custodian, sequestrator, conservator or similar official for an Obligor or for a substantial part of its assets, (D) file an answer admitting the material allegations of a petition filed against it in any such proceeding, (E) make a general assignment for the benefit of creditors or (F) take any action for the purpose of effecting any of the foregoing;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an involuntary proceeding shall be commenced or an involuntary petition shall be filed seeking (i) liquidation, reorganization or other relief in respect of an Obligor or any Subsidiary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any Subsidiary of an Obligor or for a substantial part of its assets, and, in any such case, such proceeding or petition shall continue undismissed for sixty (60) days or an order or decree approving or ordering any of the foregoing shall be entered;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(j)</w:t>
      </w:r>
      <w:r>
        <w:rPr>
          <w:color w:val="000000"/>
        </w:rPr>
        <w:t xml:space="preserve">     </w:t>
      </w:r>
      <w:r>
        <w:rPr>
          <w:rFonts w:ascii="Times New Roman;sans-serif" w:hAnsi="Times New Roman;sans-serif"/>
          <w:b w:val="false"/>
          <w:color w:val="000000"/>
          <w:sz w:val="24"/>
        </w:rPr>
        <w:t>one or more judgments for the payment of money in an aggregate amount in excess of $1,000,000 (excluding any amounts covered by insurance as to which the applicable carrier has not denied coverage) shall be rendered against any Obligor or any combination thereof and the same shall remain undischarged or unpaid for a period of forty-five (45) consecutive days during which execution shall not be effectively stayed, or any action shall be legally taken by a judgment creditor to attach or levy upon any assets of any Obligor to enforce any such judgment;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(k)</w:t>
      </w:r>
      <w:r>
        <w:rPr>
          <w:color w:val="000000"/>
        </w:rPr>
        <w:t xml:space="preserve">     </w:t>
      </w:r>
      <w:r>
        <w:rPr>
          <w:rFonts w:ascii="Times New Roman;sans-serif" w:hAnsi="Times New Roman;sans-serif"/>
          <w:b w:val="false"/>
          <w:color w:val="000000"/>
          <w:sz w:val="24"/>
        </w:rPr>
        <w:t>an ERISA Event shall have occurred that, in the reasonable opinion of the Lenders, when taken together with all other ERISA Events that have occurred, would reasonably be expected to have a Material Adverse Effect;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(l)</w:t>
      </w:r>
      <w:r>
        <w:rPr>
          <w:color w:val="000000"/>
        </w:rPr>
        <w:t xml:space="preserve">     </w:t>
      </w:r>
      <w:r>
        <w:rPr>
          <w:rFonts w:ascii="Times New Roman;sans-serif" w:hAnsi="Times New Roman;sans-serif"/>
          <w:b w:val="false"/>
          <w:color w:val="000000"/>
          <w:sz w:val="24"/>
        </w:rPr>
        <w:t>a Change of Control shall have occurred;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(m)</w:t>
      </w:r>
      <w:r>
        <w:rPr>
          <w:color w:val="000000"/>
        </w:rPr>
        <w:t xml:space="preserve">     </w:t>
      </w:r>
      <w:r>
        <w:rPr>
          <w:rFonts w:ascii="Times New Roman;sans-serif" w:hAnsi="Times New Roman;sans-serif"/>
          <w:b w:val="false"/>
          <w:color w:val="000000"/>
          <w:sz w:val="24"/>
        </w:rPr>
        <w:t>a Key Person Event shall have occurred;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(n)</w:t>
      </w:r>
      <w:r>
        <w:rPr>
          <w:color w:val="000000"/>
        </w:rPr>
        <w:t xml:space="preserve">     </w:t>
      </w:r>
      <w:r>
        <w:rPr>
          <w:rFonts w:ascii="Times New Roman;sans-serif" w:hAnsi="Times New Roman;sans-serif"/>
          <w:b w:val="false"/>
          <w:color w:val="000000"/>
          <w:sz w:val="24"/>
        </w:rPr>
        <w:t>a Material Adverse Change shall have occurred;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(o)</w:t>
      </w:r>
      <w:r>
        <w:rPr>
          <w:color w:val="000000"/>
        </w:rPr>
        <w:t xml:space="preserve">      </w:t>
      </w:r>
      <w:r>
        <w:rPr>
          <w:rFonts w:ascii="Times New Roman;sans-serif" w:hAnsi="Times New Roman;sans-serif"/>
          <w:b w:val="false"/>
          <w:color w:val="000000"/>
          <w:sz w:val="24"/>
        </w:rPr>
        <w:t>(i) any Lien created by any of the Security Documents shall at any time not constitute a valid and perfected Lien in favor of the Administrative Agent on Collateral with an aggregate value in excess of $1,000,000, free and clear of all other Liens (other than Permitted Liens) except due to the action or inaction of the Administrative Agent or any Lender(s), (ii) except for expiration in accordance with its terms and except due to the action or inaction of the Administrative Agent or any Lender(s), any material provision of the Security Documents or any Guarantee of any of the Obligations shall for whatever reason cease to be in full force and effect, or (iii) any of the Security Documents or any Guarantee of any of the Obligations, or the enforceability thereof, shall be repudiated or contested by any Obligor; or</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3"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-95-</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(p)</w:t>
      </w:r>
      <w:r>
        <w:rPr>
          <w:color w:val="000000"/>
        </w:rPr>
        <w:t xml:space="preserve">     </w:t>
      </w:r>
      <w:r>
        <w:rPr>
          <w:rFonts w:ascii="Times New Roman;sans-serif" w:hAnsi="Times New Roman;sans-serif"/>
          <w:b w:val="false"/>
          <w:color w:val="000000"/>
          <w:sz w:val="24"/>
        </w:rPr>
        <w:t>any injunction, whether temporary or permanent, shall be rendered against any Obligor that prevents the Obligors from selling or manufacturing any Product that has a Material Adverse Effect;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(q)</w:t>
      </w:r>
      <w:r>
        <w:rPr>
          <w:color w:val="000000"/>
        </w:rPr>
        <w:t xml:space="preserve">      </w:t>
      </w:r>
      <w:r>
        <w:rPr>
          <w:rFonts w:ascii="Times New Roman;sans-serif" w:hAnsi="Times New Roman;sans-serif"/>
          <w:b w:val="false"/>
          <w:color w:val="000000"/>
          <w:sz w:val="24"/>
        </w:rPr>
        <w:t>(i) the FDA or any other Governmental Authority (A) issues a letter or other communication asserting that any Product lacks a required Product Authorization (other than the revocation of any emergency use authorization issued pursuant to Section 564 of the FD&amp;C Act), including in respect of CE marks or 510(k)s or (B) initiates enforcement action against, or issues a warning letter with respect to, any Obligor, or any of their Products or the manufacturing facilities therefor, that causes any Obligor thereof to discontinue marketing or withdraw any of its Products, or causes a delay in the manufacture of any of its Products, which discontinuance, withdrawal or delay would reasonably be expected to last for more than ninety (90) days, (ii) any material Permit (including all Product Authorizations or clinical laboratory Permits), or any of the Obligors’ material rights or interests thereunder, is terminated, adversely amended or otherwise determined to be ineffective in any manner materially adverse to any of the Obligors, in each case, for more than ninety (90) days, (iii) there is a recall of any Product in the case of (i) or (ii) in any territory that would reasonably be expected to result in a loss of revenue equal to at least $3,000,000 over the twelve (12) month period following such event or (iv) any Obligor is required to pay a fine, penalty, settlement amount or other payment to any Governmental Authority or Third-Party Payor Program which individually or in the aggregate is in excess of $2,000,000 (excluding (i) any amounts covered by insurance as to which the applicable carrier has not denied coverage, (ii) any outstanding settlement amounts due pursuant to the Settlement Agreement and (iii) until the one year anniversary of the Closing Date, any amounts reserved as of the Closing Date) for any violation or alleged violation of any Health Care Law.</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10.02.    Remedies</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Upon the occurrence of any Event of Default, then, and in every such event (other than an Event of Default described in Section 10.01(h) or (i)), and at any time thereafter during the continuance of such event, the Majority Lenders may, by notice to Administrative Borrower, take either or both of the following actions, at the same or different times: (i) terminate the Commitments, and thereupon the Commitments shall terminate immediately, and (ii) declare the Term Loans then outstanding to be due and payable in whole (or in part, in which case any principal not so declared to be due and payable may thereafter be declared to be due and payable), and thereupon the principal of the Term Loans so declared to be due and payable, together with accrued interest thereon and all fees and other Obligations, shall become due and payable immediately (in the case of the Term Loans, at the Redemption Price therefor), without presentment, demand, protest or other notice of any kind, all of which are hereby waived by each Obligor.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Upon the occurrence of any Event of Default described in Section 10.01(h) or (i), the Commitments shall automatically terminate and the principal amount of the Term Loans then outstanding, together with accrued interest thereon and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4"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-96-</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 fees and other Obligations, shall automatically become due and payable immediately (in the case of the Term Loans, at the Redemption Price therefor), without presentment, demand, protest or other notice of any kind, all of which are hereby waived by each Obligor.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If any Lender collects any money or property pursuant to this Article 10, they shall pay out the money or property in the order set forth in Section 4.01(c).</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10.03.    Prepayment Premium and Redemption Price.</w:t>
      </w:r>
      <w:r>
        <w:rPr>
          <w:color w:val="000000"/>
        </w:rPr>
        <w:t xml:space="preserve"> </w:t>
      </w:r>
      <w:r>
        <w:rPr>
          <w:rFonts w:ascii="Times New Roman;sans-serif" w:hAnsi="Times New Roman;sans-serif"/>
          <w:b w:val="false"/>
          <w:color w:val="000000"/>
          <w:sz w:val="24"/>
        </w:rPr>
        <w:t>For the avoidance of doubt, any Prepayment Premium (as a component of the Redemption Price) shall be due and payable at any time the Term Loans become due and payable prior to the Stated Maturity Date for any reason, whether due to acceleration pursuant to the terms of this Agreement (in which case it shall be due immediately, upon the giving of notice to Administrative Borrower in accordance with Section 10.02(a), or automatically, in accordance with Section 10.02(b)), by operation of law or otherwise (including, without limitation, on account of any bankruptcy filing). In view of the impracticability and extreme difficulty of ascertaining the actual amount of damages to the Lenders or profits lost by the Lenders as a result of such acceleration, and by mutual agreement of the parties as to a reasonable estimation and calculation of the lost profits or damages of the Lenders, any Prepayment Premium shall be due and payable upon such date. Each Obligor hereby waives any defense to payment, whether such defense may be based in public policy, ambiguity, or otherwise. The Obligors and the Lenders acknowledge and agree that any Prepayment Premium due and payable in accordance with this Agreement shall not constitute unmatured interest, whether under Section 502(b)(2) of the Bankruptcy Code or otherwise. Each Obligor further acknowledges and agrees, and waives any argument to the contrary, that payment of such amount does not constitute a penalty or an otherwise unenforceable or invalid obligation.</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11</w:t>
        <w:br/>
        <w:br/>
        <w:t>Guarantee</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11.01.    The Guarantee.</w:t>
      </w:r>
      <w:r>
        <w:rPr>
          <w:color w:val="000000"/>
        </w:rPr>
        <w:t xml:space="preserve"> </w:t>
      </w:r>
      <w:r>
        <w:rPr>
          <w:rFonts w:ascii="Times New Roman;sans-serif" w:hAnsi="Times New Roman;sans-serif"/>
          <w:b w:val="false"/>
          <w:color w:val="000000"/>
          <w:sz w:val="24"/>
        </w:rPr>
        <w:t xml:space="preserve">The Guarantors hereby jointly and severally guarantee to the Administrative Agent and each Lender, and its successors and assigns, the prompt payment in full when due (whether at stated maturity, by acceleration or otherwise) of the principal of and interest on the Term Loans, all fees and other amounts and Obligations from time to time owing to the Administrative Agent and any Lender by Borrowers under this Agreement or under any other Loan Document and by any other Obligor under any of the Loan Documents, in each case strictly in accordance with the terms thereof (such obligations being herein collectively called the </w:t>
      </w:r>
      <w:r>
        <w:rPr>
          <w:color w:val="000000"/>
        </w:rPr>
        <w:t>“</w:t>
      </w:r>
      <w:r>
        <w:rPr>
          <w:rFonts w:ascii="Times New Roman;sans-serif" w:hAnsi="Times New Roman;sans-serif"/>
          <w:b w:val="false"/>
          <w:i/>
          <w:color w:val="000000"/>
          <w:sz w:val="24"/>
        </w:rPr>
        <w:t>Guaranteed Obligations”</w:t>
      </w:r>
      <w:r>
        <w:rPr>
          <w:rFonts w:ascii="Times New Roman;sans-serif" w:hAnsi="Times New Roman;sans-serif"/>
          <w:b w:val="false"/>
          <w:color w:val="000000"/>
          <w:sz w:val="24"/>
        </w:rPr>
        <w:t>). The Guarantors hereby further jointly and severally agree that if Borrowers shall fail to pay in full when due (whether at stated maturity, by acceleration or otherwise) any of the Guaranteed Obligations, the Guarantors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45"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-97-</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11.02.    Obligations Unconditional.</w:t>
      </w:r>
      <w:r>
        <w:rPr>
          <w:color w:val="000000"/>
        </w:rPr>
        <w:t xml:space="preserve"> </w:t>
      </w:r>
      <w:r>
        <w:rPr>
          <w:rFonts w:ascii="Times New Roman;sans-serif" w:hAnsi="Times New Roman;sans-serif"/>
          <w:b w:val="false"/>
          <w:color w:val="000000"/>
          <w:sz w:val="24"/>
        </w:rPr>
        <w:t>The Obligations of the Guarantors under Section 11.01 are irrevocable, continuing, absolute and unconditional, joint and several, irrespective of the value, genuineness, validity, regularity or enforceability of the obligations of Borrowers under this Agreement or any other agreement or instrument referred to 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it being the intent of this Section 11.02 that the Obligations of the Guarantors hereunder shall be absolute and unconditional, joint and several, under any and all circumstances. Without limiting the generality of the foregoing, other than the defense of the payment in full of the Obligations, it is agreed that the occurrence of any one or more of the following shall not alter or impair the liability of the Guarantors hereunder, which shall remain absolute and unconditional as described above: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at any time or from time to time, without notice to the Guarantors, the time for any performance of or compliance with any of the Guaranteed Obligations shall be extended, or such performance or compliance shall be waived;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any of the acts mentioned in any of the provisions of this Agreement or any other agreement or instrument referred to herein shall be done or omitted;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 xml:space="preserve">the maturity of any of the Guaranteed Obligations shall be accelerated, or any of the Guaranteed Obligations shall be modified, supplemented or amended in any respect (including, without limitation, any modification, supplement, or amendment that results in any increase in the Guaranteed Obligations, any change in the interest or fees payable, any renewal, extension, amendment, rescission, waiver, release, discharge, indulgence, compromise, arrangement, or any other variation in connection with the Guaranteed Obligations, any Loan Document, or any other agreement), or any right under this Agreement or any other agreement or instrument referred to herein shall be waived or any other Guarantee of any of the Guaranteed Obligations or any security therefor shall be released or exchanged in whole or in part or otherwise dealt with;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color w:val="000000"/>
          <w:sz w:val="24"/>
        </w:rPr>
        <w:t xml:space="preserve">any Lien or security interest granted to, or in favor of, any Lender as security for any of the Guaranteed Obligations shall fail to be perfected or otherwise be taken, exchanged, substituted, varied, released, impaired, or subordinated;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color w:val="000000"/>
          <w:sz w:val="24"/>
        </w:rPr>
        <w:t>any Guarantee of the Guaranteed Obligations shall be taken, released, impaired, amended, waived or otherwise modified;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color w:val="000000"/>
          <w:sz w:val="24"/>
        </w:rPr>
        <w:t>any of the Guaranteed Obligations, any Loan Document, or any related agreement, security, or instrument shall be illegal, invalid or unenforceable for any reason whatsoever;</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6"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-98-</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color w:val="000000"/>
          <w:sz w:val="24"/>
        </w:rPr>
        <w:t>any Collateral or other assets shall be sold or disposed, and/or the proceeds of such sale or disposition applied, to satisfy all or part of the Guaranteed Obligations;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(h)</w:t>
      </w:r>
      <w:r>
        <w:rPr>
          <w:color w:val="000000"/>
        </w:rPr>
        <w:t xml:space="preserve">     </w:t>
      </w:r>
      <w:r>
        <w:rPr>
          <w:rFonts w:ascii="Times New Roman;sans-serif" w:hAnsi="Times New Roman;sans-serif"/>
          <w:b w:val="false"/>
          <w:color w:val="000000"/>
          <w:sz w:val="24"/>
        </w:rPr>
        <w:t xml:space="preserve">any of the security or Collateral held for the Guaranteed Obligations shall lose or diminish in value, whether such loss or diminution arises from any act or omission of the Administrative Agent or any Lender;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there shall be any Default, failure, or delay, willful or otherwise, in the payment and/or performance of the Guaranteed Obligations;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(j)</w:t>
      </w:r>
      <w:r>
        <w:rPr>
          <w:color w:val="000000"/>
        </w:rPr>
        <w:t xml:space="preserve">     </w:t>
      </w:r>
      <w:r>
        <w:rPr>
          <w:rFonts w:ascii="Times New Roman;sans-serif" w:hAnsi="Times New Roman;sans-serif"/>
          <w:b w:val="false"/>
          <w:color w:val="000000"/>
          <w:sz w:val="24"/>
        </w:rPr>
        <w:t>there shall be any change, restructuring or termination of the corporate structure, ownership or existence of any Obligor or any of its Subsidiaries or any insolvency, bankruptcy, reorganization or other similar proceeding affecting any Obligor or its assets or any resulting restructuring, compromise, release or discharge of any Guaranteed Obligations;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(k)</w:t>
      </w:r>
      <w:r>
        <w:rPr>
          <w:color w:val="000000"/>
        </w:rPr>
        <w:t xml:space="preserve">     </w:t>
      </w:r>
      <w:r>
        <w:rPr>
          <w:rFonts w:ascii="Times New Roman;sans-serif" w:hAnsi="Times New Roman;sans-serif"/>
          <w:b w:val="false"/>
          <w:color w:val="000000"/>
          <w:sz w:val="24"/>
        </w:rPr>
        <w:t>there shall be any failure of any of the Administrative Agent or any Lender to disclose to any Obligor any information relating to the business, condition (financial or otherwise), operations, performance, properties or prospects of any other Obligor, or any other information now or hereafter known to the Administrative Agent or such Lender;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(l)</w:t>
      </w:r>
      <w:r>
        <w:rPr>
          <w:color w:val="000000"/>
        </w:rPr>
        <w:t xml:space="preserve">     </w:t>
      </w:r>
      <w:r>
        <w:rPr>
          <w:rFonts w:ascii="Times New Roman;sans-serif" w:hAnsi="Times New Roman;sans-serif"/>
          <w:b w:val="false"/>
          <w:color w:val="000000"/>
          <w:sz w:val="24"/>
        </w:rPr>
        <w:t>any person shall fail to execute or deliver this Agreement (including the Guarantee in this Article 11) or any other Guarantee or agreement or the release or reduction of liability of any Obligor or surety with respect to the Guaranteed Obligations;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(m)</w:t>
      </w:r>
      <w:r>
        <w:rPr>
          <w:color w:val="000000"/>
        </w:rPr>
        <w:t xml:space="preserve">     </w:t>
      </w:r>
      <w:r>
        <w:rPr>
          <w:rFonts w:ascii="Times New Roman;sans-serif" w:hAnsi="Times New Roman;sans-serif"/>
          <w:b w:val="false"/>
          <w:color w:val="000000"/>
          <w:sz w:val="24"/>
        </w:rPr>
        <w:t>any of the Administrative Agent or any Lender shall fail to assert any claim or demand or to exercise or enforce any right or remedy under the provisions of any Loan Document or otherwise;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(n)</w:t>
      </w:r>
      <w:r>
        <w:rPr>
          <w:color w:val="000000"/>
        </w:rPr>
        <w:t xml:space="preserve">     </w:t>
      </w:r>
      <w:r>
        <w:rPr>
          <w:rFonts w:ascii="Times New Roman;sans-serif" w:hAnsi="Times New Roman;sans-serif"/>
          <w:b w:val="false"/>
          <w:color w:val="000000"/>
          <w:sz w:val="24"/>
        </w:rPr>
        <w:t xml:space="preserve">any Obligor shall assert any defense, set-off or counterclaim (other than a defense of payment or performance) that may at any time be available to, or be asserted by, such against any of the Administrative Agent or any Lender; or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(o)</w:t>
      </w:r>
      <w:r>
        <w:rPr>
          <w:color w:val="000000"/>
        </w:rPr>
        <w:t xml:space="preserve">     </w:t>
      </w:r>
      <w:r>
        <w:rPr>
          <w:rFonts w:ascii="Times New Roman;sans-serif" w:hAnsi="Times New Roman;sans-serif"/>
          <w:b w:val="false"/>
          <w:color w:val="000000"/>
          <w:sz w:val="24"/>
        </w:rPr>
        <w:t>any other circumstance (including, without limitation, any statute of limitations) or manner of administering the Guaranteed Obligations shall exist or occur, or any of the Administrative Agent or any Lender shall rely on any representation, in each case, that might vary the risk of any Obligor or otherwise operate as a defense available to, or a legal or equitable discharge of, any Obligor or surety.</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Guarantors hereby expressly waive diligence, presentment, demand of payment, protest and all notices whatsoever, and any requirement that the Administrative Agent or any Lender exhaust any right, power or remedy or proceed against Borrowers under this Agreement </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47"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-99-</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or any other agreement or instrument referred to herein, or against any other Person under any other Guarantee of, or security for, any of the Guaranteed Obligations.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11.03.    Reinstatement.</w:t>
      </w:r>
      <w:r>
        <w:rPr>
          <w:color w:val="000000"/>
        </w:rPr>
        <w:t xml:space="preserve"> </w:t>
      </w:r>
      <w:r>
        <w:rPr>
          <w:rFonts w:ascii="Times New Roman;sans-serif" w:hAnsi="Times New Roman;sans-serif"/>
          <w:b w:val="false"/>
          <w:color w:val="000000"/>
          <w:sz w:val="24"/>
        </w:rPr>
        <w:t>The obligations of the Guarantors under this Article 11 shall be automatically reinstated if and to the extent that for any reason any payment by or on behalf of Borrowers in respect of the Guaranteed Obligations is rescinded or must be otherwise restored by any holder of any of the Guaranteed Obligations, whether as a result of any proceedings in bankruptcy or reorganization or otherwise, and the Guarantors jointly and severally agree that they will indemnify the Administrative Agent and each Lender on demand for all reasonable costs and expenses (including reasonable fees of counsel) incurred by such Persons in connection with such rescission or restoration, including any such reasonable and documented out-of-pocket costs and expenses incurred in defending against any Claim alleging that such payment constituted a preference, fraudulent transfer or similar payment under any bankruptcy, insolvency or similar Law.</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11.04.    Subrogation.</w:t>
      </w:r>
      <w:r>
        <w:rPr>
          <w:color w:val="000000"/>
        </w:rPr>
        <w:t xml:space="preserve"> </w:t>
      </w:r>
      <w:r>
        <w:rPr>
          <w:rFonts w:ascii="Times New Roman;sans-serif" w:hAnsi="Times New Roman;sans-serif"/>
          <w:b w:val="false"/>
          <w:color w:val="000000"/>
          <w:sz w:val="24"/>
        </w:rPr>
        <w:t>The Guarantors hereby jointly and severally agree that, until the payment and satisfaction in full of all Guaranteed Obligations (other than the Warrant Obligations and contingent and unmatured indemnity and expense reimbursement obligations) and the expiration and termination of the Commitments, they shall not exercise any right or remedy arising by reason of any performance by them of their Guarantee in Section 11.01, whether by subrogation or otherwise, against Borrowers or any other guarantor of any of the Guaranteed Obligations or any security for any of the Guaranteed Obligations.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11.05.    Remedies.</w:t>
      </w:r>
      <w:r>
        <w:rPr>
          <w:color w:val="000000"/>
        </w:rPr>
        <w:t xml:space="preserve"> </w:t>
      </w:r>
      <w:r>
        <w:rPr>
          <w:rFonts w:ascii="Times New Roman;sans-serif" w:hAnsi="Times New Roman;sans-serif"/>
          <w:b w:val="false"/>
          <w:color w:val="000000"/>
          <w:sz w:val="24"/>
        </w:rPr>
        <w:t>The Guarantors jointly and severally agree that, as between the Guarantors, on one hand, and the Lenders, on the other hand, the obligations of Borrowers under this Agreement and under the other Loan Documents may be declared to be forthwith due and payable as provided in Article 10 (and shall be deemed to have become automatically due and payable in the circumstances provided in Article 10) for purposes of Section 11.01 notwithstanding any stay, injunction or other prohibition preventing such declaration (or such obligations from becoming automatically due and payable) as against Borrowers and that, in the event of such declaration (or such obligations being deemed to have become automatically due and payable), such obligations (whether or not due and payable by Borrowers) shall forthwith become due and payable by the Guarantors for purposes of Section 11.01.</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11.06.    Instrument for the Payment of Money.</w:t>
      </w:r>
      <w:r>
        <w:rPr>
          <w:color w:val="000000"/>
        </w:rPr>
        <w:t xml:space="preserve"> </w:t>
      </w:r>
      <w:r>
        <w:rPr>
          <w:rFonts w:ascii="Times New Roman;sans-serif" w:hAnsi="Times New Roman;sans-serif"/>
          <w:b w:val="false"/>
          <w:color w:val="000000"/>
          <w:sz w:val="24"/>
        </w:rPr>
        <w:t>Each Guarantor hereby acknowledges that the Guarantee in this Article 11 constitutes an instrument for the payment of money, and consents and agrees that each Lender, at its sole option, in the event of a dispute by such Guarantor in the payment of any moneys due hereunder, shall have the right to proceed by motion for summary judgment in lieu of complaint pursuant to N.Y. Civ. Prac. L&amp;R § 3213.</w:t>
      </w:r>
    </w:p>
    <w:p>
      <w:pPr>
        <w:pStyle w:val="TextBody"/>
        <w:bidi w:val="0"/>
        <w:spacing w:lineRule="auto" w:line="264" w:before="280" w:after="283"/>
        <w:jc w:val="both"/>
        <w:rPr/>
      </w:pPr>
      <w:r>
        <w:rPr>
          <w:color w:val="000000"/>
        </w:rPr>
        <w:t>    </w:t>
      </w:r>
      <w:r>
        <w:rPr>
          <w:rFonts w:ascii="Times New Roman;sans-serif" w:hAnsi="Times New Roman;sans-serif"/>
          <w:b w:val="false"/>
          <w:i/>
          <w:color w:val="000000"/>
          <w:sz w:val="24"/>
        </w:rPr>
        <w:t>Section 11.07.    Continuing Guarantee.</w:t>
      </w:r>
      <w:r>
        <w:rPr>
          <w:color w:val="000000"/>
        </w:rPr>
        <w:t xml:space="preserve"> </w:t>
      </w:r>
      <w:r>
        <w:rPr>
          <w:rFonts w:ascii="Times New Roman;sans-serif" w:hAnsi="Times New Roman;sans-serif"/>
          <w:b w:val="false"/>
          <w:color w:val="000000"/>
          <w:sz w:val="24"/>
        </w:rPr>
        <w:t xml:space="preserve">The Guarantee in this Article 11 is a continuing guarantee, and shall apply to all Guaranteed Obligations whenever arising. Without limiting the generality of the foregoing, the Guarantors hereby unconditionally and irrevocably waive any right to revoke this Guarantee in this Article 11 and acknowledge that the Guarantee in this Article 11 is continuing in nature, shall guarantee any ultimate balance owing to any of the Administrative Agent or any Lender, and applies to all presently existing and future Guaranteed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48"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-100-</w:t>
                      </w:r>
                    </w:p>
                  </w:txbxContent>
                </v:textbox>
                <w10:wrap type="none"/>
              </v:rect>
            </w:pict>
          </mc:Fallback>
        </mc:AlternateContent>
      </w:r>
    </w:p>
    <w:p>
      <w:pPr>
        <w:pStyle w:val="TextBody"/>
        <w:bidi w:val="0"/>
        <w:spacing w:lineRule="auto" w:line="264" w:before="280" w:after="283"/>
        <w:jc w:val="both"/>
        <w:rPr/>
      </w:pPr>
      <w:r>
        <w:rPr>
          <w:rFonts w:ascii="Times New Roman;sans-serif" w:hAnsi="Times New Roman;sans-serif"/>
          <w:b w:val="false"/>
          <w:color w:val="000000"/>
          <w:sz w:val="24"/>
        </w:rPr>
        <w:t>Obligations, until the complete, irrevocable and indefeasible payment and satisfaction in full of the Guaranteed Obligations.</w:t>
      </w:r>
      <w:r>
        <w:rPr>
          <w:color w:val="3D3D3D"/>
          <w:shd w:fill="FFFFFF" w:val="clear"/>
        </w:rPr>
        <w:t xml:space="preserve"> </w:t>
      </w:r>
      <w:r>
        <w:rPr>
          <w:rFonts w:ascii="Times New Roman;sans-serif" w:hAnsi="Times New Roman;sans-serif"/>
          <w:b w:val="false"/>
          <w:color w:val="000000"/>
          <w:sz w:val="24"/>
        </w:rPr>
        <w:t>The Guarantee in this Article 11 shall continue to apply to all Guaranteed Obligations owing to the Administrative Agent and the Lenders by any entity resulting from any Obligor merging, amalgamating, or otherwise entering into any other business combination transaction with one or more other entities.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11.08.    Rights of Contribution.</w:t>
      </w:r>
      <w:r>
        <w:rPr>
          <w:color w:val="000000"/>
        </w:rPr>
        <w:t xml:space="preserve"> </w:t>
      </w:r>
      <w:r>
        <w:rPr>
          <w:rFonts w:ascii="Times New Roman;sans-serif" w:hAnsi="Times New Roman;sans-serif"/>
          <w:b w:val="false"/>
          <w:color w:val="000000"/>
          <w:sz w:val="24"/>
        </w:rPr>
        <w:t>The Guarantors hereby agree, as between themselves, that if any Guarantor shall become an Excess Funding Guarantor (as defined below) by reason of the payment by such Guarantor of any Guaranteed Obligations, each other Guarantor shall, on demand of such Excess Funding Guarantor (but subject to the next sentence), pay to such Excess Funding Guarantor an amount equal to such Guarantor’s Pro Rata Share (as defined below and determined, for this purpose, without reference to the properties, debts and liabilities of such Excess Funding Guarantor) of the Excess Payment (as defined below) in respect of such Guaranteed Obligations. The payment obligation of a Guarantor to any Excess Funding Guarantor under this Section 11.08 shall be subordinate and subject in right of payment to the prior payment in full of the obligations of such Guarantor under the other provisions of this Article 11 and such Excess Funding Guarantor shall not exercise any right or remedy with respect to such excess until payment and satisfaction in full of all of such obligations.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 xml:space="preserve">For purposes of this Section 11.08, (a) </w:t>
      </w:r>
      <w:r>
        <w:rPr>
          <w:color w:val="000000"/>
        </w:rPr>
        <w:t>“</w:t>
      </w:r>
      <w:r>
        <w:rPr>
          <w:rFonts w:ascii="Times New Roman;sans-serif" w:hAnsi="Times New Roman;sans-serif"/>
          <w:b w:val="false"/>
          <w:i/>
          <w:color w:val="000000"/>
          <w:sz w:val="24"/>
        </w:rPr>
        <w:t>Excess Funding Guarantor”</w:t>
      </w:r>
      <w:r>
        <w:rPr>
          <w:color w:val="000000"/>
        </w:rPr>
        <w:t xml:space="preserve"> </w:t>
      </w:r>
      <w:r>
        <w:rPr>
          <w:rFonts w:ascii="Times New Roman;sans-serif" w:hAnsi="Times New Roman;sans-serif"/>
          <w:b w:val="false"/>
          <w:color w:val="000000"/>
          <w:sz w:val="24"/>
        </w:rPr>
        <w:t xml:space="preserve">means, in respect of any Guaranteed Obligations, a Guarantor that has paid an amount in excess of its Pro Rata Share of such Guaranteed Obligations, (b) </w:t>
      </w:r>
      <w:r>
        <w:rPr>
          <w:color w:val="000000"/>
        </w:rPr>
        <w:t>“</w:t>
      </w:r>
      <w:r>
        <w:rPr>
          <w:rFonts w:ascii="Times New Roman;sans-serif" w:hAnsi="Times New Roman;sans-serif"/>
          <w:b w:val="false"/>
          <w:i/>
          <w:color w:val="000000"/>
          <w:sz w:val="24"/>
        </w:rPr>
        <w:t>Excess Payment”</w:t>
      </w:r>
      <w:r>
        <w:rPr>
          <w:color w:val="000000"/>
        </w:rPr>
        <w:t xml:space="preserve"> </w:t>
      </w:r>
      <w:r>
        <w:rPr>
          <w:rFonts w:ascii="Times New Roman;sans-serif" w:hAnsi="Times New Roman;sans-serif"/>
          <w:b w:val="false"/>
          <w:color w:val="000000"/>
          <w:sz w:val="24"/>
        </w:rPr>
        <w:t xml:space="preserve">means, in respect of any Guaranteed Obligations, the amount paid by an Excess Funding Guarantor in excess of its Pro Rata Share of such Guaranteed Obligations and (c) </w:t>
      </w:r>
      <w:r>
        <w:rPr>
          <w:color w:val="000000"/>
        </w:rPr>
        <w:t>“</w:t>
      </w:r>
      <w:r>
        <w:rPr>
          <w:rFonts w:ascii="Times New Roman;sans-serif" w:hAnsi="Times New Roman;sans-serif"/>
          <w:b w:val="false"/>
          <w:i/>
          <w:color w:val="000000"/>
          <w:sz w:val="24"/>
        </w:rPr>
        <w:t>Pro Rata Share”</w:t>
      </w:r>
      <w:r>
        <w:rPr>
          <w:color w:val="000000"/>
        </w:rPr>
        <w:t xml:space="preserve"> </w:t>
      </w:r>
      <w:r>
        <w:rPr>
          <w:rFonts w:ascii="Times New Roman;sans-serif" w:hAnsi="Times New Roman;sans-serif"/>
          <w:b w:val="false"/>
          <w:color w:val="000000"/>
          <w:sz w:val="24"/>
        </w:rPr>
        <w:t>means, as of the date of determination, for any Guarantor, the ratio (expressed as a percentage) of (i) the amount by which the aggregate present fair saleable value of all properties of such Guarantor (excluding any shares of stock of any other Guarantor) exceeds the amount of all the debts and liabilities of such Guarantor (including contingent, subordinated, unmatured and unliquidated liabilities, but excluding the obligations of such Guarantor hereunder and any obligations of any other Guarantor that have been guaranteed by such Guarantor) to (ii) the amount by which the aggregate fair saleable value of all properties of all of the Guarantors exceeds the amount of all the debts and liabilities (including contingent, subordinated, unmatured and unliquidated liabilities, but excluding the obligations of Borrowers and the Guarantors hereunder and under the other Loan Documents) of all of the Guarantors, determined (A) with respect to any Guarantor that is a party hereto on the Closing Date, as of such date, and (B) with respect to any other Guarantor, as of the date such Guarantor becomes a Guarantor hereunder.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11.09.    General Limitation on Guarantee Obligations.</w:t>
      </w:r>
      <w:r>
        <w:rPr>
          <w:color w:val="000000"/>
        </w:rPr>
        <w:t xml:space="preserve"> </w:t>
      </w:r>
      <w:r>
        <w:rPr>
          <w:rFonts w:ascii="Times New Roman;sans-serif" w:hAnsi="Times New Roman;sans-serif"/>
          <w:b w:val="false"/>
          <w:color w:val="000000"/>
          <w:sz w:val="24"/>
        </w:rPr>
        <w:t xml:space="preserve">In any action or proceeding involving any provincial, territorial or state corporate Law, or any state, federal, provincial, territorial or foreign bankruptcy, insolvency, reorganization or other Law affecting the rights of creditors generally, if the obligations of any Guarantor under Section 11.01 would otherwise, taking into account the provisions of Section 11.08, be held or determined to be void, invalid or unenforceable, or subordinated to the Claims of any other creditors, on account of the amount of its liability under Section 11.01, then, notwithstanding any other provision hereof to the contrary, the amount of such liability shall, without any further action by such Guarantor, the Administrative Agent, the Lenders or any other Person, be automatically limited and reduced to </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49"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-101-</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highest amount that is valid and enforceable and not subordinated to the Claims of other creditors as determined in such action or proceeding.</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12</w:t>
        <w:br/>
        <w:br/>
        <w:t>Administrative Agent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12.01.    Appointment</w:t>
      </w:r>
      <w:r>
        <w:rPr>
          <w:rFonts w:ascii="Times New Roman;sans-serif" w:hAnsi="Times New Roman;sans-serif"/>
          <w:b w:val="false"/>
          <w:color w:val="000000"/>
          <w:sz w:val="24"/>
        </w:rPr>
        <w:t xml:space="preserve">. Each of the Lenders hereby irrevocably appoints Perceptive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12 (other than as set forth in Section 12.06) are solely for the benefit of the Administrative Agent and the Lenders, and neither Borrowers nor any other Obligor will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12.02.    Rights as a Lender</w:t>
      </w:r>
      <w:r>
        <w:rPr>
          <w:rFonts w:ascii="Times New Roman;sans-serif" w:hAnsi="Times New Roman;sans-serif"/>
          <w:b w:val="false"/>
          <w:color w:val="000000"/>
          <w:sz w:val="24"/>
        </w:rPr>
        <w:t xml:space="preserve">. The Person serving as the Administrative Agent hereunder will have the same rights and powers in its capacity as a Lender as any other Lender and may exercise the same as though it were not the Administrative Agent, and the term “Lender” or “Lenders” will, unless otherwise expressly indicated or unless the context otherwise requires, include the Person serving as the Administrative Agent hereunder in its individual capacity to the extent such Person is a Lender. The Lenders acknowledge and agree that such Person and its Affiliates may accept deposits from, lend money to, own securities of, act as the financial advisor or in any other advisory capacity for, and generally engage in any kind of business with, Borrowers, the other Obligors or any other Subsidiaries or Affiliates of the Obligors as if such Person were not the Administrative Agent hereunder and without any duty to account therefor to the Lenders.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12.03.    Exculpatory Provisions</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The Administrative Agent will not have any duties or obligations except those expressly set forth herein and in the other Loan Documents, and its duties hereunder are administrative in nature. Without limiting the generality of the foregoing, the Administrative Agent: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will not be subject to any fiduciary or other implied duties, regardless of whether a Default has occurred and is continuing;</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 xml:space="preserve">will not have any duty to take any discretionary action or exercise any discretionary powers, except discretionary rights and powers expressly contemplated hereby or by the other Loan Documents that the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0"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-102-</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Administrative Agent is required to exercise as directed in writing by the Majority Lenders (or such other number or percentage of the Lenders as will be expressly provided for herein or in the other Loan Documents);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Administrative Agent will not be required to take any action that, in its opinion or the opinion of its counsel, may expose the Administrative Agent to liability or that is contrary to any Loan Document or applicable Law, including any action that may be in violation of the automatic stay under any Insolvency Proceeding;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will not, except as expressly set forth herein and in the other Loan Documents, have any duty to disclose, and will not be liable for the failure to disclose, any information relating to the Obligors or any of its Subsidiaries or Affiliates that is communicated to or obtained by the Person serving as the Administrative Agent or any of its Affiliates in any capacity.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The Administrative Agent will not be liable for any action taken or not taken by it (i) with the consent or at the request of the Majority Lenders (or such other number or percentage of the Lenders as will be necessary, or as the Administrative Agent believes in good faith will be necessary, under the circumstances), or (ii) in the absence of its own gross negligence or willful misconduct as determined by a court of competent jurisdiction by final and non-appealable judgment. The Administrative Agent will be deemed not to have knowledge of any Default unless and until notice describing such Default is given to the Administrative Agent in writing by Borrowers or a Lender.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The Administrative Agent will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(v) the satisfaction of any condition set forth in Article 6 or elsewhere herein, other than to confirm receipt of items expressly required to be delivered to the Administrative Agent.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12.04.    Reliance by Administrative Agent</w:t>
      </w:r>
      <w:r>
        <w:rPr>
          <w:rFonts w:ascii="Times New Roman;sans-serif" w:hAnsi="Times New Roman;sans-serif"/>
          <w:b w:val="false"/>
          <w:color w:val="000000"/>
          <w:sz w:val="24"/>
        </w:rPr>
        <w:t xml:space="preserve">. The Administrative Agent will be entitled to rely upon, and will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will not incur any liability for relying thereon. In determining compliance with any condition hereunder to the making of the Term Loans that by its terms must be fulfilled to the satisfaction of a Lender, the Administrative Agent may presume that such condition is satisfactory to such Lender unless the Administrative Agent has received notice to the contrary from such Lender prior to the making of the Term Loans. The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1"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-103-</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Administrative Agent may consult with legal counsel (who may be counsel for Borrowers), independent accountants and other experts selected by it, and will not be liable for any action taken or not taken by it in accordance with the advice of any such counsel, accountants or experts.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12.05.    Delegation of Duties</w:t>
      </w:r>
      <w:r>
        <w:rPr>
          <w:rFonts w:ascii="Times New Roman;sans-serif" w:hAnsi="Times New Roman;sans-serif"/>
          <w:b w:val="false"/>
          <w:color w:val="000000"/>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Affiliates. The exculpatory provisions of this Article 12 will apply to any such sub-agent and to the Affiliates of the Administrative Agent and any such sub-agent, and will apply to their respective activities in connection with the syndication of the facility as well as activities as Administrative Agent. The Administrative Agent will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12.06.    Resignation of Agent</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The Administrative Agent may at any time give notice of its resignation to the Lenders and Administrative Borrower, which notice shall set forth the effective date of such resignation (the </w:t>
      </w:r>
      <w:r>
        <w:rPr>
          <w:color w:val="000000"/>
        </w:rPr>
        <w:t>“</w:t>
      </w:r>
      <w:r>
        <w:rPr>
          <w:rFonts w:ascii="Times New Roman;sans-serif" w:hAnsi="Times New Roman;sans-serif"/>
          <w:b w:val="false"/>
          <w:i/>
          <w:color w:val="000000"/>
          <w:sz w:val="24"/>
        </w:rPr>
        <w:t>Resignation Effective Date”</w:t>
      </w:r>
      <w:r>
        <w:rPr>
          <w:rFonts w:ascii="Times New Roman;sans-serif" w:hAnsi="Times New Roman;sans-serif"/>
          <w:b w:val="false"/>
          <w:color w:val="000000"/>
          <w:sz w:val="24"/>
        </w:rPr>
        <w:t>), such date not to be earlier than the thirtieth (30</w:t>
      </w:r>
      <w:r>
        <w:rPr>
          <w:rFonts w:ascii="Times New Roman;sans-serif" w:hAnsi="Times New Roman;sans-serif"/>
          <w:b w:val="false"/>
          <w:color w:val="000000"/>
          <w:sz w:val="16"/>
        </w:rPr>
        <w:t>th</w:t>
      </w:r>
      <w:r>
        <w:rPr>
          <w:rFonts w:ascii="Times New Roman;sans-serif" w:hAnsi="Times New Roman;sans-serif"/>
          <w:b w:val="false"/>
          <w:color w:val="000000"/>
          <w:sz w:val="24"/>
        </w:rPr>
        <w:t>) day following the date of such notice. The Majority Lenders and Borrowers shall mutually agree upon a successor to the Administrative Agent. If the Majority Lenders and Borrowers are unable to so mutually agree and no successor shall have been appointed within twenty-five (25) days after the retiring Administrative Agent gives notice of its resignation, then the retiring Administrative Agent may (but will not be obligated to), on behalf of the Lenders, appoint a successor Administrative Agent it shall designate (in its reasonable discretion after consultation with Borrowers and the Majority Lenders). Whether or not a successor has been appointed, such resignation will become effective in accordance with such notice on the Resignation Effective Date.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 xml:space="preserve">With effect from the Resignation Effective Date (i) the retiring Administrative Agent will be discharged from its duties and obligations hereunder and under the other Loan Documents (except that in the case of any Collateral held by the Administrative Agent on behalf of the Lenders under any of the Loan Documents, the retiring Administrative Agent will continue to hold such Collateral until such time as a successor Administrative Agent is appointed) and (ii) except for any indemnity payments owed to the retiring Administrative Agent, all payments, communications and determinations provided to be made by, to or through the Administrative Agent will instead be made by or to each Lender directly, until such time, if any, as the Majority Lenders appoint a successor Administrative Agent as provided for above. Upon the acceptance of a successor’s appointment as Administrative Agent hereunder, such successor will succeed to and become vested with all of the rights, powers, privileges and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2"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duties of the retiring Administrative Agent (other than any rights to indemnity payments owed to the retiring Administrative Agent), and the retiring Administrative Agent will be discharged from all of its duties and obligations hereunder or under the other Loan Documents. The fees payable by Borrowers to a successor Administrative Agent will be the same as those payable to its predecessor unless otherwise agreed between Borrowers and such successor. After the retiring Administrative Agent’s resignation hereunder and under the other Loan Documents, the provisions of this Article 12 and Sections 13.03 and 13.06 will continue in effect for the benefit of such retiring Administrative Agent, its sub-agents and their respective Affiliates in respect of any actions taken or omitted to be taken by any of them while the retiring Administrative Agent was acting as Administrative Agent.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12.07.    Non-Reliance on Administrative Agent and Other Lenders</w:t>
      </w:r>
      <w:r>
        <w:rPr>
          <w:rFonts w:ascii="Times New Roman;sans-serif" w:hAnsi="Times New Roman;sans-serif"/>
          <w:b w:val="false"/>
          <w:color w:val="000000"/>
          <w:sz w:val="24"/>
        </w:rPr>
        <w:t>. 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will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12.08.    Administrative Agent May File Proofs of Claim</w:t>
      </w:r>
      <w:r>
        <w:rPr>
          <w:rFonts w:ascii="Times New Roman;sans-serif" w:hAnsi="Times New Roman;sans-serif"/>
          <w:b w:val="false"/>
          <w:color w:val="000000"/>
          <w:sz w:val="24"/>
        </w:rPr>
        <w:t xml:space="preserve">. In case of the pendency of any Insolvency Proceeding or any other judicial proceeding relative to an Obligor, the Administrative Agent (irrespective of whether the principal of the Term Loans will then be due and payable as herein expressed or by declaration or otherwise and irrespective of whether the Administrative Agent has made any demand on an Obligor) will be entitled and empowered (but not obligated), by intervention in such proceeding or otherwise: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to file and prove a Claim for the whole amount of the principal and interest owing and unpaid in respect of the Term Loans and all other Obligations that are owing and unpaid hereunder or under any other Loan Document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this Agreement or any other Loan Document) allowed in such judicial proceeding;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to collect and receive any monies or other property payable or deliverable on any such Claims and to distribute the same.</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Any custodian, receiver, assignee, trustee, liquidator, sequestrator or other similar official in any such judicial proceeding is hereby authorized by each Lender to make any payments of the type described above in this Section 12.08 to the Administrative Agent and, in the event that the Administrative Agent consents to the making of such payments directly to the Lenders, to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3"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-105-</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pay to the Administrative Agent any amount due for the reasonable compensation, expenses, disbursements and advances of the Administrative Agent and its agents and counsel, and any other amounts due the Administrative Agent under this Agreement or any other Loan Document.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12.09.    Collateral and Guaranty Matters; Appointment of Collateral Agent</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 xml:space="preserve">Without limiting the provisions of Section 12.08, the Lenders irrevocably agree as follows: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the Administrative Agent is authorized, at its option and in its discretion, to release any Lien on any property granted to or held by the Administrative Agent under any Loan Document (A) on the date when all Obligations have been satisfied in full in cash (other than Warrant Obligations and contingent obligations as to which no Claims have been asserted), (B) that is sold or otherwise disposed of or to be sold or otherwise disposed of as part of or in connection with any sale or other disposition permitted under the Loan Documents, or (C) subject to Sections 13.01 and 13.04, if approved, authorized or ratified in writing by the Majority Lenders;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the Administrative Agent is authorized, at its option and discretion, to release any Guarantor from its obligations hereunder if such Person ceases to be a Subsidiary as a result of a transaction permitted under the Loan Documents.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Upon request by the Administrative Agent at any time, each Lender will confirm in writing the Administrative Agent’s authority to release or subordinate its interest in particular types or items of Collateral, or to release any Guarantor from its obligations under its guaranty pursuant to this Section 12.09.</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The Administrative Agent will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Obligor in connection therewith, nor will the Administrative Agent be responsible or liable to the Lenders for any failure to monitor or maintain any portion of the Collateral.</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color w:val="000000"/>
          <w:sz w:val="24"/>
        </w:rPr>
        <w:t xml:space="preserve">Each Lender hereby appoints the Administrative Agent as its collateral agent under each of the Security Documents and agrees that, in so acting, the Administrative Agent will have all of the rights, protections, exculpations, indemnities and other benefits provided to the Administrative Agent under this Agreement, and hereby authorizes and directs the Administrative Agent, on behalf of such Lender and all Lenders, without the necessity of any notice to or further consent from any of the Lenders, from time to time to (i) take any action with respect to any Collateral or any Security Document which may be necessary to perfect and maintain perfected the Liens on the Collateral granted pursuant to any such Security Document or protect and preserve the Administrative Agent’s ability to enforce the Liens or realize upon the Collateral,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54"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-106-</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(ii) act as collateral agent for each Lender for purposes of acquiring, holding, enforcing and perfecting all Liens created by the Loan Documents and all other purposes stated therein, (iii) enter into intercreditor or subordination agreements, as the case may be, in connection with Indebtedness permitted pursuant to Sections 9.01(e) and 9.01(l), as applicable, (iv) enter into non-disturbance or similar agreements in connection with licensing agreements and arrangements permitted by this Agreement and the other Loan Documents and (v) otherwise to take or refrain from taking any and all action that the Administrative Agent shall deem necessary or advisable in fulfilling its role as collateral agent under any of the Security Documents.</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Article 13</w:t>
        <w:br/>
        <w:br/>
        <w:t>Miscellaneous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13.01.    No Waiver.</w:t>
      </w:r>
      <w:r>
        <w:rPr>
          <w:color w:val="000000"/>
        </w:rPr>
        <w:t xml:space="preserve"> </w:t>
      </w:r>
      <w:r>
        <w:rPr>
          <w:rFonts w:ascii="Times New Roman;sans-serif" w:hAnsi="Times New Roman;sans-serif"/>
          <w:b w:val="false"/>
          <w:color w:val="000000"/>
          <w:sz w:val="24"/>
        </w:rPr>
        <w:t>No failure on the part of the Administrative Agent or the Lenders to exercise and no delay in exercising, and no course of dealing with respect to, any right, power or privilege under any Loan Document shall operate as a waiver thereof, nor shall any single or partial exercise of any right, power or privilege under any Loan Document preclude any other or further exercise thereof or the exercise of any other right, power or privilege. The remedies provided herein are cumulative and not exclusive of any remedies provided by Law.</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13.02.    Notices.</w:t>
      </w:r>
      <w:r>
        <w:rPr>
          <w:color w:val="000000"/>
        </w:rPr>
        <w:t xml:space="preserve"> </w:t>
      </w:r>
      <w:r>
        <w:rPr>
          <w:rFonts w:ascii="Times New Roman;sans-serif" w:hAnsi="Times New Roman;sans-serif"/>
          <w:b w:val="false"/>
          <w:color w:val="000000"/>
          <w:sz w:val="24"/>
        </w:rPr>
        <w:t xml:space="preserve">All notices, requests, instructions, directions and other communications provided for herein (including any modifications of, or waivers, requests or consents under, the Loan Documents) shall be given or made in writing (including by telecopy or electronic mail) delivered, if to Administrative Borrower, another Obligor, the Administrative Agent or the Lenders, to its address specified on Schedule 2 hereto or its Guarantee Assumption Agreement, as the case may be, or at such other address as shall be designated by such party in a notice to the other parties. Except as otherwise provided in this Agreement, all such communications shall be deemed to have been duly given upon receipt of a legible copy thereof, in each case given or addressed as aforesaid. </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13.03.    Expenses, Indemnification, Etc</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 xml:space="preserve">Expenses. </w:t>
      </w:r>
      <w:r>
        <w:rPr>
          <w:rFonts w:ascii="Times New Roman;sans-serif" w:hAnsi="Times New Roman;sans-serif"/>
          <w:b w:val="false"/>
          <w:color w:val="000000"/>
          <w:sz w:val="24"/>
        </w:rPr>
        <w:t xml:space="preserve">Each Obligor agrees to pay or reimburse (i) the Administrative Agent and the Lenders for all of their reasonable and documented out of pocket costs and expenses (including the reasonable and documented out of pocket costs fees and expenses of Chapman and Cutler LLP, counsel to the Administrative Agent) in connection with (A) the negotiation, preparation, execution and delivery of this Agreement and the other Loan Documents and the making of the Term Loans (exclusive of post-closing costs);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so long as the Borrowing of the Tranche A Term Loan is made, such fees shall be credited against the Expense Deposit, (B) post-closing costs and (C) the negotiation or preparation of any amendment, modification, supplement or waiver of any of the terms of this Agreement or any of the other Loan Documents (whether or not consummated) and (ii) the Administrative Agent and the Lenders for all of their reasonable and documented out of pocket costs and expenses (including the reasonable and documented out of pocket costs fees and expenses of legal counsel) in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5"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-107-</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connection with any enforcement or collection proceedings resulting from the occurrence of an Event of Default.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 xml:space="preserve">Indemnification. </w:t>
      </w:r>
      <w:r>
        <w:rPr>
          <w:rFonts w:ascii="Times New Roman;sans-serif" w:hAnsi="Times New Roman;sans-serif"/>
          <w:b w:val="false"/>
          <w:color w:val="000000"/>
          <w:sz w:val="24"/>
        </w:rPr>
        <w:t xml:space="preserve">Each Obligor hereby indemnifies the Administrative Agent, the Lenders, their respective Affiliates, and their respective directors, officers, employees, attorneys, agents and advisors (each, an </w:t>
      </w:r>
      <w:r>
        <w:rPr>
          <w:color w:val="000000"/>
        </w:rPr>
        <w:t>“</w:t>
      </w:r>
      <w:r>
        <w:rPr>
          <w:rFonts w:ascii="Times New Roman;sans-serif" w:hAnsi="Times New Roman;sans-serif"/>
          <w:b w:val="false"/>
          <w:i/>
          <w:color w:val="000000"/>
          <w:sz w:val="24"/>
        </w:rPr>
        <w:t>Indemnified Party”</w:t>
      </w:r>
      <w:r>
        <w:rPr>
          <w:rFonts w:ascii="Times New Roman;sans-serif" w:hAnsi="Times New Roman;sans-serif"/>
          <w:b w:val="false"/>
          <w:color w:val="000000"/>
          <w:sz w:val="24"/>
        </w:rPr>
        <w:t>) from and against, and agrees to hold them harmless against, any and all Claims and Losses of any kind (including reasonable and documented out of pocket costs fees and disbursements of counsel), joint or several, that is incurred by or asserted or awarded against any Indemnified Party, in each case arising out of or in connection with or relating to any investigation, litigation or proceeding or the preparation of any defense with respect thereto arising out of or in connection with or relating to this Agreement or any of the other Loan Documents or the Transactions or any use made or proposed to be made with the proceeds of the Term Loans, whether or not such investigation, litigation or proceeding is brought by an Obligor, any of its shareholders or creditors, an Indemnified Party or any other Person, or an Indemnified Party is otherwise a party thereto, and whether or not any of the conditions precedent set forth in Article 6 are satisfied or the other Transactions contemplated by this Agreement are consummated, except to the extent such Claim or Loss (x) is found in a final, non-appealable judgment by a court of competent jurisdiction to have resulted from any Indemnified Party’s gross negligence or willful misconduct or (y) results from a Claim brought by an Obligor against an Indemnified Party for breach in bad faith of such Indemnified Party’s obligations hereunder or under any other Loan Document, if such Obligor has obtained a final and non-appealable judgment in its favor on such Claim as determined by a court of competent jurisdiction or (z) results from a Claim not involving an act or omission of an Obligor that is brought by an Indemnified Party against another Indemnified Party (other than against the Administrative Agent in its capacity as such). No Obligor shall assert any Claim against any Indemnified Party, on any theory of liability, for consequential, indirect, special or punitive damages arising out of or otherwise relating to this Agreement or any of the other Loan Documents or any of the Transactions or the actual or proposed use of the proceeds of the Term Loans. This Section 13.03(b) shall not apply to Taxes other than Taxes relating to a non-Tax Claim or Loss governed by this Section 13.03(b).</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13.04.    Amendments, Etc</w:t>
      </w:r>
      <w:r>
        <w:rPr>
          <w:rFonts w:ascii="Times New Roman;sans-serif" w:hAnsi="Times New Roman;sans-serif"/>
          <w:b w:val="false"/>
          <w:color w:val="000000"/>
          <w:sz w:val="24"/>
        </w:rPr>
        <w:t xml:space="preserve">. Except as otherwise expressly provided in this Agreement, any provision of this Agreement or any other Loan Document (except for the Warrant Certificate, which may be amended, modified, waived or supplemented in accordance with the terms thereof) may be amended, modified, waived or supplemented only by an instrument in writing signed by Obligors, the Administrative Agent and the Majority Lenders;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no amendment, waiver or consent shall, unless in writing and signed by all of the Lenders and Obligors, do any of the following at any time: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change the number of Lenders or the percentage of (A) the Commitments or (B) the aggregate unpaid principal amount of the Term Loans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56"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-108-</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that, in each case, shall be required for the Lenders or any of them to take any action hereunder (including pursuant to any change to the definition of </w:t>
      </w:r>
      <w:r>
        <w:rPr>
          <w:color w:val="000000"/>
        </w:rPr>
        <w:t>“</w:t>
      </w:r>
      <w:r>
        <w:rPr>
          <w:rFonts w:ascii="Times New Roman;sans-serif" w:hAnsi="Times New Roman;sans-serif"/>
          <w:b w:val="false"/>
          <w:i/>
          <w:color w:val="000000"/>
          <w:sz w:val="24"/>
        </w:rPr>
        <w:t>Majority Lenders”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release one or more Guarantors (or otherwise limit such Guarantors’ liability with respect to the Obligations owing to the Lenders under the Guarantees) if such release or limitation is in respect of all or substantially all of the value represented by the Guarantees to the Lenders;</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release, or subordinate the Lenders’ Liens in, all or substantially all of the Collateral in any transaction or series of related transactions (other than in connection with any sale of Collateral permitted herein);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amend any provision of this Section 13.04;</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no amendment, waiver or consent shall, unless in writing and signed by each Lender and Obligors specified below for such amendment, waiver or consent: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increase the Commitments of a Lender without the consent of such Lender;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reduce the principal of, or stated rate of interest on, or any Prepayment Premium payable on, the Term Loans owed to a Lender or any fees or other amounts stated to be payable hereunder or under the other Loan Documents to such Lender without the consent of such Lender;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postpone any date scheduled for any payment of principal of, or interest on, the Term Loans, any date scheduled for payment or for any date fixed for any payment of fees hereunder (excluding the due date of any mandatory prepayment of a Term Loan), in each case payable to a Lender without the consent of such Lender;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(iv)</w:t>
      </w:r>
      <w:r>
        <w:rPr>
          <w:color w:val="000000"/>
        </w:rPr>
        <w:t xml:space="preserve">     </w:t>
      </w:r>
      <w:r>
        <w:rPr>
          <w:rFonts w:ascii="Times New Roman;sans-serif" w:hAnsi="Times New Roman;sans-serif"/>
          <w:b w:val="false"/>
          <w:color w:val="000000"/>
          <w:sz w:val="24"/>
        </w:rPr>
        <w:t>change the order of application of prepayment of the Term Loans from the application thereof set forth in the applicable provisions of Sections 4.01(b) and (c) in any manner that adversely affects the Lenders without the consent of holders of a majority of the Commitments or Term Loans outstanding or otherwise change any provision requiring the pro rata distributions hereunder among the Lenders without all Lenders’ consent;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(v)</w:t>
      </w:r>
      <w:r>
        <w:rPr>
          <w:color w:val="000000"/>
        </w:rPr>
        <w:t xml:space="preserve">     </w:t>
      </w:r>
      <w:r>
        <w:rPr>
          <w:rFonts w:ascii="Times New Roman;sans-serif" w:hAnsi="Times New Roman;sans-serif"/>
          <w:b w:val="false"/>
          <w:color w:val="000000"/>
          <w:sz w:val="24"/>
        </w:rPr>
        <w:t>modify Section 2.02 without the consent of each Lender directly and adversely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57"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-109-</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13.05.    Successors and Assigns</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General.</w:t>
      </w:r>
      <w:r>
        <w:rPr>
          <w:color w:val="000000"/>
        </w:rPr>
        <w:t xml:space="preserve"> </w:t>
      </w:r>
      <w:r>
        <w:rPr>
          <w:rFonts w:ascii="Times New Roman;sans-serif" w:hAnsi="Times New Roman;sans-serif"/>
          <w:b w:val="false"/>
          <w:color w:val="000000"/>
          <w:sz w:val="24"/>
        </w:rPr>
        <w:t>The provisions of this Agreement shall be binding upon and inure to the benefit of the parties hereto and their respective successors and assigns permitted hereby, except that (i) no Obligor may assign or otherwise transfer any of its rights or obligations hereunder without the prior written consent of the Administrative Agent and each Lender (and any attempted assignment or transfer by such Obligor without such consent shall be null and void) and (ii) no Lender may assign or otherwise transfer its rights or obligations hereunder except in accordance with this Section 13.05. Nothing in this Agreement, expressed or implied, shall be construed to confer upon any Person (other than the parties hereto, their respective successors and assigns permitted hereby, Participants (to the extent provided in paragraph (e) of this Section 13.05) and, to the extent expressly contemplated hereby, the Indemnified Parties of the Lenders) any legal or equitable right, remedy or Claim under or by reason of this Agreement.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Amendments to Loan Documents.</w:t>
      </w:r>
      <w:r>
        <w:rPr>
          <w:color w:val="000000"/>
        </w:rPr>
        <w:t xml:space="preserve"> </w:t>
      </w:r>
      <w:r>
        <w:rPr>
          <w:rFonts w:ascii="Times New Roman;sans-serif" w:hAnsi="Times New Roman;sans-serif"/>
          <w:b w:val="false"/>
          <w:color w:val="000000"/>
          <w:sz w:val="24"/>
        </w:rPr>
        <w:t>Each of the Lenders and the Obligors agrees to enter into such amendments to the Loan Documents, and such additional Security Documents and other instruments and agreements, in each case in form and substance reasonably acceptable to the Lenders and the Obligors, as shall reasonably be necessary to implement and give effect to any assignment made by any Lender (or any direct or indirect assignee thereof) from time to time under this Section 13.05.</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Assignments by Lenders</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 xml:space="preserve">Subject to the conditions set forth in paragraph (c)(ii) below, any Lender may assign to one or more Persons (other than an Ineligible Assignee) all or a portion of its rights and obligations under the Loan Documents (including all or a portion of its Commitment and the Term Loans at the time owing to it) with the prior written consent (such consent not to be unreasonably withheld) of the Administrative Agent,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consent of the Administrative Agent shall be required for an assignment of any Commitment or of all or any portion of a Term Loan to a Lender, an Affiliate of a Lender or an Approved Fund.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Assignments shall be subject to the following additional conditions:</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(A)except in the case of an assignment to a Lender or an Affiliate of a Lender or an assignment of the entire remaining amount of the assigning Lender’s Commitment or Term Loans, the amount of the Commitment or Term Loans of the assigning Lender subject to each such assignment (determined as of the date the Assignment Agreement with respect to such assignment is delivered to the Administrative Agent)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58"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-110-</w:t>
                      </w:r>
                    </w:p>
                  </w:txbxContent>
                </v:textbox>
                <w10:wrap type="none"/>
              </v:rect>
            </w:pict>
          </mc:Fallback>
        </mc:AlternateContent>
      </w:r>
    </w:p>
    <w:p>
      <w:pPr>
        <w:pStyle w:val="TextBody"/>
        <w:bidi w:val="0"/>
        <w:spacing w:lineRule="auto" w:line="280" w:before="32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 be less than $500,000, unless the Administrative Agent otherwise consents; </w:t>
      </w:r>
    </w:p>
    <w:p>
      <w:pPr>
        <w:pStyle w:val="TextBody"/>
        <w:bidi w:val="0"/>
        <w:spacing w:lineRule="auto" w:line="280" w:before="32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(B)each partial assignment shall be made as an assignment of a proportionate part of all the assigning Lender’s rights and obligations under this Agreement and the other Loan Documents; and</w:t>
      </w:r>
    </w:p>
    <w:p>
      <w:pPr>
        <w:pStyle w:val="TextBody"/>
        <w:bidi w:val="0"/>
        <w:spacing w:lineRule="auto" w:line="280" w:before="320" w:after="283"/>
        <w:ind w:left="0" w:right="0" w:firstLine="720"/>
        <w:jc w:val="both"/>
        <w:rPr/>
      </w:pPr>
      <w:r>
        <w:rPr>
          <w:rFonts w:ascii="Times New Roman;sans-serif" w:hAnsi="Times New Roman;sans-serif"/>
          <w:b w:val="false"/>
          <w:color w:val="000000"/>
          <w:sz w:val="24"/>
        </w:rPr>
        <w:t xml:space="preserve">(C)the parties to each assignment shall execute and deliver to the Administrative Agent (with a copy to the Administrative Borrower,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the failure to give such copy to the Administrative Borrower shall not affect the validity of such Assignment Agreement) an Assignment Agreement in form and substance reasonably satisfactory to the Administrative Agent.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Subject to acceptance and recording thereof pursuant to paragraph (d) of this Section 13.05, from and after the effective date specified in each Assignment Agreement, the assignee thereunder shall be a party hereto and, to the extent of the interest assigned by such Assignment Agreement, have the rights and obligations of a Lender under the Loan Documents, and the assigning Lender thereunder shall, to the extent of the interest assigned by such Assignment Agreement, be released from its obligations under the Loan Documents (and, in the case of an Assignment Agreement covering all of the assigning Lender’s rights and obligations under the Loan Documents, such Lender shall cease to be a party hereto). Any assignment or transfer by a Lender of rights or obligations under the Loan Documents that does not comply with this Section 13.05 shall be treated for purposes of the Loan Documents as a sale by such Lender of a participation in such rights and obligations in accordance with paragraph (e) of this Section 13.05.</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(d)</w:t>
      </w:r>
      <w:r>
        <w:rPr>
          <w:color w:val="000000"/>
        </w:rPr>
        <w:t xml:space="preserve">     </w:t>
      </w:r>
      <w:r>
        <w:rPr>
          <w:rFonts w:ascii="Times New Roman;sans-serif" w:hAnsi="Times New Roman;sans-serif"/>
          <w:b w:val="false"/>
          <w:i/>
          <w:color w:val="000000"/>
          <w:sz w:val="24"/>
        </w:rPr>
        <w:t>Register.</w:t>
      </w:r>
      <w:r>
        <w:rPr>
          <w:color w:val="000000"/>
        </w:rPr>
        <w:t xml:space="preserve"> </w:t>
      </w:r>
      <w:r>
        <w:rPr>
          <w:rFonts w:ascii="Times New Roman;sans-serif" w:hAnsi="Times New Roman;sans-serif"/>
          <w:b w:val="false"/>
          <w:color w:val="000000"/>
          <w:sz w:val="24"/>
        </w:rPr>
        <w:t>The Administrative Agent, acting for this purpose as a non-fiduciary agent of Borrowers, shall maintain at one of its offices a copy of each Assignment Agreement delivered to it and a register for the recordation of the names and addresses of the Lenders, and the Commitment of, and principal amount (and stated interest) of the Term Loans owing to, each Lender pursuant to the terms hereof from time to time (the “</w:t>
      </w:r>
      <w:r>
        <w:rPr>
          <w:rFonts w:ascii="Times New Roman;sans-serif" w:hAnsi="Times New Roman;sans-serif"/>
          <w:b w:val="false"/>
          <w:i/>
          <w:color w:val="000000"/>
          <w:sz w:val="24"/>
        </w:rPr>
        <w:t>Register</w:t>
      </w:r>
      <w:r>
        <w:rPr>
          <w:color w:val="000000"/>
        </w:rPr>
        <w:t>”</w:t>
      </w:r>
      <w:r>
        <w:rPr>
          <w:rFonts w:ascii="Times New Roman;sans-serif" w:hAnsi="Times New Roman;sans-serif"/>
          <w:b w:val="false"/>
          <w:color w:val="000000"/>
          <w:sz w:val="24"/>
        </w:rPr>
        <w:t>). The entries in the Register shall be conclusive absent manifest error, and Borrowers, the Administrative Agent, and the Lenders shall treat each Person whose name is recorded in the Register pursuant to the terms hereof as a Lender hereunder for all purposes of this Agreement, notwithstanding notice to the contrary. The Register shall be available for inspection by Borrowers and any Lender, at any reasonable time and from time to time upon reasonable prior notice. No assignment shall be effective for purposes of this Agreement unless (i) it has been recorded in the Register as provided in this paragraph and (ii) any written consent to such assignment required by paragraph (c) of this Section 13.05 has been obtained.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(e)</w:t>
      </w:r>
      <w:r>
        <w:rPr>
          <w:color w:val="000000"/>
        </w:rPr>
        <w:t xml:space="preserve">     </w:t>
      </w:r>
      <w:r>
        <w:rPr>
          <w:rFonts w:ascii="Times New Roman;sans-serif" w:hAnsi="Times New Roman;sans-serif"/>
          <w:b w:val="false"/>
          <w:i/>
          <w:color w:val="000000"/>
          <w:sz w:val="24"/>
        </w:rPr>
        <w:t>Participations.</w:t>
      </w:r>
      <w:r>
        <w:rPr>
          <w:color w:val="000000"/>
        </w:rPr>
        <w:t xml:space="preserve"> </w:t>
      </w:r>
      <w:r>
        <w:rPr>
          <w:rFonts w:ascii="Times New Roman;sans-serif" w:hAnsi="Times New Roman;sans-serif"/>
          <w:b w:val="false"/>
          <w:color w:val="000000"/>
          <w:sz w:val="24"/>
        </w:rPr>
        <w:t>Any Lender may at any time, without the consent of, or notice to, Borrowers, sell participations to any Person (a “</w:t>
      </w:r>
      <w:r>
        <w:rPr>
          <w:rFonts w:ascii="Times New Roman;sans-serif" w:hAnsi="Times New Roman;sans-serif"/>
          <w:b w:val="false"/>
          <w:i/>
          <w:color w:val="000000"/>
          <w:sz w:val="24"/>
        </w:rPr>
        <w:t>Participant</w:t>
      </w:r>
      <w:r>
        <w:rPr>
          <w:color w:val="000000"/>
        </w:rPr>
        <w:t>”</w:t>
      </w:r>
      <w:r>
        <w:rPr>
          <w:rFonts w:ascii="Times New Roman;sans-serif" w:hAnsi="Times New Roman;sans-serif"/>
          <w:b w:val="false"/>
          <w:color w:val="000000"/>
          <w:sz w:val="24"/>
        </w:rPr>
        <w:t xml:space="preserve">), other than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59"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-111-</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an Ineligible Assignee, in all or a portion of such Lender’s rights and obligations under the Loan Documents (including all or a portion of its Commitment and the Term Loans owing to it);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(i) such Lender’s obligations under the Loan Documents shall remain unchanged, (ii) such Lender shall remain solely responsible to the other parties hereto for the performance of such obligations and (iii) Borrowers shall continue to deal solely and directly with such Lender in connection therewith.</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(f)</w:t>
      </w:r>
      <w:r>
        <w:rPr>
          <w:color w:val="000000"/>
        </w:rPr>
        <w:t xml:space="preserve">     </w:t>
      </w:r>
      <w:r>
        <w:rPr>
          <w:rFonts w:ascii="Times New Roman;sans-serif" w:hAnsi="Times New Roman;sans-serif"/>
          <w:b w:val="false"/>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agreement or instrument may provide that such Lender will not, without the consent of the Participant, agree to any amendment, modification or waiver that would (i) increase or extend the term of such Lender’s Commitment, (ii) extend the date fixed for the payment of principal of or interest on the Term Loans or any portion of any fee hereunder payable to the Participant, (iii) reduce the amount of any such payment of principal, or (iv) reduce the rate at which interest is payable thereon to a level below the rate at which the Participant is entitled to receive such interest. Each Borrower agrees that each Participant shall be entitled to the benefits of Section 5.03 (subject to the requirements and limitations therein, including the requirements under Section 5.03(f) (it being understood that the documentation required under Section 5.03(f) shall be delivered to Administrative Borrower and the participating Lender)) to the same extent as if it were a Lender and had acquired its interest by assignment pursuant to Section 13.05(a),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 xml:space="preserve">that such Participant (A) agrees to be subject to the provisions of Section 5.03(h) as if it were an assignee under Section 13.05(a); and (B) shall not be entitled to receive any greater payment under Section 5.03, with respect to any participation, than its participating Lender would have been entitled to receive, unless the sale of the participation to such Participant is made with Borrowers’ prior written consent. To the extent permitted by Law, each Participant also shall be entitled to the benefits of Section 4.04(a) as though it were a Lender. Each Lender that sells a participation shall, acting solely for this purpose as a non-fiduciary agent of Borrowers, maintain a register on which it enters the name and address of each Participant and the principal amounts (and stated interest) of each Participant’s interest in the Term Loans or other obligations under the Loan Documents (the </w:t>
      </w:r>
      <w:r>
        <w:rPr>
          <w:color w:val="000000"/>
        </w:rPr>
        <w:t>“</w:t>
      </w:r>
      <w:r>
        <w:rPr>
          <w:rFonts w:ascii="Times New Roman;sans-serif" w:hAnsi="Times New Roman;sans-serif"/>
          <w:b w:val="false"/>
          <w:i/>
          <w:color w:val="000000"/>
          <w:sz w:val="24"/>
        </w:rPr>
        <w:t>Participant Register”</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(g)</w:t>
      </w:r>
      <w:r>
        <w:rPr>
          <w:color w:val="000000"/>
        </w:rPr>
        <w:t xml:space="preserve">     </w:t>
      </w:r>
      <w:r>
        <w:rPr>
          <w:rFonts w:ascii="Times New Roman;sans-serif" w:hAnsi="Times New Roman;sans-serif"/>
          <w:b w:val="false"/>
          <w:i/>
          <w:color w:val="000000"/>
          <w:sz w:val="24"/>
        </w:rPr>
        <w:t>Certain Pledges.</w:t>
      </w:r>
      <w:r>
        <w:rPr>
          <w:color w:val="000000"/>
        </w:rPr>
        <w:t xml:space="preserve"> </w:t>
      </w:r>
      <w:r>
        <w:rPr>
          <w:rFonts w:ascii="Times New Roman;sans-serif" w:hAnsi="Times New Roman;sans-serif"/>
          <w:b w:val="false"/>
          <w:color w:val="000000"/>
          <w:sz w:val="24"/>
        </w:rPr>
        <w:t xml:space="preserve">Subject to Section 13.05(d), the Lenders may at any time pledge or assign a security interest in all or any portion of its rights under this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0"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-112-</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Agreement and any other Loan Document to secure obligations of the Lenders, including any pledge or assignment to secure obligations to a Federal Reserve Bank or another central bank; </w:t>
      </w:r>
      <w:r>
        <w:rPr>
          <w:rFonts w:ascii="Times New Roman;sans-serif" w:hAnsi="Times New Roman;sans-serif"/>
          <w:b w:val="false"/>
          <w:i/>
          <w:color w:val="000000"/>
          <w:sz w:val="24"/>
        </w:rPr>
        <w:t>provided</w:t>
      </w:r>
      <w:r>
        <w:rPr>
          <w:color w:val="000000"/>
        </w:rPr>
        <w:t xml:space="preserve"> </w:t>
      </w:r>
      <w:r>
        <w:rPr>
          <w:rFonts w:ascii="Times New Roman;sans-serif" w:hAnsi="Times New Roman;sans-serif"/>
          <w:b w:val="false"/>
          <w:color w:val="000000"/>
          <w:sz w:val="24"/>
        </w:rPr>
        <w:t>that no such pledge or assignment shall release the Lenders from any of their obligations hereunder or substitute any such pledgee or assignee for the Lenders as a party hereto.</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13.06.    Survival.</w:t>
      </w:r>
      <w:r>
        <w:rPr>
          <w:color w:val="000000"/>
        </w:rPr>
        <w:t xml:space="preserve"> </w:t>
      </w:r>
      <w:r>
        <w:rPr>
          <w:rFonts w:ascii="Times New Roman;sans-serif" w:hAnsi="Times New Roman;sans-serif"/>
          <w:b w:val="false"/>
          <w:color w:val="000000"/>
          <w:sz w:val="24"/>
        </w:rPr>
        <w:t>The obligations of each Obligor under Sections 5.01, 5.02, 5.03, 13.03, 13.05, 13.09, 13.10, 13.11, 13.12, 13.13, 13.14 and Article 11 (solely to the extent guaranteeing any of the obligations under the foregoing Sections) shall survive the repayment of the Obligations and the termination of the Commitments and, in the case of any Lender’s assignment of any interest in the Commitments or the Term Loans hereunder, shall survive, in the case of any event or circumstance that occurred prior to the effective date of such assignment, the making of such assignment, notwithstanding that such Lenders may cease to be a “Lender” hereunder. In addition, each representation and warranty made, or deemed to be made by a notice of the Term Loans, herein or pursuant hereto shall survive the making of such representation and warranty.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13.07.    Captions.</w:t>
      </w:r>
      <w:r>
        <w:rPr>
          <w:color w:val="000000"/>
        </w:rPr>
        <w:t xml:space="preserve"> </w:t>
      </w:r>
      <w:r>
        <w:rPr>
          <w:rFonts w:ascii="Times New Roman;sans-serif" w:hAnsi="Times New Roman;sans-serif"/>
          <w:b w:val="false"/>
          <w:color w:val="000000"/>
          <w:sz w:val="24"/>
        </w:rPr>
        <w:t>The table of contents and captions and section headings appearing herein are included solely for convenience of reference and are not intended to affect the interpretation of any provision of this Agreement.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13.08.    Counterparts.</w:t>
      </w:r>
      <w:r>
        <w:rPr>
          <w:color w:val="000000"/>
        </w:rPr>
        <w:t xml:space="preserve"> </w:t>
      </w:r>
      <w:r>
        <w:rPr>
          <w:rFonts w:ascii="Times New Roman;sans-serif" w:hAnsi="Times New Roman;sans-serif"/>
          <w:b w:val="false"/>
          <w:color w:val="000000"/>
          <w:sz w:val="24"/>
        </w:rPr>
        <w:t>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13.09.    GOVERNING LAW.</w:t>
      </w:r>
      <w:r>
        <w:rPr>
          <w:color w:val="000000"/>
        </w:rPr>
        <w:t xml:space="preserve"> </w:t>
      </w:r>
      <w:r>
        <w:rPr>
          <w:rFonts w:ascii="Times New Roman;sans-serif" w:hAnsi="Times New Roman;sans-serif"/>
          <w:b w:val="false"/>
          <w:color w:val="000000"/>
          <w:sz w:val="24"/>
        </w:rPr>
        <w:t>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1"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-113-</w:t>
                      </w:r>
                    </w:p>
                  </w:txbxContent>
                </v:textbox>
                <w10:wrap type="none"/>
              </v:rect>
            </w:pict>
          </mc:Fallback>
        </mc:AlternateConten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13.10.    Jurisdiction, Service of Process and Venue</w:t>
      </w:r>
      <w:r>
        <w:rPr>
          <w:rFonts w:ascii="Times New Roman;sans-serif" w:hAnsi="Times New Roman;sans-serif"/>
          <w:b w:val="false"/>
          <w:color w:val="000000"/>
          <w:sz w:val="24"/>
        </w:rPr>
        <w: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i/>
          <w:color w:val="000000"/>
          <w:sz w:val="24"/>
        </w:rPr>
        <w:t>SUBMISSION TO JURISDICTION.</w:t>
      </w:r>
      <w:r>
        <w:rPr>
          <w:color w:val="000000"/>
        </w:rPr>
        <w:t xml:space="preserve"> </w:t>
      </w:r>
      <w:r>
        <w:rPr>
          <w:rFonts w:ascii="Times New Roman;sans-serif" w:hAnsi="Times New Roman;sans-serif"/>
          <w:b w:val="false"/>
          <w:color w:val="000000"/>
          <w:sz w:val="24"/>
        </w:rPr>
        <w:t>EACH OBLIGOR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i/>
          <w:color w:val="000000"/>
          <w:sz w:val="24"/>
        </w:rPr>
        <w:t>Alternative Process.</w:t>
      </w:r>
      <w:r>
        <w:rPr>
          <w:color w:val="000000"/>
        </w:rPr>
        <w:t xml:space="preserve"> </w:t>
      </w:r>
      <w:r>
        <w:rPr>
          <w:rFonts w:ascii="Times New Roman;sans-serif" w:hAnsi="Times New Roman;sans-serif"/>
          <w:b w:val="false"/>
          <w:color w:val="000000"/>
          <w:sz w:val="24"/>
        </w:rPr>
        <w:t>Nothing herein shall in any way be deemed to limit the ability of the Lenders to serve any such process or summonses in any other manner permitted by applicable Law.</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(c)</w:t>
      </w:r>
      <w:r>
        <w:rPr>
          <w:color w:val="000000"/>
        </w:rPr>
        <w:t xml:space="preserve">     </w:t>
      </w:r>
      <w:r>
        <w:rPr>
          <w:rFonts w:ascii="Times New Roman;sans-serif" w:hAnsi="Times New Roman;sans-serif"/>
          <w:b w:val="false"/>
          <w:i/>
          <w:color w:val="000000"/>
          <w:sz w:val="24"/>
        </w:rPr>
        <w:t>WAIVER OF VENUE, ETC.</w:t>
      </w:r>
      <w:r>
        <w:rPr>
          <w:color w:val="000000"/>
        </w:rPr>
        <w:t xml:space="preserve"> </w:t>
      </w:r>
      <w:r>
        <w:rPr>
          <w:rFonts w:ascii="Times New Roman;sans-serif" w:hAnsi="Times New Roman;sans-serif"/>
          <w:b w:val="false"/>
          <w:color w:val="000000"/>
          <w:sz w:val="24"/>
        </w:rPr>
        <w:t>EACH OBLIGOR IRREVOCABLY WAIVES TO THE FULLEST EXTENT PERMITTED BY LAW ANY OBJECTION THAT IT MAY NOW OR HEREAFTER HAVE TO THE LAYING OF THE VENUE OF ANY SUIT, ACTION OR PROCEEDING ARISING OUT OF OR RELATING TO THIS AGREEMENT OR ANY OTHER LOAN DOCUMENT AND HEREBY FURTHER IRREVOCABLY WAIVES TO THE FULLEST EXTENT PERMITTED BY LAW ANY CLAIM THAT ANY SUCH SUIT, ACTION OR PROCEEDING BROUGHT IN ANY SUCH COURT HAS BEEN BROUGHT IN AN INCONVENIENT FORUM. A FINAL JUDGMENT (IN RESPECT OF WHICH TIME FOR ALL APPEALS HAS ELAPSED) IN ANY SUCH SUIT, ACTION OR PROCEEDING SHALL BE CONCLUSIVE AND MAY BE ENFORCED IN ANY COURT TO THE JURISDICTION OF WHICH SUCH OBLIGOR IS OR MAY BE SUBJECT, BY SUIT UPON JUDGMENT.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13.11.    WAIVER OF JURY TRIAL</w:t>
      </w:r>
      <w:r>
        <w:rPr>
          <w:rFonts w:ascii="Times New Roman;sans-serif" w:hAnsi="Times New Roman;sans-serif"/>
          <w:b w:val="false"/>
          <w:color w:val="000000"/>
          <w:sz w:val="24"/>
        </w:rPr>
        <w:t>. EACH PARTY HERETO HEREBY IRREVOCABLY WAIVES, TO THE FULLEST EXTENT PERMITTED BY APPLICABLE LAW, ANY AND ALL RIGHT TO TRIAL BY JURY IN ANY SUIT, ACTION OR PROCEEDING ARISING OUT OF OR RELATING TO THIS AGREEMENT, THE OTHER LOAN DOCUMENTS OR THE TRANSACTIONS CONTEMPLATED HEREBY OR THEREBY.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13.12.    WAIVER OF IMMUNITY</w:t>
      </w:r>
      <w:r>
        <w:rPr>
          <w:rFonts w:ascii="Times New Roman;sans-serif" w:hAnsi="Times New Roman;sans-serif"/>
          <w:b w:val="false"/>
          <w:color w:val="000000"/>
          <w:sz w:val="24"/>
        </w:rPr>
        <w:t xml:space="preserve">. TO THE EXTENT THAT ANY OBLIGOR MAY BE OR BECOME ENTITLED TO CLAIM FOR ITSELF OR ITS PROPERTY OR REVENUES ANY IMMUNITY ON THE GROUND OF SOVEREIGNTY OR THE LIKE FROM SUIT, COURT JURISDICTION, ATTACHMENT PRIOR TO JUDGMENT, ATTACHMENT IN AID OF EXECUTION OF A JUDGMENT OR EXECUTION OF A JUDGMENT, AND TO THE EXTENT THAT IN ANY SUCH JURISDICTION THERE MAY BE ATTRIBUTED SUCH AN IMMUNITY (WHETHER OR NOT CLAIMED), SUCH OBLIGOR HEREBY IRREVOCABLY AGREES NOT TO CLAIM AND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2"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-114-</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IRREVOCABLY WAIVES SUCH IMMUNITY WITH RESPECT TO ITS OBLIGATIONS UNDER THIS AGREEMENT AND THE OTHER LOAN DOCUMENTS.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13.13.    Entire Agreement.</w:t>
      </w:r>
      <w:r>
        <w:rPr>
          <w:color w:val="000000"/>
        </w:rPr>
        <w:t xml:space="preserve"> </w:t>
      </w:r>
      <w:r>
        <w:rPr>
          <w:rFonts w:ascii="Times New Roman;sans-serif" w:hAnsi="Times New Roman;sans-serif"/>
          <w:b w:val="false"/>
          <w:color w:val="000000"/>
          <w:sz w:val="24"/>
        </w:rPr>
        <w:t>This Agreement and the other Loan Documents constitute the entire agreement among the parties with respect to the subject matter hereof and thereof and supersede any and all previous agreements and understandings, oral or written, relating to the subject matter hereof. Each Obligor acknowledges, represents and warrants that in deciding to enter into this Agreement and the other Loan Documents or in taking or not taking any action hereunder or thereunder, it has not relied, and will not rely, on any statement, representation, warranty, covenant, agreement or understanding, whether written or oral, of or with the Lenders other than those expressly set forth in this Agreement and the other Loan Documents.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13.14.    Severability.</w:t>
      </w:r>
      <w:r>
        <w:rPr>
          <w:color w:val="000000"/>
        </w:rPr>
        <w:t xml:space="preserve"> </w:t>
      </w:r>
      <w:r>
        <w:rPr>
          <w:rFonts w:ascii="Times New Roman;sans-serif" w:hAnsi="Times New Roman;sans-serif"/>
          <w:b w:val="false"/>
          <w:color w:val="000000"/>
          <w:sz w:val="24"/>
        </w:rPr>
        <w:t>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13.15.    No Fiduciary Relationship. </w:t>
      </w:r>
      <w:r>
        <w:rPr>
          <w:rFonts w:ascii="Times New Roman;sans-serif" w:hAnsi="Times New Roman;sans-serif"/>
          <w:b w:val="false"/>
          <w:color w:val="000000"/>
          <w:sz w:val="24"/>
        </w:rPr>
        <w:t xml:space="preserve">The Administrative Agent, each Lender and their Affiliates (collectively, solely for purposes of this paragraph, the </w:t>
      </w:r>
      <w:r>
        <w:rPr>
          <w:color w:val="000000"/>
        </w:rPr>
        <w:t>“</w:t>
      </w:r>
      <w:r>
        <w:rPr>
          <w:rFonts w:ascii="Times New Roman;sans-serif" w:hAnsi="Times New Roman;sans-serif"/>
          <w:b w:val="false"/>
          <w:i/>
          <w:color w:val="000000"/>
          <w:sz w:val="24"/>
        </w:rPr>
        <w:t>Lenders”</w:t>
      </w:r>
      <w:r>
        <w:rPr>
          <w:rFonts w:ascii="Times New Roman;sans-serif" w:hAnsi="Times New Roman;sans-serif"/>
          <w:b w:val="false"/>
          <w:color w:val="000000"/>
          <w:sz w:val="24"/>
        </w:rPr>
        <w:t xml:space="preserve">), may have economic interests that conflict with those of the Obligors, their stockholders or equity holders and/or their Affiliates (collectively, solely for purposes of this paragraph, the </w:t>
      </w:r>
      <w:r>
        <w:rPr>
          <w:color w:val="000000"/>
        </w:rPr>
        <w:t>“</w:t>
      </w:r>
      <w:r>
        <w:rPr>
          <w:rFonts w:ascii="Times New Roman;sans-serif" w:hAnsi="Times New Roman;sans-serif"/>
          <w:b w:val="false"/>
          <w:i/>
          <w:color w:val="000000"/>
          <w:sz w:val="24"/>
        </w:rPr>
        <w:t>Obligors”</w:t>
      </w:r>
      <w:r>
        <w:rPr>
          <w:rFonts w:ascii="Times New Roman;sans-serif" w:hAnsi="Times New Roman;sans-serif"/>
          <w:b w:val="false"/>
          <w:color w:val="000000"/>
          <w:sz w:val="24"/>
        </w:rPr>
        <w:t>). The Obligors acknowledge that the Lenders have no fiduciary relationship with, or fiduciary duty to, any Obligor arising out of or in connection with this Agreement or the other Loan Documents, and the relationship between each Lender and each Obligor are solely that of creditors and debtors. This Agreement and the other Loan Documents do not create a joint venture among the parties.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13.16.    USA Patriot Act</w:t>
      </w:r>
      <w:r>
        <w:rPr>
          <w:rFonts w:ascii="Times New Roman;sans-serif" w:hAnsi="Times New Roman;sans-serif"/>
          <w:b w:val="false"/>
          <w:color w:val="000000"/>
          <w:sz w:val="24"/>
        </w:rPr>
        <w:t xml:space="preserve">. The Administrative Agent and the Lenders hereby notify the Obligors that pursuant to the requirements of the USA PATRIOT Act (Title III of Pub. L. 107-56 (signed into law October 26, 2001)) (the </w:t>
      </w:r>
      <w:r>
        <w:rPr>
          <w:color w:val="000000"/>
        </w:rPr>
        <w:t>“</w:t>
      </w:r>
      <w:r>
        <w:rPr>
          <w:rFonts w:ascii="Times New Roman;sans-serif" w:hAnsi="Times New Roman;sans-serif"/>
          <w:b w:val="false"/>
          <w:i/>
          <w:color w:val="000000"/>
          <w:sz w:val="24"/>
        </w:rPr>
        <w:t>Act”</w:t>
      </w:r>
      <w:r>
        <w:rPr>
          <w:rFonts w:ascii="Times New Roman;sans-serif" w:hAnsi="Times New Roman;sans-serif"/>
          <w:b w:val="false"/>
          <w:color w:val="000000"/>
          <w:sz w:val="24"/>
        </w:rPr>
        <w:t>) and 31 C.F.R. § 1010.230 (the “</w:t>
      </w:r>
      <w:r>
        <w:rPr>
          <w:rFonts w:ascii="Times New Roman;sans-serif" w:hAnsi="Times New Roman;sans-serif"/>
          <w:b w:val="false"/>
          <w:i/>
          <w:color w:val="000000"/>
          <w:sz w:val="24"/>
        </w:rPr>
        <w:t>Beneficial Ownership Regulation</w:t>
      </w:r>
      <w:r>
        <w:rPr>
          <w:color w:val="000000"/>
        </w:rPr>
        <w:t>”</w:t>
      </w:r>
      <w:r>
        <w:rPr>
          <w:rFonts w:ascii="Times New Roman;sans-serif" w:hAnsi="Times New Roman;sans-serif"/>
          <w:b w:val="false"/>
          <w:color w:val="000000"/>
          <w:sz w:val="24"/>
        </w:rPr>
        <w:t>), they are required to obtain, verify and record information that identifies the Obligors, which information includes the name and address of each Obligor and other information that will allow the Administrative Agent and such Lender to identify each Obligor in accordance with the Act and Beneficial Ownership Regulation, including a beneficial ownership certification in form and substance acceptable to the Administrative Agent.</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13.17.    Treatment of Certain Information; Confidentiality.</w:t>
      </w:r>
      <w:r>
        <w:rPr>
          <w:color w:val="000000"/>
        </w:rPr>
        <w:t xml:space="preserve"> </w:t>
      </w:r>
      <w:r>
        <w:rPr>
          <w:rFonts w:ascii="Times New Roman;sans-serif" w:hAnsi="Times New Roman;sans-serif"/>
          <w:b w:val="false"/>
          <w:color w:val="000000"/>
          <w:sz w:val="24"/>
        </w:rPr>
        <w:t xml:space="preserve">The Lenders agree to maintain the confidentiality of the Information (as defined below), except that Information may be disclosed to (a) its Affiliates and to its and its Affiliates’ respective partners, directors, officers, employees, agents, trustees, advisors and representatives (collectively, </w:t>
      </w:r>
      <w:r>
        <w:rPr>
          <w:color w:val="000000"/>
        </w:rPr>
        <w:t>“</w:t>
      </w:r>
      <w:r>
        <w:rPr>
          <w:rFonts w:ascii="Times New Roman;sans-serif" w:hAnsi="Times New Roman;sans-serif"/>
          <w:b w:val="false"/>
          <w:i/>
          <w:color w:val="000000"/>
          <w:sz w:val="24"/>
        </w:rPr>
        <w:t>Representatives”</w:t>
      </w:r>
      <w:r>
        <w:rPr>
          <w:rFonts w:ascii="Times New Roman;sans-serif" w:hAnsi="Times New Roman;sans-serif"/>
          <w:b w:val="false"/>
          <w:color w:val="000000"/>
          <w:sz w:val="24"/>
        </w:rPr>
        <w:t xml:space="preserve">) (it being understood that the Persons to whom such disclosure is made will be informed of the confidential nature of such information and instructed to keep such Information confidential), (b) to the extent requested by any regulatory authority purporting to have jurisdiction over it (including any self-regulatory authority, such as FINRA or the National Association of Insurance Commissioners) or any exchange, (c) to the extent required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3"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-115-</w:t>
                      </w:r>
                    </w:p>
                  </w:txbxContent>
                </v:textbox>
                <w10:wrap type="none"/>
              </v:rect>
            </w:pict>
          </mc:Fallback>
        </mc:AlternateContent>
      </w:r>
    </w:p>
    <w:p>
      <w:pPr>
        <w:pStyle w:val="TextBody"/>
        <w:bidi w:val="0"/>
        <w:spacing w:lineRule="auto" w:line="280" w:before="280" w:after="283"/>
        <w:jc w:val="both"/>
        <w:rPr/>
      </w:pPr>
      <w:r>
        <w:rPr>
          <w:rFonts w:ascii="Times New Roman;sans-serif" w:hAnsi="Times New Roman;sans-serif"/>
          <w:b w:val="false"/>
          <w:color w:val="000000"/>
          <w:sz w:val="24"/>
        </w:rPr>
        <w:t xml:space="preserve">applicable Laws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in this Section 13.17, to (i) any assignee of or Participant in, or any prospective assignee of or Participant in, any of its rights or obligations under this Agreement or (ii) any actual or prospective counterparty (or its advisors) to any swap or derivative transaction relating to Borrowers or any Guarantor and its obligation, (g) with the consent of Borrowers or (h) to the extent such Information (i) becomes publicly available other than as a result of a breach of this Section 13.17 or (ii) becomes available to the Lender, or any of its respective Representatives on a nonconfidential basis from a source other than Borrowers or any other Obligor. For purposes of this Section 13.17, </w:t>
      </w:r>
      <w:r>
        <w:rPr>
          <w:color w:val="000000"/>
        </w:rPr>
        <w:t>“</w:t>
      </w:r>
      <w:r>
        <w:rPr>
          <w:rFonts w:ascii="Times New Roman;sans-serif" w:hAnsi="Times New Roman;sans-serif"/>
          <w:b w:val="false"/>
          <w:i/>
          <w:color w:val="000000"/>
          <w:sz w:val="24"/>
        </w:rPr>
        <w:t>Information”</w:t>
      </w:r>
      <w:r>
        <w:rPr>
          <w:color w:val="000000"/>
        </w:rPr>
        <w:t xml:space="preserve"> </w:t>
      </w:r>
      <w:r>
        <w:rPr>
          <w:rFonts w:ascii="Times New Roman;sans-serif" w:hAnsi="Times New Roman;sans-serif"/>
          <w:b w:val="false"/>
          <w:color w:val="000000"/>
          <w:sz w:val="24"/>
        </w:rPr>
        <w:t>means all information received from an Obligor relating to such Obligor or its Subsidiary or any of their respective businesses, except that the term “Information” shall not include, and the Lenders shall not be subject to any confidentiality obligation with respect to any information that (A) is or becomes available to the Lender or any of its Representatives on a nonconfidential basis prior to disclosure by an Obligor, (B) becomes available to a Lender or any of its Representatives after disclosure by an Obligor or its Subsidiary from a source that, to the knowledge of such Lender, is not subject to a confidentiality obligation to such Obligor, (C) is or becomes publicly available other than as a result of a breach by such Lender, or (D) is developed by a Lender or any of its Representatives. Any Person required to maintain the confidentiality of Information as provided in this Section 13.17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the case of any Lender that has elected to receive material non-public information pursuant to Section 8.02, such Lender acknowledges that (a) the Information may include material non-public information concerning an Obligor or its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13.18.    Releases of Guarantees and Liens</w:t>
      </w:r>
      <w:r>
        <w:rPr>
          <w:rFonts w:ascii="Times New Roman;sans-serif" w:hAnsi="Times New Roman;sans-serif"/>
          <w:b w:val="false"/>
          <w:color w:val="000000"/>
          <w:sz w:val="24"/>
        </w:rPr>
        <w:t xml:space="preserve">. </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Notwithstanding anything to the contrary contained herein or in any other Loan Document, each Lender agrees, and the Administrative Agent is hereby irrevocably authorized by each Lender and given a limited power of attorney by each Lender to perform the actions described hereafter in this Section 13.18 (without requirement of notice to or consent of any Lender except as expressly required by Section 13.04) to take any action reasonably requested by Borrowers having the effect of releasing any Collateral or Obligations (i) to the extent necessary to permit consummation of any transaction not prohibited by any Loan Document or that has been consented to by the Lenders or (ii) under the circumstances described in paragraph (b) below.</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4"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-116-</w:t>
                      </w:r>
                    </w:p>
                  </w:txbxContent>
                </v:textbox>
                <w10:wrap type="none"/>
              </v:rect>
            </w:pict>
          </mc:Fallback>
        </mc:AlternateConten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At such time as the Term Loans and the other Obligations (other than the inchoate indemnity obligations and the Warrant Obligations) under the Loan Documents shall have been paid in full in cash and the Commitments have been terminated, the Collateral shall be released from the Liens created by the Security Documents, and the Security Documents and all obligations (other than those expressly stated to survive such termination) of the Administrative Agent and each Obligor under the Security Documents shall terminate, all without delivery of any instrument or performance of any act by any Person.</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Section 13.19.    Acknowledgement and Consent to Bail-In of Affected Financial Institutions</w:t>
      </w:r>
      <w:r>
        <w:rPr>
          <w:rFonts w:ascii="Times New Roman;sans-serif" w:hAnsi="Times New Roman;sans-serif"/>
          <w:b w:val="false"/>
          <w:color w:val="000000"/>
          <w:sz w:val="24"/>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(a)</w:t>
      </w:r>
      <w:r>
        <w:rPr>
          <w:color w:val="000000"/>
        </w:rPr>
        <w:t xml:space="preserve">     </w:t>
      </w:r>
      <w:r>
        <w:rPr>
          <w:rFonts w:ascii="Times New Roman;sans-serif" w:hAnsi="Times New Roman;sans-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(b)</w:t>
      </w:r>
      <w:r>
        <w:rPr>
          <w:color w:val="000000"/>
        </w:rPr>
        <w:t xml:space="preserve">     </w:t>
      </w:r>
      <w:r>
        <w:rPr>
          <w:rFonts w:ascii="Times New Roman;sans-serif" w:hAnsi="Times New Roman;sans-serif"/>
          <w:b w:val="false"/>
          <w:color w:val="000000"/>
          <w:sz w:val="24"/>
        </w:rPr>
        <w:t>the effects of any Bail-In Action on any such liability, including, if applicable:</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w:t>
      </w:r>
      <w:r>
        <w:rPr>
          <w:color w:val="000000"/>
        </w:rPr>
        <w:t xml:space="preserve">     </w:t>
      </w:r>
      <w:r>
        <w:rPr>
          <w:rFonts w:ascii="Times New Roman;sans-serif" w:hAnsi="Times New Roman;sans-serif"/>
          <w:b w:val="false"/>
          <w:color w:val="000000"/>
          <w:sz w:val="24"/>
        </w:rPr>
        <w:t>a reduction in full or in part or cancellation of any such liability;</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w:t>
      </w:r>
      <w:r>
        <w:rPr>
          <w:color w:val="000000"/>
        </w:rPr>
        <w:t xml:space="preserve">     </w:t>
      </w:r>
      <w:r>
        <w:rPr>
          <w:rFonts w:ascii="Times New Roman;sans-serif" w:hAnsi="Times New Roman;sans-serif"/>
          <w:b w:val="false"/>
          <w:color w:val="000000"/>
          <w:sz w:val="24"/>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0" w:before="280" w:after="283"/>
        <w:ind w:left="0" w:right="0" w:firstLine="720"/>
        <w:jc w:val="both"/>
        <w:rPr/>
      </w:pPr>
      <w:r>
        <w:rPr>
          <w:rFonts w:ascii="Times New Roman;sans-serif" w:hAnsi="Times New Roman;sans-serif"/>
          <w:b w:val="false"/>
          <w:color w:val="000000"/>
          <w:sz w:val="24"/>
        </w:rPr>
        <w:t>(iii)</w:t>
      </w:r>
      <w:r>
        <w:rPr>
          <w:color w:val="000000"/>
        </w:rPr>
        <w:t xml:space="preserve">     </w:t>
      </w:r>
      <w:r>
        <w:rPr>
          <w:rFonts w:ascii="Times New Roman;sans-serif" w:hAnsi="Times New Roman;sans-serif"/>
          <w:b w:val="false"/>
          <w:color w:val="000000"/>
          <w:sz w:val="24"/>
        </w:rPr>
        <w:t>the variation of the terms of such liability in connection with the exercise of the Write-Down and Conversion Powers of the applicable Resolution Authority.</w:t>
      </w:r>
    </w:p>
    <w:p>
      <w:pPr>
        <w:pStyle w:val="TextBody"/>
        <w:bidi w:val="0"/>
        <w:spacing w:lineRule="auto" w:line="280" w:before="280" w:after="283"/>
        <w:jc w:val="both"/>
        <w:rPr/>
      </w:pPr>
      <w:r>
        <w:rPr>
          <w:color w:val="000000"/>
        </w:rPr>
        <w:t>    </w:t>
      </w:r>
      <w:r>
        <w:rPr>
          <w:rFonts w:ascii="Times New Roman;sans-serif" w:hAnsi="Times New Roman;sans-serif"/>
          <w:b w:val="false"/>
          <w:i/>
          <w:color w:val="000000"/>
          <w:sz w:val="24"/>
        </w:rPr>
        <w:t xml:space="preserve">Section 13.20. Administrative Borrower. </w:t>
      </w:r>
      <w:r>
        <w:rPr>
          <w:rFonts w:ascii="Times New Roman;sans-serif" w:hAnsi="Times New Roman;sans-serif"/>
          <w:b w:val="false"/>
          <w:color w:val="000000"/>
          <w:sz w:val="24"/>
        </w:rPr>
        <w:t xml:space="preserve">Each Borrower hereby designates GeneDx, LLC as the administrative Borrower (in such capacity, the </w:t>
      </w:r>
      <w:r>
        <w:rPr>
          <w:color w:val="000000"/>
        </w:rPr>
        <w:t>“</w:t>
      </w:r>
      <w:r>
        <w:rPr>
          <w:rFonts w:ascii="Times New Roman;sans-serif" w:hAnsi="Times New Roman;sans-serif"/>
          <w:b w:val="false"/>
          <w:i/>
          <w:color w:val="000000"/>
          <w:sz w:val="24"/>
        </w:rPr>
        <w:t>Administrative Borrower”</w:t>
      </w:r>
      <w:r>
        <w:rPr>
          <w:rFonts w:ascii="Times New Roman;sans-serif" w:hAnsi="Times New Roman;sans-serif"/>
          <w:b w:val="false"/>
          <w:color w:val="000000"/>
          <w:sz w:val="24"/>
        </w:rPr>
        <w:t xml:space="preserve">) to act as its representative and agent on its behalf, for the purposes of giving instructions with respect to the disbursement of the proceeds of the Term Loans, giving and receiving all notices and consents hereunder or under any of the other Loan Documents and taking all other actions on behalf of each Borrower under the Loan Documents. The Administrative Agent and each Lender may regard any notice or other communication pursuant to any Loan Document from GeneDx, LLC in its capacity as Administrative Borrower as a notice or communication from each Borrower. </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65"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-117-</w:t>
                      </w:r>
                    </w:p>
                  </w:txbxContent>
                </v:textbox>
                <w10:wrap type="none"/>
              </v:rect>
            </w:pict>
          </mc:Fallback>
        </mc:AlternateContent>
      </w:r>
    </w:p>
    <w:p>
      <w:pPr>
        <w:pStyle w:val="TextBody"/>
        <w:bidi w:val="0"/>
        <w:spacing w:lineRule="auto" w:line="280" w:before="280" w:after="283"/>
        <w:jc w:val="both"/>
        <w:rPr>
          <w:rFonts w:ascii="Times New Roman;sans-serif" w:hAnsi="Times New Roman;sans-serif"/>
          <w:b w:val="false"/>
          <w:color w:val="000000"/>
          <w:sz w:val="24"/>
        </w:rPr>
      </w:pPr>
      <w:r>
        <w:rPr>
          <w:rFonts w:ascii="Times New Roman;sans-serif" w:hAnsi="Times New Roman;sans-serif"/>
          <w:b w:val="false"/>
          <w:color w:val="000000"/>
          <w:sz w:val="24"/>
        </w:rPr>
        <w:t>Each warranty, covenant, agreement and undertaking made on behalf of each Borrower by GeneDx, LLC in its capacity as Administrative Borrower for the Borrowers shall be deemed for all purposes to have been made by each Borrower and shall be binding upon and enforceable against each Borrower to the same extent as it if the same had been made directly by each Borrower. Such appointment shall remain in full force and effect unless and until the Administrative Agent shall have received written notice signed by each Borrower terminating such appointment. Borrowers shall have the right, to appoint another Borrower as Administrative Borrower with the prior written consent of the Administrative Agent (such consent not to be unreasonably withheld or delayed). It is understood that the handling of the loan account and Collateral of the Borrowers in a combined fashion, as more fully set forth herein, is done solely as an accommodation to the Borrowers in order to utilize the collective borrowing powers of the Borrowers in the most efficient and economical manner and at their request, and that neither the Administrative Agent nor the Lenders shall incur liability to the Borrowers as a result hereof. Each Borrower expects to derive benefit, directly or indirectly, from the handling of the loan account and the Collateral in a combined fashion since the successful operation of each Borrower is dependent on the continued successful performance of the integrated group. To induce the Administrative Agent and the Lenders to do so, and in consideration thereof, each Borrower hereby jointly and severally agrees to indemnify the Administrative Agent and hold each Indemnified Party harmless against any and all liability, expense, loss or claim of damage or injury, made against such Indemnified Party by any Borrower or by any third party whosoever, arising from or incurred by reason of (a) the handling of the loan account and Collateral of the Borrowers as herein provided, (b) the Administrative Agent and the Lenders relying on any instructions of Administrative Borrower, or (c) any other action taken by the Administrative Agent or any Lender hereunder or under the other Loan Documents.</w:t>
      </w:r>
    </w:p>
    <w:p>
      <w:pPr>
        <w:pStyle w:val="TextBody"/>
        <w:bidi w:val="0"/>
        <w:spacing w:lineRule="auto" w:line="280" w:before="280" w:after="283"/>
        <w:jc w:val="center"/>
        <w:rPr>
          <w:rFonts w:ascii="Times New Roman;sans-serif" w:hAnsi="Times New Roman;sans-serif"/>
          <w:b w:val="false"/>
          <w:i/>
          <w:color w:val="000000"/>
          <w:sz w:val="24"/>
        </w:rPr>
      </w:pPr>
      <w:r>
        <w:rPr>
          <w:rFonts w:ascii="Times New Roman;sans-serif" w:hAnsi="Times New Roman;sans-serif"/>
          <w:b w:val="false"/>
          <w:i/>
          <w:color w:val="000000"/>
          <w:sz w:val="24"/>
        </w:rPr>
        <w:t>[Remainder of the Page Intentionally Left Blank; Signature Pages Follow]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66"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-118-</w:t>
                      </w:r>
                    </w:p>
                  </w:txbxContent>
                </v:textbox>
                <w10:wrap type="none"/>
              </v:rect>
            </w:pict>
          </mc:Fallback>
        </mc:AlternateConten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Agreement to be duly executed and delivered as of the day and year first above written.</w:t>
      </w:r>
    </w:p>
    <w:p>
      <w:pPr>
        <w:pStyle w:val="TextBody"/>
        <w:bidi w:val="0"/>
        <w:spacing w:lineRule="auto" w:line="324"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Borrowers:</w:t>
      </w:r>
    </w:p>
    <w:p>
      <w:pPr>
        <w:pStyle w:val="TextBody"/>
        <w:bidi w:val="0"/>
        <w:spacing w:lineRule="auto" w:line="324"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Sema4 OpCo, Inc. </w:t>
      </w:r>
    </w:p>
    <w:p>
      <w:pPr>
        <w:pStyle w:val="TextBody"/>
        <w:bidi w:val="0"/>
        <w:spacing w:lineRule="auto" w:line="324" w:before="560" w:after="283"/>
        <w:ind w:left="0" w:right="0" w:hanging="9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w:t>
      </w:r>
      <w:r>
        <w:rPr>
          <w:color w:val="000000"/>
        </w:rPr>
        <w:t>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Kevin Feeley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Title: Chief Financial Officer</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GeneDx, LLC </w:t>
      </w:r>
    </w:p>
    <w:p>
      <w:pPr>
        <w:pStyle w:val="TextBody"/>
        <w:bidi w:val="0"/>
        <w:spacing w:before="0" w:after="0"/>
        <w:jc w:val="left"/>
        <w:rPr/>
      </w:pPr>
      <w:r>
        <w:rPr/>
      </w:r>
    </w:p>
    <w:p>
      <w:pPr>
        <w:pStyle w:val="TextBody"/>
        <w:bidi w:val="0"/>
        <w:spacing w:lineRule="auto" w:line="240" w:before="0" w:after="0"/>
        <w:ind w:left="0" w:right="0" w:hanging="90"/>
        <w:jc w:val="left"/>
        <w:rPr>
          <w:rFonts w:ascii="Times New Roman;sans-serif" w:hAnsi="Times New Roman;sans-serif"/>
          <w:b w:val="false"/>
          <w:color w:val="000000"/>
          <w:sz w:val="24"/>
        </w:rPr>
      </w:pPr>
      <w:r>
        <w:rPr>
          <w:rFonts w:ascii="Times New Roman;sans-serif" w:hAnsi="Times New Roman;sans-serif"/>
          <w:b w:val="false"/>
          <w:color w:val="000000"/>
          <w:sz w:val="24"/>
        </w:rPr>
        <w:t>By: GeneDx Holdings Corp., its sole member</w:t>
      </w:r>
    </w:p>
    <w:p>
      <w:pPr>
        <w:pStyle w:val="TextBody"/>
        <w:bidi w:val="0"/>
        <w:spacing w:lineRule="auto" w:line="324" w:before="560" w:after="283"/>
        <w:ind w:left="0" w:right="0" w:hanging="9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w:t>
      </w:r>
      <w:r>
        <w:rPr>
          <w:color w:val="000000"/>
        </w:rPr>
        <w:t>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Kevin Feeley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Title: Chief Financial Officer</w:t>
      </w:r>
    </w:p>
    <w:p>
      <w:pPr>
        <w:pStyle w:val="TextBody"/>
        <w:bidi w:val="0"/>
        <w:spacing w:lineRule="auto" w:line="324"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Guarantor:</w:t>
      </w:r>
    </w:p>
    <w:p>
      <w:pPr>
        <w:pStyle w:val="TextBody"/>
        <w:bidi w:val="0"/>
        <w:spacing w:lineRule="auto" w:line="324" w:before="280" w:after="283"/>
        <w:ind w:left="0" w:right="0" w:hanging="360"/>
        <w:jc w:val="left"/>
        <w:rPr>
          <w:rFonts w:ascii="Times New Roman;sans-serif" w:hAnsi="Times New Roman;sans-serif"/>
          <w:b w:val="false"/>
          <w:color w:val="000000"/>
          <w:sz w:val="24"/>
        </w:rPr>
      </w:pPr>
      <w:r>
        <w:rPr>
          <w:rFonts w:ascii="Times New Roman;sans-serif" w:hAnsi="Times New Roman;sans-serif"/>
          <w:b w:val="false"/>
          <w:color w:val="000000"/>
          <w:sz w:val="24"/>
        </w:rPr>
        <w:t>GeneDx Holdings Corp.</w:t>
      </w:r>
    </w:p>
    <w:p>
      <w:pPr>
        <w:pStyle w:val="TextBody"/>
        <w:bidi w:val="0"/>
        <w:spacing w:lineRule="auto" w:line="324" w:before="560" w:after="283"/>
        <w:ind w:left="0" w:right="0" w:hanging="9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w:t>
      </w:r>
      <w:r>
        <w:rPr>
          <w:color w:val="000000"/>
        </w:rPr>
        <w:t>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 xml:space="preserve">Name: Kevin Feeley </w:t>
      </w:r>
    </w:p>
    <w:p>
      <w:pPr>
        <w:pStyle w:val="TextBody"/>
        <w:bidi w:val="0"/>
        <w:spacing w:lineRule="auto" w:line="324" w:before="0" w:after="0"/>
        <w:ind w:left="0" w:right="0" w:hanging="360"/>
        <w:jc w:val="left"/>
        <w:rPr>
          <w:color w:val="000000"/>
        </w:rPr>
      </w:pPr>
      <w:r>
        <w:rPr>
          <w:color w:val="000000"/>
        </w:rPr>
        <w:t>    </w:t>
      </w:r>
      <w:r>
        <w:rPr>
          <w:rFonts w:ascii="Times New Roman;sans-serif" w:hAnsi="Times New Roman;sans-serif"/>
          <w:b w:val="false"/>
          <w:color w:val="000000"/>
          <w:sz w:val="24"/>
        </w:rPr>
        <w:t>Title: Chief Financial Officer</w:t>
      </w:r>
    </w:p>
    <w:p>
      <w:pPr>
        <w:pStyle w:val="TextBody"/>
        <w:bidi w:val="0"/>
        <w:spacing w:before="200" w:after="283"/>
        <w:ind w:left="0" w:right="0" w:hanging="3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31445"/>
                <wp:effectExtent l="0" t="0" r="0" b="0"/>
                <wp:wrapNone/>
                <wp:docPr id="167" name="Frame1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4"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Credit Agreement and Guaranty</w:t>
                            </w:r>
                            <w:r>
                              <w:rPr>
                                <w:rFonts w:ascii="Times New Roman;sans-serif" w:hAnsi="Times New Roman;sans-serif"/>
                                <w:b w:val="false"/>
                                <w:color w:val="000000"/>
                                <w:sz w:val="18"/>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4"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Credit Agreement and Guaranty</w:t>
                      </w:r>
                      <w:r>
                        <w:rPr>
                          <w:rFonts w:ascii="Times New Roman;sans-serif" w:hAnsi="Times New Roman;sans-serif"/>
                          <w:b w:val="false"/>
                          <w:color w:val="000000"/>
                          <w:sz w:val="18"/>
                        </w:rPr>
                        <w:t>]</w:t>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Administrative Agent and a Lender</w:t>
      </w:r>
    </w:p>
    <w:p>
      <w:pPr>
        <w:pStyle w:val="TextBody"/>
        <w:bidi w:val="0"/>
        <w:spacing w:lineRule="auto" w:line="240"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Perceptive Credit Opportunities GP, LLC, its general partner</w:t>
      </w:r>
    </w:p>
    <w:p>
      <w:pPr>
        <w:pStyle w:val="TextBody"/>
        <w:bidi w:val="0"/>
        <w:spacing w:lineRule="auto" w:line="240" w:before="52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Sandeep Dixit</w:t>
      </w:r>
      <w:r>
        <w:rPr>
          <w:color w:val="000000"/>
        </w:rPr>
        <w:t>    </w:t>
      </w:r>
      <w:r>
        <w:rPr>
          <w:rFonts w:ascii="Times New Roman;sans-serif" w:hAnsi="Times New Roman;sans-serif"/>
          <w:b w:val="false"/>
          <w:color w:val="000000"/>
          <w:sz w:val="24"/>
        </w:rPr>
        <w:br/>
        <w:t>Name: Sandeep Dixit</w:t>
        <w:br/>
        <w:t xml:space="preserve">Title: Chief Credit Officer </w:t>
      </w:r>
    </w:p>
    <w:p>
      <w:pPr>
        <w:pStyle w:val="TextBody"/>
        <w:bidi w:val="0"/>
        <w:spacing w:lineRule="auto" w:line="240" w:before="520"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Sam Chawla</w:t>
      </w:r>
      <w:r>
        <w:rPr>
          <w:color w:val="000000"/>
        </w:rPr>
        <w:t>    </w:t>
      </w:r>
      <w:r>
        <w:rPr>
          <w:rFonts w:ascii="Times New Roman;sans-serif" w:hAnsi="Times New Roman;sans-serif"/>
          <w:b w:val="false"/>
          <w:color w:val="000000"/>
          <w:sz w:val="24"/>
        </w:rPr>
        <w:br/>
        <w:t>Name: Sam Chawla</w:t>
        <w:br/>
        <w:t>Title: Portfolio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31445"/>
                <wp:effectExtent l="0" t="0" r="0" b="0"/>
                <wp:wrapNone/>
                <wp:docPr id="168" name="Frame1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4"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Credit Agreement and Guaranty</w:t>
                            </w:r>
                            <w:r>
                              <w:rPr>
                                <w:rFonts w:ascii="Times New Roman;sans-serif" w:hAnsi="Times New Roman;sans-serif"/>
                                <w:b w:val="false"/>
                                <w:color w:val="000000"/>
                                <w:sz w:val="18"/>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4" w:before="0" w:after="0"/>
                        <w:jc w:val="center"/>
                        <w:rPr/>
                      </w:pPr>
                      <w:r>
                        <w:rPr>
                          <w:rFonts w:ascii="Times New Roman;sans-serif" w:hAnsi="Times New Roman;sans-serif"/>
                          <w:b w:val="false"/>
                          <w:color w:val="000000"/>
                          <w:sz w:val="18"/>
                        </w:rPr>
                        <w:t>[</w:t>
                      </w:r>
                      <w:r>
                        <w:rPr>
                          <w:rFonts w:ascii="Times New Roman;sans-serif" w:hAnsi="Times New Roman;sans-serif"/>
                          <w:b w:val="false"/>
                          <w:i/>
                          <w:color w:val="000000"/>
                          <w:sz w:val="18"/>
                        </w:rPr>
                        <w:t>Signature Page to Credit Agreement and Guaranty</w:t>
                      </w:r>
                      <w:r>
                        <w:rPr>
                          <w:rFonts w:ascii="Times New Roman;sans-serif" w:hAnsi="Times New Roman;sans-serif"/>
                          <w:b w:val="false"/>
                          <w:color w:val="000000"/>
                          <w:sz w:val="18"/>
                        </w:rPr>
                        <w:t>]</w:t>
                      </w:r>
                    </w:p>
                  </w:txbxContent>
                </v:textbox>
                <w10:wrap type="none"/>
              </v:rect>
            </w:pict>
          </mc:Fallback>
        </mc:AlternateContent>
      </w:r>
    </w:p>
    <w:p>
      <w:pPr>
        <w:pStyle w:val="TextBody"/>
        <w:bidi w:val="0"/>
        <w:spacing w:lineRule="auto" w:line="280" w:before="0" w:after="0"/>
        <w:jc w:val="center"/>
        <w:rPr>
          <w:rFonts w:ascii="Times New Roman;sans-serif" w:hAnsi="Times New Roman;sans-serif"/>
          <w:b/>
          <w:color w:val="000000"/>
          <w:sz w:val="24"/>
        </w:rPr>
      </w:pPr>
      <w:r>
        <w:rPr>
          <w:rFonts w:ascii="Times New Roman;sans-serif" w:hAnsi="Times New Roman;sans-serif"/>
          <w:b/>
          <w:color w:val="000000"/>
          <w:sz w:val="24"/>
        </w:rPr>
        <w:t>Schedule 1</w:t>
        <w:br/>
        <w:t xml:space="preserve">to </w:t>
        <w:br/>
        <w:t>Credit Agreement</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TRANCHE A TERM LOAN COMMITMENTS</w:t>
      </w:r>
    </w:p>
    <w:tbl>
      <w:tblPr>
        <w:tblW w:w="6990" w:type="dxa"/>
        <w:jc w:val="left"/>
        <w:tblInd w:w="0" w:type="dxa"/>
        <w:tblLayout w:type="fixed"/>
        <w:tblCellMar>
          <w:top w:w="28" w:type="dxa"/>
          <w:left w:w="28" w:type="dxa"/>
          <w:bottom w:w="28" w:type="dxa"/>
          <w:right w:w="28" w:type="dxa"/>
        </w:tblCellMar>
      </w:tblPr>
      <w:tblGrid>
        <w:gridCol w:w="1229"/>
        <w:gridCol w:w="1082"/>
        <w:gridCol w:w="1094"/>
        <w:gridCol w:w="1049"/>
        <w:gridCol w:w="1049"/>
        <w:gridCol w:w="1487"/>
      </w:tblGrid>
      <w:tr>
        <w:trPr/>
        <w:tc>
          <w:tcPr>
            <w:tcW w:w="122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Lender</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Tranche A Term Loan Commitment</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$50,000,000</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Total</w:t>
            </w:r>
          </w:p>
        </w:tc>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$50,000,000</w:t>
            </w:r>
          </w:p>
        </w:tc>
      </w:tr>
    </w:tbl>
    <w:p>
      <w:pPr>
        <w:pStyle w:val="TextBody"/>
        <w:bidi w:val="0"/>
        <w:spacing w:before="360" w:after="283"/>
        <w:jc w:val="left"/>
        <w:rPr/>
      </w:pPr>
      <w:r>
        <w:rPr/>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TRANCHE B TERM LOAN COMMITMENTS</w:t>
      </w:r>
    </w:p>
    <w:tbl>
      <w:tblPr>
        <w:tblW w:w="6974" w:type="dxa"/>
        <w:jc w:val="left"/>
        <w:tblInd w:w="0" w:type="dxa"/>
        <w:tblLayout w:type="fixed"/>
        <w:tblCellMar>
          <w:top w:w="28" w:type="dxa"/>
          <w:left w:w="28" w:type="dxa"/>
          <w:bottom w:w="28" w:type="dxa"/>
          <w:right w:w="28" w:type="dxa"/>
        </w:tblCellMar>
      </w:tblPr>
      <w:tblGrid>
        <w:gridCol w:w="1229"/>
        <w:gridCol w:w="1082"/>
        <w:gridCol w:w="1094"/>
        <w:gridCol w:w="1044"/>
        <w:gridCol w:w="1044"/>
        <w:gridCol w:w="1481"/>
      </w:tblGrid>
      <w:tr>
        <w:trPr/>
        <w:tc>
          <w:tcPr>
            <w:tcW w:w="122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Lender</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Tranche B Term Loan Commitment</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$25,000,000</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Total</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$25,000,000</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TRANCHE A WARRANT SHARES</w:t>
      </w:r>
    </w:p>
    <w:tbl>
      <w:tblPr>
        <w:tblW w:w="6105" w:type="dxa"/>
        <w:jc w:val="left"/>
        <w:tblInd w:w="0" w:type="dxa"/>
        <w:tblLayout w:type="fixed"/>
        <w:tblCellMar>
          <w:top w:w="28" w:type="dxa"/>
          <w:left w:w="28" w:type="dxa"/>
          <w:bottom w:w="28" w:type="dxa"/>
          <w:right w:w="28" w:type="dxa"/>
        </w:tblCellMar>
      </w:tblPr>
      <w:tblGrid>
        <w:gridCol w:w="1229"/>
        <w:gridCol w:w="1082"/>
        <w:gridCol w:w="1094"/>
        <w:gridCol w:w="789"/>
        <w:gridCol w:w="789"/>
        <w:gridCol w:w="1122"/>
      </w:tblGrid>
      <w:tr>
        <w:trPr/>
        <w:tc>
          <w:tcPr>
            <w:tcW w:w="122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Lender</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Number of Warrant Shares</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800,000 Class A Shares</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center"/>
        <w:rPr/>
      </w:pPr>
      <w:r>
        <w:rPr/>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TRANCHE B WARRANT SHARES*</w:t>
      </w:r>
    </w:p>
    <w:tbl>
      <w:tblPr>
        <w:tblW w:w="6105" w:type="dxa"/>
        <w:jc w:val="left"/>
        <w:tblInd w:w="0" w:type="dxa"/>
        <w:tblLayout w:type="fixed"/>
        <w:tblCellMar>
          <w:top w:w="28" w:type="dxa"/>
          <w:left w:w="28" w:type="dxa"/>
          <w:bottom w:w="28" w:type="dxa"/>
          <w:right w:w="28" w:type="dxa"/>
        </w:tblCellMar>
      </w:tblPr>
      <w:tblGrid>
        <w:gridCol w:w="1229"/>
        <w:gridCol w:w="1082"/>
        <w:gridCol w:w="1094"/>
        <w:gridCol w:w="789"/>
        <w:gridCol w:w="789"/>
        <w:gridCol w:w="1122"/>
      </w:tblGrid>
      <w:tr>
        <w:trPr/>
        <w:tc>
          <w:tcPr>
            <w:tcW w:w="122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Lender</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Number of Warrant Shares</w:t>
            </w:r>
          </w:p>
        </w:tc>
      </w:tr>
      <w:tr>
        <w:trPr/>
        <w:tc>
          <w:tcPr>
            <w:tcW w:w="34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400,000 Class A Shares</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31445"/>
                <wp:effectExtent l="0" t="0" r="0" b="0"/>
                <wp:wrapNone/>
                <wp:docPr id="169" name="Frame1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37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Issued on the Tranche B Term Loan Borrowing Date, if it occurs</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74"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Issued on the Tranche B Term Loan Borrowing Date, if it occurs</w:t>
                      </w:r>
                    </w:p>
                  </w:txbxContent>
                </v:textbox>
                <w10:wrap type="none"/>
              </v:rect>
            </w:pict>
          </mc:Fallback>
        </mc:AlternateContent>
      </w:r>
    </w:p>
    <w:p>
      <w:pPr>
        <w:pStyle w:val="TextBody"/>
        <w:bidi w:val="0"/>
        <w:spacing w:lineRule="auto" w:line="280" w:before="0" w:after="0"/>
        <w:jc w:val="center"/>
        <w:rPr>
          <w:rFonts w:ascii="Times New Roman;sans-serif" w:hAnsi="Times New Roman;sans-serif"/>
          <w:b/>
          <w:color w:val="000000"/>
          <w:sz w:val="24"/>
        </w:rPr>
      </w:pPr>
      <w:r>
        <w:rPr>
          <w:rFonts w:ascii="Times New Roman;sans-serif" w:hAnsi="Times New Roman;sans-serif"/>
          <w:b/>
          <w:color w:val="000000"/>
          <w:sz w:val="24"/>
        </w:rPr>
        <w:t>Schedule 2</w:t>
      </w:r>
    </w:p>
    <w:p>
      <w:pPr>
        <w:pStyle w:val="TextBody"/>
        <w:bidi w:val="0"/>
        <w:spacing w:lineRule="auto" w:line="280" w:before="360" w:after="283"/>
        <w:jc w:val="center"/>
        <w:rPr>
          <w:rFonts w:ascii="Times New Roman;sans-serif" w:hAnsi="Times New Roman;sans-serif"/>
          <w:b/>
          <w:color w:val="000000"/>
          <w:sz w:val="24"/>
        </w:rPr>
      </w:pPr>
      <w:r>
        <w:rPr>
          <w:rFonts w:ascii="Times New Roman;sans-serif" w:hAnsi="Times New Roman;sans-serif"/>
          <w:b/>
          <w:color w:val="000000"/>
          <w:sz w:val="24"/>
        </w:rPr>
        <w:t>Notice Addresses</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to the Administrative Agent or any Lender:</w:t>
      </w:r>
    </w:p>
    <w:p>
      <w:pPr>
        <w:pStyle w:val="TextBody"/>
        <w:bidi w:val="0"/>
        <w:spacing w:lineRule="auto" w:line="240"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br/>
        <w:t>c/o Perceptive Advisors LLC</w:t>
        <w:br/>
        <w:t>51 Astor Place</w:t>
        <w:br/>
        <w:t>10th Floor</w:t>
        <w:br/>
        <w:t>New York, New York 10003</w:t>
        <w:br/>
        <w:t>Attention: Sandeep Dixit</w:t>
        <w:br/>
        <w:t xml:space="preserve">E-mail: [*] </w:t>
      </w:r>
    </w:p>
    <w:p>
      <w:pPr>
        <w:pStyle w:val="TextBody"/>
        <w:bidi w:val="0"/>
        <w:spacing w:lineRule="auto" w:line="280" w:before="280" w:after="283"/>
        <w:ind w:left="0" w:right="0" w:firstLine="720"/>
        <w:jc w:val="both"/>
        <w:rPr/>
      </w:pPr>
      <w:r>
        <w:rPr>
          <w:rFonts w:ascii="Times New Roman;sans-serif" w:hAnsi="Times New Roman;sans-serif"/>
          <w:b w:val="false"/>
          <w:i/>
          <w:color w:val="000000"/>
          <w:sz w:val="24"/>
        </w:rPr>
        <w:t>with a copy to (which shall not constitute notice)</w:t>
      </w:r>
      <w:r>
        <w:rPr>
          <w:rFonts w:ascii="Times New Roman;sans-serif" w:hAnsi="Times New Roman;sans-serif"/>
          <w:b w:val="false"/>
          <w:color w:val="000000"/>
          <w:sz w:val="24"/>
        </w:rPr>
        <w:t>:</w:t>
      </w:r>
    </w:p>
    <w:p>
      <w:pPr>
        <w:pStyle w:val="TextBody"/>
        <w:bidi w:val="0"/>
        <w:spacing w:lineRule="auto" w:line="240" w:before="28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Chapman and Cutler LLP</w:t>
        <w:br/>
        <w:t>1270 Avenue of the Americas</w:t>
        <w:br/>
        <w:t>30th Floor</w:t>
        <w:br/>
        <w:t>New York, New York 10020-1708</w:t>
        <w:br/>
        <w:t>Attention: Nicholas Whitney</w:t>
        <w:br/>
        <w:t>E-mail: [*]</w:t>
      </w:r>
    </w:p>
    <w:p>
      <w:pPr>
        <w:pStyle w:val="TextBody"/>
        <w:bidi w:val="0"/>
        <w:spacing w:lineRule="auto" w:line="280" w:before="28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to Borrowers or any Guarantor:</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c/o GeneDx Holdings Corp.</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333 Ludlow Street</w:t>
      </w:r>
    </w:p>
    <w:p>
      <w:pPr>
        <w:pStyle w:val="TextBody"/>
        <w:bidi w:val="0"/>
        <w:spacing w:lineRule="auto" w:line="240" w:before="0" w:after="0"/>
        <w:ind w:left="0" w:right="0" w:firstLine="720"/>
        <w:jc w:val="left"/>
        <w:rPr/>
      </w:pPr>
      <w:r>
        <w:rPr>
          <w:rFonts w:ascii="Times New Roman;sans-serif" w:hAnsi="Times New Roman;sans-serif"/>
          <w:b w:val="false"/>
          <w:color w:val="000000"/>
          <w:sz w:val="24"/>
        </w:rPr>
        <w:t>North Tower, 8</w:t>
      </w:r>
      <w:r>
        <w:rPr>
          <w:rFonts w:ascii="Times New Roman;sans-serif" w:hAnsi="Times New Roman;sans-serif"/>
          <w:b w:val="false"/>
          <w:color w:val="000000"/>
          <w:sz w:val="16"/>
        </w:rPr>
        <w:t>th</w:t>
      </w:r>
      <w:r>
        <w:rPr>
          <w:color w:val="000000"/>
        </w:rPr>
        <w:t xml:space="preserve"> </w:t>
      </w:r>
      <w:r>
        <w:rPr>
          <w:rFonts w:ascii="Times New Roman;sans-serif" w:hAnsi="Times New Roman;sans-serif"/>
          <w:b w:val="false"/>
          <w:color w:val="000000"/>
          <w:sz w:val="24"/>
        </w:rPr>
        <w:t>Floor</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Stamford, Connecticut 06902 </w:t>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Attention: General Counsel</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0"/>
        <w:jc w:val="left"/>
        <w:rPr/>
      </w:pPr>
      <w:r>
        <w:rPr/>
      </w:r>
    </w:p>
    <w:p>
      <w:pPr>
        <w:pStyle w:val="TextBody"/>
        <w:bidi w:val="0"/>
        <w:spacing w:lineRule="auto" w:line="280" w:before="280" w:after="283"/>
        <w:ind w:left="0" w:right="0" w:firstLine="720"/>
        <w:jc w:val="both"/>
        <w:rPr/>
      </w:pPr>
      <w:r>
        <w:rPr>
          <w:rFonts w:ascii="Times New Roman;sans-serif" w:hAnsi="Times New Roman;sans-serif"/>
          <w:b w:val="false"/>
          <w:i/>
          <w:color w:val="000000"/>
          <w:sz w:val="24"/>
        </w:rPr>
        <w:t>with a copy to (which shall not constitute notice)</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Fenwick &amp; West LLP</w:t>
      </w:r>
    </w:p>
    <w:p>
      <w:pPr>
        <w:pStyle w:val="TextBody"/>
        <w:bidi w:val="0"/>
        <w:spacing w:lineRule="auto" w:line="240" w:before="0" w:after="0"/>
        <w:jc w:val="left"/>
        <w:rPr>
          <w:color w:val="000000"/>
        </w:rPr>
      </w:pPr>
      <w:r>
        <w:rPr>
          <w:color w:val="000000"/>
        </w:rPr>
        <w:t>        </w:t>
      </w:r>
      <w:r>
        <w:rPr>
          <w:rFonts w:ascii="Times New Roman;sans-serif" w:hAnsi="Times New Roman;sans-serif"/>
          <w:b w:val="false"/>
          <w:color w:val="000000"/>
          <w:sz w:val="24"/>
        </w:rPr>
        <w:t>902 Broadway</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18th Floor </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New York, New York 10010-6035</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Attention: Ethan Skerry</w:t>
      </w:r>
    </w:p>
    <w:p>
      <w:pPr>
        <w:pStyle w:val="TextBody"/>
        <w:bidi w:val="0"/>
        <w:spacing w:lineRule="auto" w:line="240"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E-mail: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41" w:after="283"/>
        <w:jc w:val="right"/>
        <w:rPr>
          <w:rFonts w:ascii="Times New Roman;sans-serif" w:hAnsi="Times New Roman;sans-serif"/>
          <w:b/>
          <w:color w:val="000000"/>
          <w:sz w:val="24"/>
        </w:rPr>
      </w:pPr>
      <w:r>
        <w:rPr>
          <w:rFonts w:ascii="Times New Roman;sans-serif" w:hAnsi="Times New Roman;sans-serif"/>
          <w:b/>
          <w:color w:val="000000"/>
          <w:sz w:val="24"/>
        </w:rPr>
        <w:t>Exhibit 10.2</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0"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5972175" cy="19050"/>
            <wp:effectExtent l="0" t="0" r="0" b="0"/>
            <wp:docPr id="17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5" descr=""/>
                    <pic:cNvPicPr>
                      <a:picLocks noChangeAspect="1" noChangeArrowheads="1"/>
                    </pic:cNvPicPr>
                  </pic:nvPicPr>
                  <pic:blipFill>
                    <a:blip r:embed="rId6"/>
                    <a:stretch>
                      <a:fillRect/>
                    </a:stretch>
                  </pic:blipFill>
                  <pic:spPr bwMode="auto">
                    <a:xfrm>
                      <a:off x="0" y="0"/>
                      <a:ext cx="5972175" cy="19050"/>
                    </a:xfrm>
                    <a:prstGeom prst="rect">
                      <a:avLst/>
                    </a:prstGeom>
                  </pic:spPr>
                </pic:pic>
              </a:graphicData>
            </a:graphic>
          </wp:inline>
        </w:drawing>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240" w:before="5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Security Agreement</w:t>
      </w:r>
    </w:p>
    <w:p>
      <w:pPr>
        <w:pStyle w:val="TextBody"/>
        <w:bidi w:val="0"/>
        <w:spacing w:before="0" w:after="0"/>
        <w:jc w:val="left"/>
        <w:rPr/>
      </w:pPr>
      <w:r>
        <w:rPr/>
      </w:r>
    </w:p>
    <w:p>
      <w:pPr>
        <w:pStyle w:val="TextBody"/>
        <w:bidi w:val="0"/>
        <w:spacing w:lineRule="auto" w:line="240" w:before="207"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Dated as of</w:t>
      </w:r>
    </w:p>
    <w:p>
      <w:pPr>
        <w:pStyle w:val="TextBody"/>
        <w:bidi w:val="0"/>
        <w:spacing w:lineRule="auto" w:line="880" w:before="3"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October 27, 2023 among</w:t>
      </w:r>
    </w:p>
    <w:p>
      <w:pPr>
        <w:pStyle w:val="TextBody"/>
        <w:bidi w:val="0"/>
        <w:spacing w:before="1" w:after="283"/>
        <w:jc w:val="left"/>
        <w:rPr/>
      </w:pPr>
      <w:r>
        <w:rPr/>
      </w:r>
    </w:p>
    <w:p>
      <w:pPr>
        <w:pStyle w:val="TextBody"/>
        <w:bidi w:val="0"/>
        <w:spacing w:lineRule="auto" w:line="280" w:before="0" w:after="0"/>
        <w:jc w:val="center"/>
        <w:rPr/>
      </w:pPr>
      <w:r>
        <w:rPr>
          <w:rFonts w:ascii="Times New Roman;sans-serif" w:hAnsi="Times New Roman;sans-serif"/>
          <w:b w:val="false"/>
          <w:color w:val="000000"/>
          <w:sz w:val="24"/>
        </w:rPr>
        <w:t>S</w:t>
      </w:r>
      <w:r>
        <w:rPr>
          <w:rFonts w:ascii="Times New Roman;sans-serif" w:hAnsi="Times New Roman;sans-serif"/>
          <w:b w:val="false"/>
          <w:color w:val="000000"/>
          <w:sz w:val="19"/>
        </w:rPr>
        <w:t>EMA</w:t>
      </w:r>
      <w:r>
        <w:rPr>
          <w:rFonts w:ascii="Times New Roman;sans-serif" w:hAnsi="Times New Roman;sans-serif"/>
          <w:b w:val="false"/>
          <w:color w:val="000000"/>
          <w:sz w:val="24"/>
        </w:rPr>
        <w:t>4 O</w:t>
      </w:r>
      <w:r>
        <w:rPr>
          <w:rFonts w:ascii="Times New Roman;sans-serif" w:hAnsi="Times New Roman;sans-serif"/>
          <w:b w:val="false"/>
          <w:color w:val="000000"/>
          <w:sz w:val="19"/>
        </w:rPr>
        <w:t>P</w:t>
      </w:r>
      <w:r>
        <w:rPr>
          <w:rFonts w:ascii="Times New Roman;sans-serif" w:hAnsi="Times New Roman;sans-serif"/>
          <w:b w:val="false"/>
          <w:color w:val="000000"/>
          <w:sz w:val="24"/>
        </w:rPr>
        <w:t>C</w:t>
      </w:r>
      <w:r>
        <w:rPr>
          <w:rFonts w:ascii="Times New Roman;sans-serif" w:hAnsi="Times New Roman;sans-serif"/>
          <w:b w:val="false"/>
          <w:color w:val="000000"/>
          <w:sz w:val="19"/>
        </w:rPr>
        <w:t>O</w:t>
      </w:r>
      <w:r>
        <w:rPr>
          <w:rFonts w:ascii="Times New Roman;sans-serif" w:hAnsi="Times New Roman;sans-serif"/>
          <w:b w:val="false"/>
          <w:color w:val="000000"/>
          <w:sz w:val="24"/>
        </w:rPr>
        <w:t>, I</w:t>
      </w:r>
      <w:r>
        <w:rPr>
          <w:rFonts w:ascii="Times New Roman;sans-serif" w:hAnsi="Times New Roman;sans-serif"/>
          <w:b w:val="false"/>
          <w:color w:val="000000"/>
          <w:sz w:val="19"/>
        </w:rPr>
        <w:t>NC</w:t>
      </w:r>
      <w:r>
        <w:rPr>
          <w:rFonts w:ascii="Times New Roman;sans-serif" w:hAnsi="Times New Roman;sans-serif"/>
          <w:b w:val="false"/>
          <w:color w:val="000000"/>
          <w:sz w:val="24"/>
        </w:rPr>
        <w:t>., G</w:t>
      </w:r>
      <w:r>
        <w:rPr>
          <w:rFonts w:ascii="Times New Roman;sans-serif" w:hAnsi="Times New Roman;sans-serif"/>
          <w:b w:val="false"/>
          <w:color w:val="000000"/>
          <w:sz w:val="19"/>
        </w:rPr>
        <w:t>ENE</w:t>
      </w:r>
      <w:r>
        <w:rPr>
          <w:rFonts w:ascii="Times New Roman;sans-serif" w:hAnsi="Times New Roman;sans-serif"/>
          <w:b w:val="false"/>
          <w:color w:val="000000"/>
          <w:sz w:val="24"/>
        </w:rPr>
        <w:t>D</w:t>
      </w:r>
      <w:r>
        <w:rPr>
          <w:rFonts w:ascii="Times New Roman;sans-serif" w:hAnsi="Times New Roman;sans-serif"/>
          <w:b w:val="false"/>
          <w:color w:val="000000"/>
          <w:sz w:val="19"/>
        </w:rPr>
        <w:t>X</w:t>
      </w:r>
      <w:r>
        <w:rPr>
          <w:rFonts w:ascii="Times New Roman;sans-serif" w:hAnsi="Times New Roman;sans-serif"/>
          <w:b w:val="false"/>
          <w:color w:val="000000"/>
          <w:sz w:val="24"/>
        </w:rPr>
        <w:t>, LLC</w:t>
      </w:r>
    </w:p>
    <w:p>
      <w:pPr>
        <w:pStyle w:val="TextBody"/>
        <w:bidi w:val="0"/>
        <w:spacing w:before="7"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as Grantors,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The Other Grantors from Time to Time Party hereto</w:t>
      </w:r>
    </w:p>
    <w:p>
      <w:pPr>
        <w:pStyle w:val="TextBody"/>
        <w:bidi w:val="0"/>
        <w:spacing w:before="4"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and</w:t>
      </w:r>
    </w:p>
    <w:p>
      <w:pPr>
        <w:pStyle w:val="TextBody"/>
        <w:bidi w:val="0"/>
        <w:spacing w:before="10"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lineRule="auto" w:line="240" w:before="3"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drawing>
          <wp:inline distT="0" distB="0" distL="0" distR="0">
            <wp:extent cx="5972175" cy="19050"/>
            <wp:effectExtent l="0" t="0" r="0" b="0"/>
            <wp:docPr id="17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6" descr=""/>
                    <pic:cNvPicPr>
                      <a:picLocks noChangeAspect="1" noChangeArrowheads="1"/>
                    </pic:cNvPicPr>
                  </pic:nvPicPr>
                  <pic:blipFill>
                    <a:blip r:embed="rId7"/>
                    <a:stretch>
                      <a:fillRect/>
                    </a:stretch>
                  </pic:blipFill>
                  <pic:spPr bwMode="auto">
                    <a:xfrm>
                      <a:off x="0" y="0"/>
                      <a:ext cx="5972175" cy="19050"/>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8"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3"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5" w:after="283"/>
        <w:jc w:val="left"/>
        <w:rPr/>
      </w:pPr>
      <w:r>
        <w:rPr/>
      </w:r>
    </w:p>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SECTION    HEADING    PAGE</w:t>
      </w:r>
    </w:p>
    <w:p>
      <w:pPr>
        <w:pStyle w:val="TextBody"/>
        <w:bidi w:val="0"/>
        <w:spacing w:lineRule="auto" w:line="240" w:before="28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SECTION 1. DEFINITIONS, ETC.    1</w:t>
      </w:r>
    </w:p>
    <w:p>
      <w:pPr>
        <w:pStyle w:val="TextBody"/>
        <w:bidi w:val="0"/>
        <w:spacing w:lineRule="auto" w:line="240" w:before="127" w:after="283"/>
        <w:jc w:val="left"/>
        <w:rPr/>
      </w:pPr>
      <w:r>
        <w:rPr>
          <w:rFonts w:ascii="Times New Roman;sans-serif" w:hAnsi="Times New Roman;sans-serif"/>
          <w:b w:val="false"/>
          <w:i/>
          <w:color w:val="000000"/>
          <w:sz w:val="24"/>
        </w:rPr>
        <w:t>Section 1.01.    Certain Uniform Commercial Code Terms    </w:t>
      </w:r>
      <w:r>
        <w:rPr>
          <w:rFonts w:ascii="Times New Roman;sans-serif" w:hAnsi="Times New Roman;sans-serif"/>
          <w:b w:val="false"/>
          <w:color w:val="000000"/>
          <w:sz w:val="24"/>
        </w:rPr>
        <w:t>1</w:t>
      </w:r>
    </w:p>
    <w:p>
      <w:pPr>
        <w:pStyle w:val="TextBody"/>
        <w:bidi w:val="0"/>
        <w:spacing w:lineRule="auto" w:line="240" w:before="2" w:after="283"/>
        <w:jc w:val="left"/>
        <w:rPr/>
      </w:pPr>
      <w:r>
        <w:rPr>
          <w:rFonts w:ascii="Times New Roman;sans-serif" w:hAnsi="Times New Roman;sans-serif"/>
          <w:b w:val="false"/>
          <w:i/>
          <w:color w:val="000000"/>
          <w:sz w:val="24"/>
        </w:rPr>
        <w:t>Section 1.02.    Additional Definitions    </w:t>
      </w:r>
      <w:r>
        <w:rPr>
          <w:rFonts w:ascii="Times New Roman;sans-serif" w:hAnsi="Times New Roman;sans-serif"/>
          <w:b w:val="false"/>
          <w:color w:val="000000"/>
          <w:sz w:val="24"/>
        </w:rPr>
        <w:t>1</w:t>
      </w:r>
    </w:p>
    <w:p>
      <w:pPr>
        <w:pStyle w:val="TextBody"/>
        <w:bidi w:val="0"/>
        <w:spacing w:lineRule="auto" w:line="240" w:before="3" w:after="283"/>
        <w:jc w:val="left"/>
        <w:rPr/>
      </w:pPr>
      <w:r>
        <w:rPr>
          <w:rFonts w:ascii="Times New Roman;sans-serif" w:hAnsi="Times New Roman;sans-serif"/>
          <w:b w:val="false"/>
          <w:i/>
          <w:color w:val="000000"/>
          <w:sz w:val="24"/>
        </w:rPr>
        <w:t>Section 1.03.    Other Defined Terms    </w:t>
      </w:r>
      <w:r>
        <w:rPr>
          <w:rFonts w:ascii="Times New Roman;sans-serif" w:hAnsi="Times New Roman;sans-serif"/>
          <w:b w:val="false"/>
          <w:color w:val="000000"/>
          <w:sz w:val="24"/>
        </w:rPr>
        <w:t>4</w:t>
      </w:r>
    </w:p>
    <w:p>
      <w:pPr>
        <w:pStyle w:val="TextBody"/>
        <w:bidi w:val="0"/>
        <w:spacing w:lineRule="auto" w:line="240" w:before="285"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SECTION 2. REPRESENTATIONS AND WARRANTIES    4</w:t>
      </w:r>
    </w:p>
    <w:p>
      <w:pPr>
        <w:pStyle w:val="TextBody"/>
        <w:bidi w:val="0"/>
        <w:spacing w:lineRule="auto" w:line="240" w:before="123" w:after="283"/>
        <w:jc w:val="left"/>
        <w:rPr/>
      </w:pPr>
      <w:r>
        <w:rPr>
          <w:rFonts w:ascii="Times New Roman;sans-serif" w:hAnsi="Times New Roman;sans-serif"/>
          <w:b w:val="false"/>
          <w:i/>
          <w:color w:val="000000"/>
          <w:sz w:val="24"/>
        </w:rPr>
        <w:t>Section 2.01.    Title.    </w:t>
      </w:r>
      <w:r>
        <w:rPr>
          <w:rFonts w:ascii="Times New Roman;sans-serif" w:hAnsi="Times New Roman;sans-serif"/>
          <w:b w:val="false"/>
          <w:color w:val="000000"/>
          <w:sz w:val="24"/>
        </w:rPr>
        <w:t>4</w:t>
      </w:r>
    </w:p>
    <w:p>
      <w:pPr>
        <w:pStyle w:val="TextBody"/>
        <w:bidi w:val="0"/>
        <w:spacing w:lineRule="auto" w:line="240" w:before="7" w:after="283"/>
        <w:jc w:val="left"/>
        <w:rPr/>
      </w:pPr>
      <w:r>
        <w:rPr>
          <w:rFonts w:ascii="Times New Roman;sans-serif" w:hAnsi="Times New Roman;sans-serif"/>
          <w:b w:val="false"/>
          <w:i/>
          <w:color w:val="000000"/>
          <w:sz w:val="24"/>
        </w:rPr>
        <w:t>Section 2.02.    Names, Etc    </w:t>
      </w:r>
      <w:r>
        <w:rPr>
          <w:rFonts w:ascii="Times New Roman;sans-serif" w:hAnsi="Times New Roman;sans-serif"/>
          <w:b w:val="false"/>
          <w:color w:val="000000"/>
          <w:sz w:val="24"/>
        </w:rPr>
        <w:t>5</w:t>
      </w:r>
    </w:p>
    <w:p>
      <w:pPr>
        <w:pStyle w:val="TextBody"/>
        <w:bidi w:val="0"/>
        <w:spacing w:lineRule="auto" w:line="240" w:before="2" w:after="283"/>
        <w:jc w:val="left"/>
        <w:rPr/>
      </w:pPr>
      <w:r>
        <w:rPr>
          <w:rFonts w:ascii="Times New Roman;sans-serif" w:hAnsi="Times New Roman;sans-serif"/>
          <w:b w:val="false"/>
          <w:i/>
          <w:color w:val="000000"/>
          <w:sz w:val="24"/>
        </w:rPr>
        <w:t>Section 2.03.    Changes in Circumstances    </w:t>
      </w:r>
      <w:r>
        <w:rPr>
          <w:rFonts w:ascii="Times New Roman;sans-serif" w:hAnsi="Times New Roman;sans-serif"/>
          <w:b w:val="false"/>
          <w:color w:val="000000"/>
          <w:sz w:val="24"/>
        </w:rPr>
        <w:t>5</w:t>
      </w:r>
    </w:p>
    <w:p>
      <w:pPr>
        <w:pStyle w:val="TextBody"/>
        <w:bidi w:val="0"/>
        <w:spacing w:lineRule="auto" w:line="240" w:before="3" w:after="283"/>
        <w:jc w:val="left"/>
        <w:rPr/>
      </w:pPr>
      <w:r>
        <w:rPr>
          <w:rFonts w:ascii="Times New Roman;sans-serif" w:hAnsi="Times New Roman;sans-serif"/>
          <w:b w:val="false"/>
          <w:i/>
          <w:color w:val="000000"/>
          <w:sz w:val="24"/>
        </w:rPr>
        <w:t>Section 2.04.    Pledged Shares    </w:t>
      </w:r>
      <w:r>
        <w:rPr>
          <w:rFonts w:ascii="Times New Roman;sans-serif" w:hAnsi="Times New Roman;sans-serif"/>
          <w:b w:val="false"/>
          <w:color w:val="000000"/>
          <w:sz w:val="24"/>
        </w:rPr>
        <w:t>5</w:t>
      </w:r>
    </w:p>
    <w:p>
      <w:pPr>
        <w:pStyle w:val="TextBody"/>
        <w:bidi w:val="0"/>
        <w:spacing w:lineRule="auto" w:line="240" w:before="7" w:after="283"/>
        <w:jc w:val="left"/>
        <w:rPr/>
      </w:pPr>
      <w:r>
        <w:rPr>
          <w:rFonts w:ascii="Times New Roman;sans-serif" w:hAnsi="Times New Roman;sans-serif"/>
          <w:b w:val="false"/>
          <w:i/>
          <w:color w:val="000000"/>
          <w:sz w:val="24"/>
        </w:rPr>
        <w:t>Section 2.05.    Promissory Notes    </w:t>
      </w:r>
      <w:r>
        <w:rPr>
          <w:rFonts w:ascii="Times New Roman;sans-serif" w:hAnsi="Times New Roman;sans-serif"/>
          <w:b w:val="false"/>
          <w:color w:val="000000"/>
          <w:sz w:val="24"/>
        </w:rPr>
        <w:t>5</w:t>
      </w:r>
    </w:p>
    <w:p>
      <w:pPr>
        <w:pStyle w:val="TextBody"/>
        <w:bidi w:val="0"/>
        <w:spacing w:lineRule="auto" w:line="240" w:before="3" w:after="283"/>
        <w:jc w:val="left"/>
        <w:rPr/>
      </w:pPr>
      <w:r>
        <w:rPr>
          <w:rFonts w:ascii="Times New Roman;sans-serif" w:hAnsi="Times New Roman;sans-serif"/>
          <w:b w:val="false"/>
          <w:i/>
          <w:color w:val="000000"/>
          <w:sz w:val="24"/>
        </w:rPr>
        <w:t>Section 2.06.    Intellectual Property    </w:t>
      </w:r>
      <w:r>
        <w:rPr>
          <w:rFonts w:ascii="Times New Roman;sans-serif" w:hAnsi="Times New Roman;sans-serif"/>
          <w:b w:val="false"/>
          <w:color w:val="000000"/>
          <w:sz w:val="24"/>
        </w:rPr>
        <w:t>5</w:t>
      </w:r>
    </w:p>
    <w:p>
      <w:pPr>
        <w:pStyle w:val="TextBody"/>
        <w:bidi w:val="0"/>
        <w:spacing w:lineRule="auto" w:line="240" w:before="2"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2.07.    Deposit Accounts, Securities Accounts and Commodity</w:t>
      </w:r>
    </w:p>
    <w:p>
      <w:pPr>
        <w:pStyle w:val="TextBody"/>
        <w:bidi w:val="0"/>
        <w:spacing w:lineRule="auto" w:line="240" w:before="7" w:after="283"/>
        <w:jc w:val="left"/>
        <w:rPr/>
      </w:pPr>
      <w:r>
        <w:rPr>
          <w:rFonts w:ascii="Times New Roman;sans-serif" w:hAnsi="Times New Roman;sans-serif"/>
          <w:b w:val="false"/>
          <w:i/>
          <w:color w:val="000000"/>
          <w:sz w:val="24"/>
        </w:rPr>
        <w:t>Accounts    </w:t>
      </w:r>
      <w:r>
        <w:rPr>
          <w:rFonts w:ascii="Times New Roman;sans-serif" w:hAnsi="Times New Roman;sans-serif"/>
          <w:b w:val="false"/>
          <w:color w:val="000000"/>
          <w:sz w:val="24"/>
        </w:rPr>
        <w:t>6</w:t>
      </w:r>
    </w:p>
    <w:p>
      <w:pPr>
        <w:pStyle w:val="TextBody"/>
        <w:bidi w:val="0"/>
        <w:spacing w:lineRule="auto" w:line="240" w:before="3" w:after="283"/>
        <w:jc w:val="left"/>
        <w:rPr/>
      </w:pPr>
      <w:r>
        <w:rPr>
          <w:rFonts w:ascii="Times New Roman;sans-serif" w:hAnsi="Times New Roman;sans-serif"/>
          <w:b w:val="false"/>
          <w:i/>
          <w:color w:val="000000"/>
          <w:sz w:val="24"/>
        </w:rPr>
        <w:t>Section 2.08.    Commercial Tort Claims    </w:t>
      </w:r>
      <w:r>
        <w:rPr>
          <w:rFonts w:ascii="Times New Roman;sans-serif" w:hAnsi="Times New Roman;sans-serif"/>
          <w:b w:val="false"/>
          <w:color w:val="000000"/>
          <w:sz w:val="24"/>
        </w:rPr>
        <w:t>6</w:t>
      </w:r>
    </w:p>
    <w:p>
      <w:pPr>
        <w:pStyle w:val="TextBody"/>
        <w:bidi w:val="0"/>
        <w:spacing w:lineRule="auto" w:line="240" w:before="2" w:after="283"/>
        <w:jc w:val="left"/>
        <w:rPr/>
      </w:pPr>
      <w:r>
        <w:rPr>
          <w:rFonts w:ascii="Times New Roman;sans-serif" w:hAnsi="Times New Roman;sans-serif"/>
          <w:b w:val="false"/>
          <w:i/>
          <w:color w:val="000000"/>
          <w:sz w:val="24"/>
        </w:rPr>
        <w:t>Section 2.09.    Update of Schedules    </w:t>
      </w:r>
      <w:r>
        <w:rPr>
          <w:rFonts w:ascii="Times New Roman;sans-serif" w:hAnsi="Times New Roman;sans-serif"/>
          <w:b w:val="false"/>
          <w:color w:val="000000"/>
          <w:sz w:val="24"/>
        </w:rPr>
        <w:t>6</w:t>
      </w:r>
    </w:p>
    <w:p>
      <w:pPr>
        <w:pStyle w:val="TextBody"/>
        <w:bidi w:val="0"/>
        <w:spacing w:lineRule="auto" w:line="240" w:before="286"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3. COLLATERAL    6</w:t>
      </w:r>
    </w:p>
    <w:p>
      <w:pPr>
        <w:pStyle w:val="TextBody"/>
        <w:bidi w:val="0"/>
        <w:spacing w:lineRule="auto" w:line="240" w:before="122" w:after="283"/>
        <w:jc w:val="left"/>
        <w:rPr/>
      </w:pPr>
      <w:r>
        <w:rPr>
          <w:rFonts w:ascii="Times New Roman;sans-serif" w:hAnsi="Times New Roman;sans-serif"/>
          <w:b w:val="false"/>
          <w:i/>
          <w:color w:val="000000"/>
          <w:sz w:val="24"/>
        </w:rPr>
        <w:t>Section 3.01.    Granting Clause    </w:t>
      </w:r>
      <w:r>
        <w:rPr>
          <w:rFonts w:ascii="Times New Roman;sans-serif" w:hAnsi="Times New Roman;sans-serif"/>
          <w:b w:val="false"/>
          <w:color w:val="000000"/>
          <w:sz w:val="24"/>
        </w:rPr>
        <w:t>6</w:t>
      </w:r>
    </w:p>
    <w:p>
      <w:pPr>
        <w:pStyle w:val="TextBody"/>
        <w:bidi w:val="0"/>
        <w:spacing w:lineRule="auto" w:line="240" w:before="286"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SECTION 4. FURTHER ASSURANCES; REMEDIES    8</w:t>
      </w:r>
    </w:p>
    <w:p>
      <w:pPr>
        <w:pStyle w:val="TextBody"/>
        <w:bidi w:val="0"/>
        <w:spacing w:lineRule="auto" w:line="240" w:before="122" w:after="283"/>
        <w:jc w:val="left"/>
        <w:rPr/>
      </w:pPr>
      <w:r>
        <w:rPr>
          <w:rFonts w:ascii="Times New Roman;sans-serif" w:hAnsi="Times New Roman;sans-serif"/>
          <w:b w:val="false"/>
          <w:i/>
          <w:color w:val="000000"/>
          <w:sz w:val="24"/>
        </w:rPr>
        <w:t>Section 4.01.    Delivery and Other Perfection    </w:t>
      </w:r>
      <w:r>
        <w:rPr>
          <w:rFonts w:ascii="Times New Roman;sans-serif" w:hAnsi="Times New Roman;sans-serif"/>
          <w:b w:val="false"/>
          <w:color w:val="000000"/>
          <w:sz w:val="24"/>
        </w:rPr>
        <w:t>8</w:t>
      </w:r>
    </w:p>
    <w:p>
      <w:pPr>
        <w:pStyle w:val="TextBody"/>
        <w:bidi w:val="0"/>
        <w:spacing w:lineRule="auto" w:line="240" w:before="7" w:after="283"/>
        <w:jc w:val="left"/>
        <w:rPr/>
      </w:pPr>
      <w:r>
        <w:rPr>
          <w:rFonts w:ascii="Times New Roman;sans-serif" w:hAnsi="Times New Roman;sans-serif"/>
          <w:b w:val="false"/>
          <w:i/>
          <w:color w:val="000000"/>
          <w:sz w:val="24"/>
        </w:rPr>
        <w:t>Section 4.02.    Other Financing Statements or Control    </w:t>
      </w:r>
      <w:r>
        <w:rPr>
          <w:rFonts w:ascii="Times New Roman;sans-serif" w:hAnsi="Times New Roman;sans-serif"/>
          <w:b w:val="false"/>
          <w:color w:val="000000"/>
          <w:sz w:val="24"/>
        </w:rPr>
        <w:t>10</w:t>
      </w:r>
    </w:p>
    <w:p>
      <w:pPr>
        <w:pStyle w:val="TextBody"/>
        <w:bidi w:val="0"/>
        <w:spacing w:lineRule="auto" w:line="240" w:before="3" w:after="283"/>
        <w:jc w:val="left"/>
        <w:rPr/>
      </w:pPr>
      <w:r>
        <w:rPr>
          <w:rFonts w:ascii="Times New Roman;sans-serif" w:hAnsi="Times New Roman;sans-serif"/>
          <w:b w:val="false"/>
          <w:i/>
          <w:color w:val="000000"/>
          <w:sz w:val="24"/>
        </w:rPr>
        <w:t>Section 4.03.    Preservation of Rights    </w:t>
      </w:r>
      <w:r>
        <w:rPr>
          <w:rFonts w:ascii="Times New Roman;sans-serif" w:hAnsi="Times New Roman;sans-serif"/>
          <w:b w:val="false"/>
          <w:color w:val="000000"/>
          <w:sz w:val="24"/>
        </w:rPr>
        <w:t>10</w:t>
      </w:r>
    </w:p>
    <w:p>
      <w:pPr>
        <w:pStyle w:val="TextBody"/>
        <w:bidi w:val="0"/>
        <w:spacing w:lineRule="auto" w:line="240" w:before="2" w:after="283"/>
        <w:jc w:val="left"/>
        <w:rPr/>
      </w:pPr>
      <w:r>
        <w:rPr>
          <w:rFonts w:ascii="Times New Roman;sans-serif" w:hAnsi="Times New Roman;sans-serif"/>
          <w:b w:val="false"/>
          <w:i/>
          <w:color w:val="000000"/>
          <w:sz w:val="24"/>
        </w:rPr>
        <w:t>Section 4.04.    Special Provisions Relating to Certain Collateral    </w:t>
      </w:r>
      <w:r>
        <w:rPr>
          <w:rFonts w:ascii="Times New Roman;sans-serif" w:hAnsi="Times New Roman;sans-serif"/>
          <w:b w:val="false"/>
          <w:color w:val="000000"/>
          <w:sz w:val="24"/>
        </w:rPr>
        <w:t>10</w:t>
      </w:r>
    </w:p>
    <w:p>
      <w:pPr>
        <w:pStyle w:val="TextBody"/>
        <w:bidi w:val="0"/>
        <w:spacing w:lineRule="auto" w:line="240" w:before="7" w:after="283"/>
        <w:jc w:val="left"/>
        <w:rPr/>
      </w:pPr>
      <w:r>
        <w:rPr>
          <w:rFonts w:ascii="Times New Roman;sans-serif" w:hAnsi="Times New Roman;sans-serif"/>
          <w:b w:val="false"/>
          <w:i/>
          <w:color w:val="000000"/>
          <w:sz w:val="24"/>
        </w:rPr>
        <w:t>Section 4.05.    Remedies    </w:t>
      </w:r>
      <w:r>
        <w:rPr>
          <w:rFonts w:ascii="Times New Roman;sans-serif" w:hAnsi="Times New Roman;sans-serif"/>
          <w:b w:val="false"/>
          <w:color w:val="000000"/>
          <w:sz w:val="24"/>
        </w:rPr>
        <w:t>11</w:t>
      </w:r>
    </w:p>
    <w:p>
      <w:pPr>
        <w:pStyle w:val="TextBody"/>
        <w:bidi w:val="0"/>
        <w:spacing w:lineRule="auto" w:line="240" w:before="3" w:after="283"/>
        <w:jc w:val="left"/>
        <w:rPr/>
      </w:pPr>
      <w:r>
        <w:rPr>
          <w:rFonts w:ascii="Times New Roman;sans-serif" w:hAnsi="Times New Roman;sans-serif"/>
          <w:b w:val="false"/>
          <w:i/>
          <w:color w:val="000000"/>
          <w:sz w:val="24"/>
        </w:rPr>
        <w:t>Section 4.06.    Deficiency    </w:t>
      </w:r>
      <w:r>
        <w:rPr>
          <w:rFonts w:ascii="Times New Roman;sans-serif" w:hAnsi="Times New Roman;sans-serif"/>
          <w:b w:val="false"/>
          <w:color w:val="000000"/>
          <w:sz w:val="24"/>
        </w:rPr>
        <w:t>14</w:t>
      </w:r>
    </w:p>
    <w:p>
      <w:pPr>
        <w:pStyle w:val="TextBody"/>
        <w:bidi w:val="0"/>
        <w:spacing w:lineRule="auto" w:line="240" w:before="2" w:after="283"/>
        <w:jc w:val="left"/>
        <w:rPr/>
      </w:pPr>
      <w:r>
        <w:rPr>
          <w:rFonts w:ascii="Times New Roman;sans-serif" w:hAnsi="Times New Roman;sans-serif"/>
          <w:b w:val="false"/>
          <w:i/>
          <w:color w:val="000000"/>
          <w:sz w:val="24"/>
        </w:rPr>
        <w:t>Section 4.07.    Locations; Names, Etc    </w:t>
      </w:r>
      <w:r>
        <w:rPr>
          <w:rFonts w:ascii="Times New Roman;sans-serif" w:hAnsi="Times New Roman;sans-serif"/>
          <w:b w:val="false"/>
          <w:color w:val="000000"/>
          <w:sz w:val="24"/>
        </w:rPr>
        <w:t>14</w:t>
      </w:r>
    </w:p>
    <w:p>
      <w:pPr>
        <w:pStyle w:val="TextBody"/>
        <w:bidi w:val="0"/>
        <w:spacing w:lineRule="auto" w:line="240" w:before="7" w:after="283"/>
        <w:jc w:val="left"/>
        <w:rPr/>
      </w:pPr>
      <w:r>
        <w:rPr>
          <w:rFonts w:ascii="Times New Roman;sans-serif" w:hAnsi="Times New Roman;sans-serif"/>
          <w:b w:val="false"/>
          <w:i/>
          <w:color w:val="000000"/>
          <w:sz w:val="24"/>
        </w:rPr>
        <w:t>Section 4.08.    Application of Proceeds    </w:t>
      </w:r>
      <w:r>
        <w:rPr>
          <w:rFonts w:ascii="Times New Roman;sans-serif" w:hAnsi="Times New Roman;sans-serif"/>
          <w:b w:val="false"/>
          <w:color w:val="000000"/>
          <w:sz w:val="24"/>
        </w:rPr>
        <w:t>14</w:t>
      </w:r>
    </w:p>
    <w:p>
      <w:pPr>
        <w:pStyle w:val="TextBody"/>
        <w:bidi w:val="0"/>
        <w:spacing w:lineRule="auto" w:line="240" w:before="3" w:after="283"/>
        <w:jc w:val="left"/>
        <w:rPr/>
      </w:pPr>
      <w:r>
        <w:rPr>
          <w:rFonts w:ascii="Times New Roman;sans-serif" w:hAnsi="Times New Roman;sans-serif"/>
          <w:b w:val="false"/>
          <w:i/>
          <w:color w:val="000000"/>
          <w:sz w:val="24"/>
        </w:rPr>
        <w:t>Section 4.09.    Attorney in Fact and Proxy    </w:t>
      </w:r>
      <w:r>
        <w:rPr>
          <w:rFonts w:ascii="Times New Roman;sans-serif" w:hAnsi="Times New Roman;sans-serif"/>
          <w:b w:val="false"/>
          <w:color w:val="000000"/>
          <w:sz w:val="24"/>
        </w:rPr>
        <w:t>14</w:t>
      </w:r>
    </w:p>
    <w:p>
      <w:pPr>
        <w:pStyle w:val="TextBody"/>
        <w:bidi w:val="0"/>
        <w:spacing w:lineRule="auto" w:line="240" w:before="2" w:after="283"/>
        <w:jc w:val="left"/>
        <w:rPr/>
      </w:pPr>
      <w:r>
        <w:rPr>
          <w:rFonts w:ascii="Times New Roman;sans-serif" w:hAnsi="Times New Roman;sans-serif"/>
          <w:b w:val="false"/>
          <w:i/>
          <w:color w:val="000000"/>
          <w:sz w:val="24"/>
        </w:rPr>
        <w:t>Section 4.10.    Perfection and Recordation    </w:t>
      </w:r>
      <w:r>
        <w:rPr>
          <w:rFonts w:ascii="Times New Roman;sans-serif" w:hAnsi="Times New Roman;sans-serif"/>
          <w:b w:val="false"/>
          <w:color w:val="000000"/>
          <w:sz w:val="24"/>
        </w:rPr>
        <w:t>15</w:t>
      </w:r>
    </w:p>
    <w:p>
      <w:pPr>
        <w:pStyle w:val="TextBody"/>
        <w:bidi w:val="0"/>
        <w:spacing w:lineRule="auto" w:line="240" w:before="8" w:after="283"/>
        <w:jc w:val="left"/>
        <w:rPr/>
      </w:pPr>
      <w:r>
        <w:rPr>
          <w:rFonts w:ascii="Times New Roman;sans-serif" w:hAnsi="Times New Roman;sans-serif"/>
          <w:b w:val="false"/>
          <w:i/>
          <w:color w:val="000000"/>
          <w:sz w:val="24"/>
        </w:rPr>
        <w:t>Section 4.11.    Termination    </w:t>
      </w:r>
      <w:r>
        <w:rPr>
          <w:rFonts w:ascii="Times New Roman;sans-serif" w:hAnsi="Times New Roman;sans-serif"/>
          <w:b w:val="false"/>
          <w:color w:val="000000"/>
          <w:sz w:val="24"/>
        </w:rPr>
        <w:t>15</w:t>
      </w:r>
    </w:p>
    <w:p>
      <w:pPr>
        <w:pStyle w:val="TextBody"/>
        <w:bidi w:val="0"/>
        <w:spacing w:lineRule="auto" w:line="240" w:before="2" w:after="283"/>
        <w:jc w:val="left"/>
        <w:rPr/>
      </w:pPr>
      <w:r>
        <w:rPr>
          <w:rFonts w:ascii="Times New Roman;sans-serif" w:hAnsi="Times New Roman;sans-serif"/>
          <w:b w:val="false"/>
          <w:i/>
          <w:color w:val="000000"/>
          <w:sz w:val="24"/>
        </w:rPr>
        <w:t>Section 4.12.    Further Assurances    </w:t>
      </w:r>
      <w:r>
        <w:rPr>
          <w:rFonts w:ascii="Times New Roman;sans-serif" w:hAnsi="Times New Roman;sans-serif"/>
          <w:b w:val="false"/>
          <w:color w:val="000000"/>
          <w:sz w:val="24"/>
        </w:rPr>
        <w:t>16</w:t>
      </w:r>
    </w:p>
    <w:p>
      <w:pPr>
        <w:pStyle w:val="TextBody"/>
        <w:bidi w:val="0"/>
        <w:spacing w:lineRule="auto" w:line="240" w:before="281" w:after="283"/>
        <w:jc w:val="left"/>
        <w:rPr>
          <w:rFonts w:ascii="Times New Roman;sans-serif" w:hAnsi="Times New Roman;sans-serif"/>
          <w:b w:val="false"/>
          <w:color w:val="000000"/>
          <w:sz w:val="24"/>
        </w:rPr>
      </w:pPr>
      <w:r>
        <w:rPr>
          <w:rFonts w:ascii="Times New Roman;sans-serif" w:hAnsi="Times New Roman;sans-serif"/>
          <w:b w:val="false"/>
          <w:color w:val="000000"/>
          <w:sz w:val="24"/>
        </w:rPr>
        <w:t>SECTION 5. MISCELLANEOUS    16</w:t>
      </w:r>
    </w:p>
    <w:p>
      <w:pPr>
        <w:pStyle w:val="TextBody"/>
        <w:bidi w:val="0"/>
        <w:spacing w:lineRule="auto" w:line="240" w:before="127" w:after="283"/>
        <w:jc w:val="left"/>
        <w:rPr/>
      </w:pPr>
      <w:r>
        <w:rPr>
          <w:rFonts w:ascii="Times New Roman;sans-serif" w:hAnsi="Times New Roman;sans-serif"/>
          <w:b w:val="false"/>
          <w:i/>
          <w:color w:val="000000"/>
          <w:sz w:val="24"/>
        </w:rPr>
        <w:t>Section 5.01.    Notices    </w:t>
      </w:r>
      <w:r>
        <w:rPr>
          <w:rFonts w:ascii="Times New Roman;sans-serif" w:hAnsi="Times New Roman;sans-serif"/>
          <w:b w:val="false"/>
          <w:color w:val="000000"/>
          <w:sz w:val="24"/>
        </w:rPr>
        <w:t>16</w:t>
      </w:r>
    </w:p>
    <w:p>
      <w:pPr>
        <w:pStyle w:val="TextBody"/>
        <w:bidi w:val="0"/>
        <w:spacing w:lineRule="auto" w:line="240" w:before="2" w:after="283"/>
        <w:jc w:val="left"/>
        <w:rPr/>
      </w:pPr>
      <w:r>
        <w:rPr>
          <w:rFonts w:ascii="Times New Roman;sans-serif" w:hAnsi="Times New Roman;sans-serif"/>
          <w:b w:val="false"/>
          <w:i/>
          <w:color w:val="000000"/>
          <w:sz w:val="24"/>
        </w:rPr>
        <w:t>Section 5.02.    No Waiver    </w:t>
      </w:r>
      <w:r>
        <w:rPr>
          <w:rFonts w:ascii="Times New Roman;sans-serif" w:hAnsi="Times New Roman;sans-serif"/>
          <w:b w:val="false"/>
          <w:color w:val="000000"/>
          <w:sz w:val="24"/>
        </w:rPr>
        <w:t>16</w:t>
      </w:r>
    </w:p>
    <w:p>
      <w:pPr>
        <w:pStyle w:val="TextBody"/>
        <w:bidi w:val="0"/>
        <w:spacing w:lineRule="auto" w:line="240" w:before="8" w:after="283"/>
        <w:jc w:val="left"/>
        <w:rPr/>
      </w:pPr>
      <w:r>
        <w:rPr>
          <w:rFonts w:ascii="Times New Roman;sans-serif" w:hAnsi="Times New Roman;sans-serif"/>
          <w:b w:val="false"/>
          <w:i/>
          <w:color w:val="000000"/>
          <w:sz w:val="24"/>
        </w:rPr>
        <w:t>Section 5.03.    Amendments, Etc    </w:t>
      </w:r>
      <w:r>
        <w:rPr>
          <w:rFonts w:ascii="Times New Roman;sans-serif" w:hAnsi="Times New Roman;sans-serif"/>
          <w:b w:val="false"/>
          <w:color w:val="000000"/>
          <w:sz w:val="24"/>
        </w:rPr>
        <w:t>16</w:t>
      </w:r>
    </w:p>
    <w:p>
      <w:pPr>
        <w:pStyle w:val="TextBody"/>
        <w:bidi w:val="0"/>
        <w:spacing w:lineRule="auto" w:line="240" w:before="2" w:after="283"/>
        <w:jc w:val="left"/>
        <w:rPr/>
      </w:pPr>
      <w:r>
        <w:rPr>
          <w:rFonts w:ascii="Times New Roman;sans-serif" w:hAnsi="Times New Roman;sans-serif"/>
          <w:b w:val="false"/>
          <w:i/>
          <w:color w:val="000000"/>
          <w:sz w:val="24"/>
        </w:rPr>
        <w:t>Section 5.04.    Expenses    </w:t>
      </w:r>
      <w:r>
        <w:rPr>
          <w:rFonts w:ascii="Times New Roman;sans-serif" w:hAnsi="Times New Roman;sans-serif"/>
          <w:b w:val="false"/>
          <w:color w:val="000000"/>
          <w:sz w:val="24"/>
        </w:rPr>
        <w:t>16</w:t>
      </w:r>
    </w:p>
    <w:p>
      <w:pPr>
        <w:pStyle w:val="TextBody"/>
        <w:bidi w:val="0"/>
        <w:spacing w:lineRule="auto" w:line="240" w:before="3" w:after="283"/>
        <w:jc w:val="left"/>
        <w:rPr/>
      </w:pPr>
      <w:r>
        <w:rPr>
          <w:rFonts w:ascii="Times New Roman;sans-serif" w:hAnsi="Times New Roman;sans-serif"/>
          <w:b w:val="false"/>
          <w:i/>
          <w:color w:val="000000"/>
          <w:sz w:val="24"/>
        </w:rPr>
        <w:t>Section 5.05.    Successors and Assigns    </w:t>
      </w:r>
      <w:r>
        <w:rPr>
          <w:rFonts w:ascii="Times New Roman;sans-serif" w:hAnsi="Times New Roman;sans-serif"/>
          <w:b w:val="false"/>
          <w:color w:val="000000"/>
          <w:sz w:val="24"/>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603250"/>
                <wp:effectExtent l="0" t="0" r="0" b="0"/>
                <wp:wrapNone/>
                <wp:docPr id="174" name="Frame168"/>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41" w:after="283"/>
        <w:jc w:val="left"/>
        <w:rPr/>
      </w:pPr>
      <w:r>
        <w:rPr>
          <w:rFonts w:ascii="Times New Roman;sans-serif" w:hAnsi="Times New Roman;sans-serif"/>
          <w:b w:val="false"/>
          <w:i/>
          <w:color w:val="000000"/>
          <w:sz w:val="24"/>
        </w:rPr>
        <w:t>Section 5.06.    Counterparts    </w:t>
      </w:r>
      <w:r>
        <w:rPr>
          <w:rFonts w:ascii="Times New Roman;sans-serif" w:hAnsi="Times New Roman;sans-serif"/>
          <w:b w:val="false"/>
          <w:color w:val="000000"/>
          <w:sz w:val="24"/>
        </w:rPr>
        <w:t>17</w:t>
      </w:r>
    </w:p>
    <w:p>
      <w:pPr>
        <w:pStyle w:val="TextBody"/>
        <w:bidi w:val="0"/>
        <w:spacing w:lineRule="auto" w:line="240" w:before="3" w:after="283"/>
        <w:jc w:val="left"/>
        <w:rPr/>
      </w:pPr>
      <w:r>
        <w:rPr>
          <w:rFonts w:ascii="Times New Roman;sans-serif" w:hAnsi="Times New Roman;sans-serif"/>
          <w:b w:val="false"/>
          <w:i/>
          <w:color w:val="000000"/>
          <w:sz w:val="24"/>
        </w:rPr>
        <w:t>Section 5.07.    Governing Law; Submission to Jurisdiction; Etc    </w:t>
      </w:r>
      <w:r>
        <w:rPr>
          <w:rFonts w:ascii="Times New Roman;sans-serif" w:hAnsi="Times New Roman;sans-serif"/>
          <w:b w:val="false"/>
          <w:color w:val="000000"/>
          <w:sz w:val="24"/>
        </w:rPr>
        <w:t>17</w:t>
      </w:r>
    </w:p>
    <w:p>
      <w:pPr>
        <w:pStyle w:val="TextBody"/>
        <w:bidi w:val="0"/>
        <w:spacing w:lineRule="auto" w:line="240" w:before="7" w:after="283"/>
        <w:jc w:val="left"/>
        <w:rPr/>
      </w:pPr>
      <w:r>
        <w:rPr>
          <w:rFonts w:ascii="Times New Roman;sans-serif" w:hAnsi="Times New Roman;sans-serif"/>
          <w:b w:val="false"/>
          <w:i/>
          <w:color w:val="000000"/>
          <w:sz w:val="24"/>
        </w:rPr>
        <w:t>Section 5.08.    </w:t>
      </w:r>
      <w:r>
        <w:rPr>
          <w:rFonts w:ascii="Times New Roman;sans-serif" w:hAnsi="Times New Roman;sans-serif"/>
          <w:b/>
          <w:i/>
          <w:color w:val="000000"/>
          <w:sz w:val="24"/>
        </w:rPr>
        <w:t>WAIVER OF JURY TRIAL    </w:t>
      </w:r>
      <w:r>
        <w:rPr>
          <w:rFonts w:ascii="Times New Roman;sans-serif" w:hAnsi="Times New Roman;sans-serif"/>
          <w:b w:val="false"/>
          <w:color w:val="000000"/>
          <w:sz w:val="24"/>
        </w:rPr>
        <w:t>18</w:t>
      </w:r>
    </w:p>
    <w:p>
      <w:pPr>
        <w:pStyle w:val="TextBody"/>
        <w:bidi w:val="0"/>
        <w:spacing w:lineRule="auto" w:line="240" w:before="2" w:after="283"/>
        <w:jc w:val="left"/>
        <w:rPr/>
      </w:pPr>
      <w:r>
        <w:rPr>
          <w:rFonts w:ascii="Times New Roman;sans-serif" w:hAnsi="Times New Roman;sans-serif"/>
          <w:b w:val="false"/>
          <w:i/>
          <w:color w:val="000000"/>
          <w:sz w:val="24"/>
        </w:rPr>
        <w:t>Section 5.09.    Captions    </w:t>
      </w:r>
      <w:r>
        <w:rPr>
          <w:rFonts w:ascii="Times New Roman;sans-serif" w:hAnsi="Times New Roman;sans-serif"/>
          <w:b w:val="false"/>
          <w:color w:val="000000"/>
          <w:sz w:val="24"/>
        </w:rPr>
        <w:t>18</w:t>
      </w:r>
    </w:p>
    <w:p>
      <w:pPr>
        <w:pStyle w:val="TextBody"/>
        <w:bidi w:val="0"/>
        <w:spacing w:lineRule="auto" w:line="240" w:before="3" w:after="283"/>
        <w:jc w:val="left"/>
        <w:rPr/>
      </w:pPr>
      <w:r>
        <w:rPr>
          <w:rFonts w:ascii="Times New Roman;sans-serif" w:hAnsi="Times New Roman;sans-serif"/>
          <w:b w:val="false"/>
          <w:i/>
          <w:color w:val="000000"/>
          <w:sz w:val="24"/>
        </w:rPr>
        <w:t>Section 5.10.    Agents and Attorneys in Fact    </w:t>
      </w:r>
      <w:r>
        <w:rPr>
          <w:rFonts w:ascii="Times New Roman;sans-serif" w:hAnsi="Times New Roman;sans-serif"/>
          <w:b w:val="false"/>
          <w:color w:val="000000"/>
          <w:sz w:val="24"/>
        </w:rPr>
        <w:t>18</w:t>
      </w:r>
    </w:p>
    <w:p>
      <w:pPr>
        <w:pStyle w:val="TextBody"/>
        <w:bidi w:val="0"/>
        <w:spacing w:lineRule="auto" w:line="240" w:before="7" w:after="283"/>
        <w:jc w:val="left"/>
        <w:rPr/>
      </w:pPr>
      <w:r>
        <w:rPr>
          <w:rFonts w:ascii="Times New Roman;sans-serif" w:hAnsi="Times New Roman;sans-serif"/>
          <w:b w:val="false"/>
          <w:i/>
          <w:color w:val="000000"/>
          <w:sz w:val="24"/>
        </w:rPr>
        <w:t>Section 5.11.    Severability    </w:t>
      </w:r>
      <w:r>
        <w:rPr>
          <w:rFonts w:ascii="Times New Roman;sans-serif" w:hAnsi="Times New Roman;sans-serif"/>
          <w:b w:val="false"/>
          <w:color w:val="000000"/>
          <w:sz w:val="24"/>
        </w:rPr>
        <w:t>18</w:t>
      </w:r>
    </w:p>
    <w:p>
      <w:pPr>
        <w:pStyle w:val="TextBody"/>
        <w:bidi w:val="0"/>
        <w:spacing w:lineRule="auto" w:line="240" w:before="2" w:after="283"/>
        <w:jc w:val="left"/>
        <w:rPr/>
      </w:pPr>
      <w:r>
        <w:rPr>
          <w:rFonts w:ascii="Times New Roman;sans-serif" w:hAnsi="Times New Roman;sans-serif"/>
          <w:b w:val="false"/>
          <w:i/>
          <w:color w:val="000000"/>
          <w:sz w:val="24"/>
        </w:rPr>
        <w:t>Section 5.12.    Additional Grantors    </w:t>
      </w:r>
      <w:r>
        <w:rPr>
          <w:rFonts w:ascii="Times New Roman;sans-serif" w:hAnsi="Times New Roman;sans-serif"/>
          <w:b w:val="false"/>
          <w:color w:val="000000"/>
          <w:sz w:val="24"/>
        </w:rPr>
        <w:t>18</w:t>
      </w:r>
    </w:p>
    <w:p>
      <w:pPr>
        <w:pStyle w:val="TextBody"/>
        <w:bidi w:val="0"/>
        <w:spacing w:before="0" w:after="0"/>
        <w:jc w:val="left"/>
        <w:rPr/>
      </w:pPr>
      <w:r>
        <w:rPr/>
      </w:r>
    </w:p>
    <w:p>
      <w:pPr>
        <w:pStyle w:val="TextBody"/>
        <w:bidi w:val="0"/>
        <w:spacing w:before="7"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Exhibits:</w:t>
      </w:r>
    </w:p>
    <w:p>
      <w:pPr>
        <w:pStyle w:val="TextBody"/>
        <w:bidi w:val="0"/>
        <w:spacing w:before="9"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E</w:t>
      </w:r>
      <w:r>
        <w:rPr>
          <w:rFonts w:ascii="Times New Roman;sans-serif" w:hAnsi="Times New Roman;sans-serif"/>
          <w:b w:val="false"/>
          <w:color w:val="000000"/>
          <w:sz w:val="19"/>
        </w:rPr>
        <w:t xml:space="preserve">XHIBIT </w:t>
      </w:r>
      <w:r>
        <w:rPr>
          <w:rFonts w:ascii="Times New Roman;sans-serif" w:hAnsi="Times New Roman;sans-serif"/>
          <w:b w:val="false"/>
          <w:color w:val="000000"/>
          <w:sz w:val="24"/>
        </w:rPr>
        <w:t>A    —    Form of Joinder</w:t>
      </w:r>
    </w:p>
    <w:p>
      <w:pPr>
        <w:pStyle w:val="TextBody"/>
        <w:bidi w:val="0"/>
        <w:spacing w:before="0" w:after="0"/>
        <w:jc w:val="left"/>
        <w:rPr/>
      </w:pPr>
      <w:r>
        <w:rPr/>
      </w:r>
    </w:p>
    <w:p>
      <w:pPr>
        <w:pStyle w:val="TextBody"/>
        <w:bidi w:val="0"/>
        <w:spacing w:before="0" w:after="0"/>
        <w:jc w:val="left"/>
        <w:rPr/>
      </w:pPr>
      <w:r>
        <w:rPr/>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Schedules:</w:t>
      </w:r>
    </w:p>
    <w:p>
      <w:pPr>
        <w:pStyle w:val="TextBody"/>
        <w:bidi w:val="0"/>
        <w:spacing w:before="3" w:after="283"/>
        <w:jc w:val="left"/>
        <w:rPr/>
      </w:pPr>
      <w:r>
        <w:rPr/>
      </w:r>
    </w:p>
    <w:p>
      <w:pPr>
        <w:pStyle w:val="TextBody"/>
        <w:bidi w:val="0"/>
        <w:spacing w:lineRule="auto" w:line="280" w:before="0" w:after="0"/>
        <w:jc w:val="left"/>
        <w:rPr/>
      </w:pPr>
      <w:r>
        <w:rPr>
          <w:rFonts w:ascii="Times New Roman;sans-serif" w:hAnsi="Times New Roman;sans-serif"/>
          <w:b w:val="false"/>
          <w:color w:val="000000"/>
          <w:sz w:val="24"/>
        </w:rPr>
        <w:t>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1    —    Certain Grantor Information 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2    —    Pledged Shares</w:t>
      </w:r>
    </w:p>
    <w:p>
      <w:pPr>
        <w:pStyle w:val="TextBody"/>
        <w:bidi w:val="0"/>
        <w:spacing w:lineRule="auto" w:line="307" w:before="0" w:after="0"/>
        <w:jc w:val="left"/>
        <w:rPr/>
      </w:pPr>
      <w:r>
        <w:rPr>
          <w:rFonts w:ascii="Times New Roman;sans-serif" w:hAnsi="Times New Roman;sans-serif"/>
          <w:b w:val="false"/>
          <w:color w:val="000000"/>
          <w:sz w:val="24"/>
        </w:rPr>
        <w:t>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3    —    Promissory Notes</w:t>
      </w:r>
    </w:p>
    <w:p>
      <w:pPr>
        <w:pStyle w:val="TextBody"/>
        <w:bidi w:val="0"/>
        <w:spacing w:lineRule="auto" w:line="280" w:before="7" w:after="283"/>
        <w:ind w:left="0" w:right="0" w:hanging="2160"/>
        <w:jc w:val="both"/>
        <w:rPr/>
      </w:pPr>
      <w:r>
        <w:rPr>
          <w:rFonts w:ascii="Times New Roman;sans-serif" w:hAnsi="Times New Roman;sans-serif"/>
          <w:b w:val="false"/>
          <w:color w:val="000000"/>
          <w:sz w:val="24"/>
        </w:rPr>
        <w:t>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4 — Copyrights, Copyright Registrations and Applications for Copyright Registrations</w:t>
      </w:r>
    </w:p>
    <w:p>
      <w:pPr>
        <w:pStyle w:val="TextBody"/>
        <w:bidi w:val="0"/>
        <w:spacing w:lineRule="auto" w:line="307" w:before="0" w:after="0"/>
        <w:jc w:val="both"/>
        <w:rPr/>
      </w:pPr>
      <w:r>
        <w:rPr>
          <w:rFonts w:ascii="Times New Roman;sans-serif" w:hAnsi="Times New Roman;sans-serif"/>
          <w:b w:val="false"/>
          <w:color w:val="000000"/>
          <w:sz w:val="24"/>
        </w:rPr>
        <w:t>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5 — Patents and Patent Applications</w:t>
      </w:r>
    </w:p>
    <w:p>
      <w:pPr>
        <w:pStyle w:val="TextBody"/>
        <w:bidi w:val="0"/>
        <w:spacing w:lineRule="auto" w:line="280" w:before="8" w:after="283"/>
        <w:ind w:left="0" w:right="0" w:hanging="2160"/>
        <w:jc w:val="both"/>
        <w:rPr/>
      </w:pPr>
      <w:r>
        <w:rPr>
          <w:rFonts w:ascii="Times New Roman;sans-serif" w:hAnsi="Times New Roman;sans-serif"/>
          <w:b w:val="false"/>
          <w:color w:val="000000"/>
          <w:sz w:val="24"/>
        </w:rPr>
        <w:t>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6 — Trade Names, Trademarks, Services Marks, Trademark and Service Mark Registrations and Applications for Trademark and Service Mark Registrations</w:t>
      </w:r>
    </w:p>
    <w:p>
      <w:pPr>
        <w:pStyle w:val="TextBody"/>
        <w:bidi w:val="0"/>
        <w:spacing w:lineRule="auto" w:line="280" w:before="3" w:after="283"/>
        <w:jc w:val="both"/>
        <w:rPr/>
      </w:pPr>
      <w:r>
        <w:rPr>
          <w:rFonts w:ascii="Times New Roman;sans-serif" w:hAnsi="Times New Roman;sans-serif"/>
          <w:b w:val="false"/>
          <w:color w:val="000000"/>
          <w:sz w:val="24"/>
        </w:rPr>
        <w:t>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7 — Deposit Accounts, Securities Accounts and Commodity Accounts S</w:t>
      </w:r>
      <w:r>
        <w:rPr>
          <w:rFonts w:ascii="Times New Roman;sans-serif" w:hAnsi="Times New Roman;sans-serif"/>
          <w:b w:val="false"/>
          <w:color w:val="000000"/>
          <w:sz w:val="19"/>
        </w:rPr>
        <w:t xml:space="preserve">CHEDULE </w:t>
      </w:r>
      <w:r>
        <w:rPr>
          <w:rFonts w:ascii="Times New Roman;sans-serif" w:hAnsi="Times New Roman;sans-serif"/>
          <w:b w:val="false"/>
          <w:color w:val="000000"/>
          <w:sz w:val="24"/>
        </w:rPr>
        <w:t>8 — Commercial Tort Claims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603250"/>
                <wp:effectExtent l="0" t="0" r="0" b="0"/>
                <wp:wrapNone/>
                <wp:docPr id="175" name="Frame169"/>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-ii-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41" w:after="283"/>
        <w:jc w:val="left"/>
        <w:rPr>
          <w:rFonts w:ascii="Times New Roman;sans-serif" w:hAnsi="Times New Roman;sans-serif"/>
          <w:b/>
          <w:color w:val="000000"/>
          <w:sz w:val="24"/>
        </w:rPr>
      </w:pPr>
      <w:r>
        <w:rPr>
          <w:rFonts w:ascii="Times New Roman;sans-serif" w:hAnsi="Times New Roman;sans-serif"/>
          <w:b/>
          <w:color w:val="000000"/>
          <w:sz w:val="24"/>
        </w:rPr>
        <w:t>SECURITY AGREEMENT</w:t>
      </w:r>
    </w:p>
    <w:p>
      <w:pPr>
        <w:pStyle w:val="TextBody"/>
        <w:bidi w:val="0"/>
        <w:spacing w:before="5"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This S</w:t>
      </w:r>
      <w:r>
        <w:rPr>
          <w:rFonts w:ascii="Times New Roman;sans-serif" w:hAnsi="Times New Roman;sans-serif"/>
          <w:b w:val="false"/>
          <w:color w:val="000000"/>
          <w:sz w:val="19"/>
        </w:rPr>
        <w:t xml:space="preserve">ECURITY </w:t>
      </w:r>
      <w:r>
        <w:rPr>
          <w:rFonts w:ascii="Times New Roman;sans-serif" w:hAnsi="Times New Roman;sans-serif"/>
          <w:b w:val="false"/>
          <w:color w:val="000000"/>
          <w:sz w:val="24"/>
        </w:rPr>
        <w:t>A</w:t>
      </w:r>
      <w:r>
        <w:rPr>
          <w:rFonts w:ascii="Times New Roman;sans-serif" w:hAnsi="Times New Roman;sans-serif"/>
          <w:b w:val="false"/>
          <w:color w:val="000000"/>
          <w:sz w:val="19"/>
        </w:rPr>
        <w:t xml:space="preserve">GREEMENT </w:t>
      </w:r>
      <w:r>
        <w:rPr>
          <w:rFonts w:ascii="Times New Roman;sans-serif" w:hAnsi="Times New Roman;sans-serif"/>
          <w:b w:val="false"/>
          <w:color w:val="000000"/>
          <w:sz w:val="24"/>
        </w:rPr>
        <w:t>(as amended, restated, amended and restated, supplemented or otherwise modified from time to time, this “</w:t>
      </w:r>
      <w:r>
        <w:rPr>
          <w:rFonts w:ascii="Times New Roman;sans-serif" w:hAnsi="Times New Roman;sans-serif"/>
          <w:b w:val="false"/>
          <w:i/>
          <w:color w:val="000000"/>
          <w:sz w:val="24"/>
        </w:rPr>
        <w:t>Agreement</w:t>
      </w:r>
      <w:r>
        <w:rPr>
          <w:color w:val="000000"/>
        </w:rPr>
        <w:t>”</w:t>
      </w:r>
      <w:r>
        <w:rPr>
          <w:rFonts w:ascii="Times New Roman;sans-serif" w:hAnsi="Times New Roman;sans-serif"/>
          <w:b w:val="false"/>
          <w:color w:val="000000"/>
          <w:sz w:val="24"/>
        </w:rPr>
        <w:t>), dated as of October 27, 2023, is made by and among S</w:t>
      </w:r>
      <w:r>
        <w:rPr>
          <w:rFonts w:ascii="Times New Roman;sans-serif" w:hAnsi="Times New Roman;sans-serif"/>
          <w:b w:val="false"/>
          <w:color w:val="000000"/>
          <w:sz w:val="19"/>
        </w:rPr>
        <w:t>EMA</w:t>
      </w:r>
      <w:r>
        <w:rPr>
          <w:rFonts w:ascii="Times New Roman;sans-serif" w:hAnsi="Times New Roman;sans-serif"/>
          <w:b w:val="false"/>
          <w:color w:val="000000"/>
          <w:sz w:val="24"/>
        </w:rPr>
        <w:t>4 O</w:t>
      </w:r>
      <w:r>
        <w:rPr>
          <w:rFonts w:ascii="Times New Roman;sans-serif" w:hAnsi="Times New Roman;sans-serif"/>
          <w:b w:val="false"/>
          <w:color w:val="000000"/>
          <w:sz w:val="19"/>
        </w:rPr>
        <w:t>P</w:t>
      </w:r>
      <w:r>
        <w:rPr>
          <w:rFonts w:ascii="Times New Roman;sans-serif" w:hAnsi="Times New Roman;sans-serif"/>
          <w:b w:val="false"/>
          <w:color w:val="000000"/>
          <w:sz w:val="24"/>
        </w:rPr>
        <w:t>C</w:t>
      </w:r>
      <w:r>
        <w:rPr>
          <w:rFonts w:ascii="Times New Roman;sans-serif" w:hAnsi="Times New Roman;sans-serif"/>
          <w:b w:val="false"/>
          <w:color w:val="000000"/>
          <w:sz w:val="19"/>
        </w:rPr>
        <w:t>O</w:t>
      </w:r>
      <w:r>
        <w:rPr>
          <w:rFonts w:ascii="Times New Roman;sans-serif" w:hAnsi="Times New Roman;sans-serif"/>
          <w:b w:val="false"/>
          <w:color w:val="000000"/>
          <w:sz w:val="24"/>
        </w:rPr>
        <w:t>, I</w:t>
      </w:r>
      <w:r>
        <w:rPr>
          <w:rFonts w:ascii="Times New Roman;sans-serif" w:hAnsi="Times New Roman;sans-serif"/>
          <w:b w:val="false"/>
          <w:color w:val="000000"/>
          <w:sz w:val="19"/>
        </w:rPr>
        <w:t>NC</w:t>
      </w:r>
      <w:r>
        <w:rPr>
          <w:rFonts w:ascii="Times New Roman;sans-serif" w:hAnsi="Times New Roman;sans-serif"/>
          <w:b w:val="false"/>
          <w:color w:val="000000"/>
          <w:sz w:val="24"/>
        </w:rPr>
        <w:t>. (f/k/a Mount Sinai Genomics, Inc.), a Delaware corporation (</w:t>
      </w:r>
      <w:r>
        <w:rPr>
          <w:color w:val="000000"/>
        </w:rPr>
        <w:t>“</w:t>
      </w:r>
      <w:r>
        <w:rPr>
          <w:rFonts w:ascii="Times New Roman;sans-serif" w:hAnsi="Times New Roman;sans-serif"/>
          <w:b w:val="false"/>
          <w:i/>
          <w:color w:val="000000"/>
          <w:sz w:val="24"/>
        </w:rPr>
        <w:t>Sema4”</w:t>
      </w:r>
      <w:r>
        <w:rPr>
          <w:rFonts w:ascii="Times New Roman;sans-serif" w:hAnsi="Times New Roman;sans-serif"/>
          <w:b w:val="false"/>
          <w:color w:val="000000"/>
          <w:sz w:val="24"/>
        </w:rPr>
        <w:t>), G</w:t>
      </w:r>
      <w:r>
        <w:rPr>
          <w:rFonts w:ascii="Times New Roman;sans-serif" w:hAnsi="Times New Roman;sans-serif"/>
          <w:b w:val="false"/>
          <w:color w:val="000000"/>
          <w:sz w:val="19"/>
        </w:rPr>
        <w:t>ENE</w:t>
      </w:r>
      <w:r>
        <w:rPr>
          <w:rFonts w:ascii="Times New Roman;sans-serif" w:hAnsi="Times New Roman;sans-serif"/>
          <w:b w:val="false"/>
          <w:color w:val="000000"/>
          <w:sz w:val="24"/>
        </w:rPr>
        <w:t>D</w:t>
      </w:r>
      <w:r>
        <w:rPr>
          <w:rFonts w:ascii="Times New Roman;sans-serif" w:hAnsi="Times New Roman;sans-serif"/>
          <w:b w:val="false"/>
          <w:color w:val="000000"/>
          <w:sz w:val="19"/>
        </w:rPr>
        <w:t>X</w:t>
      </w:r>
      <w:r>
        <w:rPr>
          <w:rFonts w:ascii="Times New Roman;sans-serif" w:hAnsi="Times New Roman;sans-serif"/>
          <w:b w:val="false"/>
          <w:color w:val="000000"/>
          <w:sz w:val="24"/>
        </w:rPr>
        <w:t>, LLC (f/k/a GeneDx, Inc.), a Delaware limited liability company (</w:t>
      </w:r>
      <w:r>
        <w:rPr>
          <w:color w:val="000000"/>
        </w:rPr>
        <w:t>“</w:t>
      </w:r>
      <w:r>
        <w:rPr>
          <w:rFonts w:ascii="Times New Roman;sans-serif" w:hAnsi="Times New Roman;sans-serif"/>
          <w:b w:val="false"/>
          <w:i/>
          <w:color w:val="000000"/>
          <w:sz w:val="24"/>
        </w:rPr>
        <w:t xml:space="preserve">GeneDx, LLC” </w:t>
      </w:r>
      <w:r>
        <w:rPr>
          <w:rFonts w:ascii="Times New Roman;sans-serif" w:hAnsi="Times New Roman;sans-serif"/>
          <w:b w:val="false"/>
          <w:color w:val="000000"/>
          <w:sz w:val="24"/>
        </w:rPr>
        <w:t xml:space="preserve">and together with Sema4, each a </w:t>
      </w:r>
      <w:r>
        <w:rPr>
          <w:color w:val="000000"/>
        </w:rPr>
        <w:t>“</w:t>
      </w:r>
      <w:r>
        <w:rPr>
          <w:rFonts w:ascii="Times New Roman;sans-serif" w:hAnsi="Times New Roman;sans-serif"/>
          <w:b w:val="false"/>
          <w:i/>
          <w:color w:val="000000"/>
          <w:sz w:val="24"/>
        </w:rPr>
        <w:t>Borrower”</w:t>
      </w:r>
      <w:r>
        <w:rPr>
          <w:rFonts w:ascii="Times New Roman;sans-serif" w:hAnsi="Times New Roman;sans-serif"/>
          <w:b w:val="false"/>
          <w:color w:val="000000"/>
          <w:sz w:val="24"/>
        </w:rPr>
        <w:t xml:space="preserve">), the grantors listed on the signature pages hereto as of the date hereof (collectively with the </w:t>
      </w:r>
      <w:r>
        <w:rPr>
          <w:color w:val="000000"/>
        </w:rPr>
        <w:t>“</w:t>
      </w:r>
      <w:r>
        <w:rPr>
          <w:rFonts w:ascii="Times New Roman;sans-serif" w:hAnsi="Times New Roman;sans-serif"/>
          <w:b w:val="false"/>
          <w:i/>
          <w:color w:val="000000"/>
          <w:sz w:val="24"/>
        </w:rPr>
        <w:t xml:space="preserve">Borrowers” </w:t>
      </w:r>
      <w:r>
        <w:rPr>
          <w:rFonts w:ascii="Times New Roman;sans-serif" w:hAnsi="Times New Roman;sans-serif"/>
          <w:b w:val="false"/>
          <w:color w:val="000000"/>
          <w:sz w:val="24"/>
        </w:rPr>
        <w:t xml:space="preserve">and each entity that becomes a </w:t>
      </w:r>
      <w:r>
        <w:rPr>
          <w:color w:val="000000"/>
        </w:rPr>
        <w:t>“</w:t>
      </w:r>
      <w:r>
        <w:rPr>
          <w:rFonts w:ascii="Times New Roman;sans-serif" w:hAnsi="Times New Roman;sans-serif"/>
          <w:b w:val="false"/>
          <w:i/>
          <w:color w:val="000000"/>
          <w:sz w:val="24"/>
        </w:rPr>
        <w:t xml:space="preserve">Grantor” </w:t>
      </w:r>
      <w:r>
        <w:rPr>
          <w:rFonts w:ascii="Times New Roman;sans-serif" w:hAnsi="Times New Roman;sans-serif"/>
          <w:b w:val="false"/>
          <w:color w:val="000000"/>
          <w:sz w:val="24"/>
        </w:rPr>
        <w:t xml:space="preserve">hereunder as contemplated by Section 5.12, each, a </w:t>
      </w:r>
      <w:r>
        <w:rPr>
          <w:color w:val="000000"/>
        </w:rPr>
        <w:t>“</w:t>
      </w:r>
      <w:r>
        <w:rPr>
          <w:rFonts w:ascii="Times New Roman;sans-serif" w:hAnsi="Times New Roman;sans-serif"/>
          <w:b w:val="false"/>
          <w:i/>
          <w:color w:val="000000"/>
          <w:sz w:val="24"/>
        </w:rPr>
        <w:t>Grantor”</w:t>
      </w:r>
      <w:r>
        <w:rPr>
          <w:rFonts w:ascii="Times New Roman;sans-serif" w:hAnsi="Times New Roman;sans-serif"/>
          <w:b w:val="false"/>
          <w:color w:val="000000"/>
          <w:sz w:val="24"/>
        </w:rPr>
        <w:t xml:space="preserve">, and collectively, the </w:t>
      </w:r>
      <w:r>
        <w:rPr>
          <w:color w:val="000000"/>
        </w:rPr>
        <w:t>“</w:t>
      </w:r>
      <w:r>
        <w:rPr>
          <w:rFonts w:ascii="Times New Roman;sans-serif" w:hAnsi="Times New Roman;sans-serif"/>
          <w:b w:val="false"/>
          <w:i/>
          <w:color w:val="000000"/>
          <w:sz w:val="24"/>
        </w:rPr>
        <w:t>Grantors”</w:t>
      </w:r>
      <w:r>
        <w:rPr>
          <w:rFonts w:ascii="Times New Roman;sans-serif" w:hAnsi="Times New Roman;sans-serif"/>
          <w:b w:val="false"/>
          <w:color w:val="000000"/>
          <w:sz w:val="24"/>
        </w:rPr>
        <w:t>), and P</w:t>
      </w:r>
      <w:r>
        <w:rPr>
          <w:rFonts w:ascii="Times New Roman;sans-serif" w:hAnsi="Times New Roman;sans-serif"/>
          <w:b w:val="false"/>
          <w:color w:val="000000"/>
          <w:sz w:val="19"/>
        </w:rPr>
        <w:t xml:space="preserve">ERCEPTIVE </w:t>
      </w:r>
      <w:r>
        <w:rPr>
          <w:rFonts w:ascii="Times New Roman;sans-serif" w:hAnsi="Times New Roman;sans-serif"/>
          <w:b w:val="false"/>
          <w:color w:val="000000"/>
          <w:sz w:val="24"/>
        </w:rPr>
        <w:t>C</w:t>
      </w:r>
      <w:r>
        <w:rPr>
          <w:rFonts w:ascii="Times New Roman;sans-serif" w:hAnsi="Times New Roman;sans-serif"/>
          <w:b w:val="false"/>
          <w:color w:val="000000"/>
          <w:sz w:val="19"/>
        </w:rPr>
        <w:t xml:space="preserve">REDIT </w:t>
      </w:r>
      <w:r>
        <w:rPr>
          <w:rFonts w:ascii="Times New Roman;sans-serif" w:hAnsi="Times New Roman;sans-serif"/>
          <w:b w:val="false"/>
          <w:color w:val="000000"/>
          <w:sz w:val="24"/>
        </w:rPr>
        <w:t>H</w:t>
      </w:r>
      <w:r>
        <w:rPr>
          <w:rFonts w:ascii="Times New Roman;sans-serif" w:hAnsi="Times New Roman;sans-serif"/>
          <w:b w:val="false"/>
          <w:color w:val="000000"/>
          <w:sz w:val="19"/>
        </w:rPr>
        <w:t xml:space="preserve">OLDINGS </w:t>
      </w:r>
      <w:r>
        <w:rPr>
          <w:rFonts w:ascii="Times New Roman;sans-serif" w:hAnsi="Times New Roman;sans-serif"/>
          <w:b w:val="false"/>
          <w:color w:val="000000"/>
          <w:sz w:val="24"/>
        </w:rPr>
        <w:t xml:space="preserve">IV, LP, a Delaware limited partnership, as administrative agent (in such capacity, the </w:t>
      </w:r>
      <w:r>
        <w:rPr>
          <w:color w:val="000000"/>
        </w:rPr>
        <w:t>“</w:t>
      </w:r>
      <w:r>
        <w:rPr>
          <w:rFonts w:ascii="Times New Roman;sans-serif" w:hAnsi="Times New Roman;sans-serif"/>
          <w:b w:val="false"/>
          <w:i/>
          <w:color w:val="000000"/>
          <w:sz w:val="24"/>
        </w:rPr>
        <w:t>Administrative Agent”</w:t>
      </w:r>
      <w:r>
        <w:rPr>
          <w:rFonts w:ascii="Times New Roman;sans-serif" w:hAnsi="Times New Roman;sans-serif"/>
          <w:b w:val="false"/>
          <w:color w:val="000000"/>
          <w:sz w:val="24"/>
        </w:rPr>
        <w:t>) for the Secured Parties.</w:t>
      </w:r>
    </w:p>
    <w:p>
      <w:pPr>
        <w:pStyle w:val="TextBody"/>
        <w:bidi w:val="0"/>
        <w:spacing w:before="0" w:after="0"/>
        <w:jc w:val="left"/>
        <w:rPr/>
      </w:pPr>
      <w:r>
        <w:rPr/>
      </w:r>
    </w:p>
    <w:p>
      <w:pPr>
        <w:pStyle w:val="TextBody"/>
        <w:bidi w:val="0"/>
        <w:spacing w:lineRule="auto" w:line="285"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Secured Parties have agreed to provide term loans to Borrowers, as provided in the Credit Agreement (as defined below).</w:t>
      </w:r>
    </w:p>
    <w:p>
      <w:pPr>
        <w:pStyle w:val="TextBody"/>
        <w:bidi w:val="0"/>
        <w:spacing w:before="6" w:after="283"/>
        <w:jc w:val="left"/>
        <w:rPr/>
      </w:pPr>
      <w:r>
        <w:rPr/>
      </w:r>
    </w:p>
    <w:p>
      <w:pPr>
        <w:pStyle w:val="TextBody"/>
        <w:bidi w:val="0"/>
        <w:spacing w:lineRule="auto" w:line="285"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Grantor (other than Borrowers) has guaranteed the obligations of Borrowers to the Secured Parties under the Credit Agreement.</w:t>
      </w:r>
    </w:p>
    <w:p>
      <w:pPr>
        <w:pStyle w:val="TextBody"/>
        <w:bidi w:val="0"/>
        <w:spacing w:before="6" w:after="283"/>
        <w:jc w:val="left"/>
        <w:rPr/>
      </w:pPr>
      <w:r>
        <w:rPr/>
      </w:r>
    </w:p>
    <w:p>
      <w:pPr>
        <w:pStyle w:val="TextBody"/>
        <w:bidi w:val="0"/>
        <w:spacing w:lineRule="auto" w:line="283"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To induce the Secured Parties to extend credit under the Credit Agreement, and for other good and valuable consideration, the receipt and sufficiency of which are hereby acknowledged, each Grantor has agreed to grant a security interest in the Collateral (as defined below) of such Grantor as security for the Secured Obligations (as defined below).</w:t>
      </w:r>
    </w:p>
    <w:p>
      <w:pPr>
        <w:pStyle w:val="TextBody"/>
        <w:bidi w:val="0"/>
        <w:spacing w:before="11" w:after="283"/>
        <w:jc w:val="left"/>
        <w:rPr/>
      </w:pPr>
      <w:r>
        <w:rPr/>
      </w:r>
    </w:p>
    <w:p>
      <w:pPr>
        <w:pStyle w:val="TextBody"/>
        <w:bidi w:val="0"/>
        <w:spacing w:lineRule="auto" w:line="643"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Accordingly, the parties hereto agree as follows: SECTION 1. DEFINITIONS, ETC.</w:t>
      </w:r>
    </w:p>
    <w:p>
      <w:pPr>
        <w:pStyle w:val="TextBody"/>
        <w:bidi w:val="0"/>
        <w:spacing w:lineRule="auto" w:line="201" w:before="0" w:after="0"/>
        <w:jc w:val="both"/>
        <w:rPr/>
      </w:pPr>
      <w:r>
        <w:rPr>
          <w:rFonts w:ascii="Times New Roman;sans-serif" w:hAnsi="Times New Roman;sans-serif"/>
          <w:b w:val="false"/>
          <w:i/>
          <w:color w:val="000000"/>
          <w:sz w:val="24"/>
        </w:rPr>
        <w:t xml:space="preserve">Section 1.01. Certain Uniform Commercial Code Terms. </w:t>
      </w:r>
      <w:r>
        <w:rPr>
          <w:rFonts w:ascii="Times New Roman;sans-serif" w:hAnsi="Times New Roman;sans-serif"/>
          <w:b w:val="false"/>
          <w:color w:val="000000"/>
          <w:sz w:val="24"/>
        </w:rPr>
        <w:t>As used herein, the terms</w:t>
      </w:r>
    </w:p>
    <w:p>
      <w:pPr>
        <w:pStyle w:val="TextBody"/>
        <w:bidi w:val="0"/>
        <w:spacing w:lineRule="auto" w:line="280" w:before="7" w:after="283"/>
        <w:jc w:val="both"/>
        <w:rPr/>
      </w:pPr>
      <w:r>
        <w:rPr>
          <w:color w:val="000000"/>
        </w:rPr>
        <w:t>“</w:t>
      </w:r>
      <w:r>
        <w:rPr>
          <w:rFonts w:ascii="Times New Roman;sans-serif" w:hAnsi="Times New Roman;sans-serif"/>
          <w:b w:val="false"/>
          <w:i/>
          <w:color w:val="000000"/>
          <w:sz w:val="24"/>
        </w:rPr>
        <w:t>Accession</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Account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Account Debtor</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Cash Proceeds</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Certificate of Title</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Certificated Security</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Chattel Paper</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Check</w:t>
      </w:r>
      <w:r>
        <w:rPr>
          <w:rFonts w:ascii="Times New Roman;sans-serif" w:hAnsi="Times New Roman;sans-serif"/>
          <w:b w:val="false"/>
          <w:color w:val="000000"/>
          <w:sz w:val="24"/>
        </w:rPr>
        <w:t>,” “</w:t>
      </w:r>
      <w:r>
        <w:rPr>
          <w:rFonts w:ascii="Times New Roman;sans-serif" w:hAnsi="Times New Roman;sans-serif"/>
          <w:b w:val="false"/>
          <w:i/>
          <w:color w:val="000000"/>
          <w:sz w:val="24"/>
        </w:rPr>
        <w:t>Commercial Tort Claim</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Commodity Account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Commodity Contract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Deposit Account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Document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Electronic Chattel Paper</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Encumbrance</w:t>
      </w:r>
      <w:r>
        <w:rPr>
          <w:rFonts w:ascii="Times New Roman;sans-serif" w:hAnsi="Times New Roman;sans-serif"/>
          <w:b w:val="false"/>
          <w:color w:val="000000"/>
          <w:sz w:val="24"/>
        </w:rPr>
        <w:t>,” “</w:t>
      </w:r>
      <w:r>
        <w:rPr>
          <w:rFonts w:ascii="Times New Roman;sans-serif" w:hAnsi="Times New Roman;sans-serif"/>
          <w:b w:val="false"/>
          <w:i/>
          <w:color w:val="000000"/>
          <w:sz w:val="24"/>
        </w:rPr>
        <w:t>Entitlement Holder</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Equipment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Financial Asset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Fixture</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General Intangible</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Goods</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Instrument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Inventory</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Investment Property</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Letter of Credit Rights</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Noncash Proceeds</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Payment Intangibles</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Proceeds</w:t>
      </w:r>
      <w:r>
        <w:rPr>
          <w:rFonts w:ascii="Times New Roman;sans-serif" w:hAnsi="Times New Roman;sans-serif"/>
          <w:b w:val="false"/>
          <w:color w:val="000000"/>
          <w:sz w:val="24"/>
        </w:rPr>
        <w:t>,” “</w:t>
      </w:r>
      <w:r>
        <w:rPr>
          <w:rFonts w:ascii="Times New Roman;sans-serif" w:hAnsi="Times New Roman;sans-serif"/>
          <w:b w:val="false"/>
          <w:i/>
          <w:color w:val="000000"/>
          <w:sz w:val="24"/>
        </w:rPr>
        <w:t>Promissory Note</w:t>
      </w:r>
      <w:r>
        <w:rPr>
          <w:rFonts w:ascii="Times New Roman;sans-serif" w:hAnsi="Times New Roman;sans-serif"/>
          <w:b w:val="false"/>
          <w:color w:val="000000"/>
          <w:sz w:val="24"/>
        </w:rPr>
        <w:t>,” “</w:t>
      </w:r>
      <w:r>
        <w:rPr>
          <w:rFonts w:ascii="Times New Roman;sans-serif" w:hAnsi="Times New Roman;sans-serif"/>
          <w:b w:val="false"/>
          <w:i/>
          <w:color w:val="000000"/>
          <w:sz w:val="24"/>
        </w:rPr>
        <w:t>Record</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Securities Account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Security</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Security Entitlement</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Software</w:t>
      </w:r>
      <w:r>
        <w:rPr>
          <w:color w:val="000000"/>
        </w:rPr>
        <w:t>”</w:t>
      </w:r>
      <w:r>
        <w:rPr>
          <w:rFonts w:ascii="Times New Roman;sans-serif" w:hAnsi="Times New Roman;sans-serif"/>
          <w:b w:val="false"/>
          <w:color w:val="000000"/>
          <w:sz w:val="24"/>
        </w:rPr>
        <w:t>, “</w:t>
      </w:r>
      <w:r>
        <w:rPr>
          <w:rFonts w:ascii="Times New Roman;sans-serif" w:hAnsi="Times New Roman;sans-serif"/>
          <w:b w:val="false"/>
          <w:i/>
          <w:color w:val="000000"/>
          <w:sz w:val="24"/>
        </w:rPr>
        <w:t>Supporting Obligation</w:t>
      </w:r>
      <w:r>
        <w:rPr>
          <w:color w:val="000000"/>
        </w:rPr>
        <w:t xml:space="preserve">” </w:t>
      </w:r>
      <w:r>
        <w:rPr>
          <w:rFonts w:ascii="Times New Roman;sans-serif" w:hAnsi="Times New Roman;sans-serif"/>
          <w:b w:val="false"/>
          <w:color w:val="000000"/>
          <w:sz w:val="24"/>
        </w:rPr>
        <w:t>and “</w:t>
      </w:r>
      <w:r>
        <w:rPr>
          <w:rFonts w:ascii="Times New Roman;sans-serif" w:hAnsi="Times New Roman;sans-serif"/>
          <w:b w:val="false"/>
          <w:i/>
          <w:color w:val="000000"/>
          <w:sz w:val="24"/>
        </w:rPr>
        <w:t>Uncertificated Security</w:t>
      </w:r>
      <w:r>
        <w:rPr>
          <w:color w:val="000000"/>
        </w:rPr>
        <w:t xml:space="preserve">” </w:t>
      </w:r>
      <w:r>
        <w:rPr>
          <w:rFonts w:ascii="Times New Roman;sans-serif" w:hAnsi="Times New Roman;sans-serif"/>
          <w:b w:val="false"/>
          <w:color w:val="000000"/>
          <w:sz w:val="24"/>
        </w:rPr>
        <w:t>have the respective meanings set forth in the UCC.</w:t>
      </w:r>
    </w:p>
    <w:p>
      <w:pPr>
        <w:pStyle w:val="TextBody"/>
        <w:bidi w:val="0"/>
        <w:spacing w:before="9" w:after="283"/>
        <w:jc w:val="left"/>
        <w:rPr/>
      </w:pPr>
      <w:r>
        <w:rPr/>
      </w:r>
    </w:p>
    <w:p>
      <w:pPr>
        <w:pStyle w:val="TextBody"/>
        <w:bidi w:val="0"/>
        <w:spacing w:lineRule="auto" w:line="564" w:before="0" w:after="0"/>
        <w:jc w:val="left"/>
        <w:rPr/>
      </w:pPr>
      <w:r>
        <w:rPr>
          <w:rFonts w:ascii="Times New Roman;sans-serif" w:hAnsi="Times New Roman;sans-serif"/>
          <w:b w:val="false"/>
          <w:i/>
          <w:color w:val="000000"/>
          <w:sz w:val="24"/>
        </w:rPr>
        <w:t xml:space="preserve">Section 1.02. Additional Definitions. </w:t>
      </w:r>
      <w:r>
        <w:rPr>
          <w:rFonts w:ascii="Times New Roman;sans-serif" w:hAnsi="Times New Roman;sans-serif"/>
          <w:b w:val="false"/>
          <w:color w:val="000000"/>
          <w:sz w:val="24"/>
        </w:rPr>
        <w:t xml:space="preserve">In addition, as used herein: </w:t>
      </w:r>
      <w:r>
        <w:rPr>
          <w:color w:val="000000"/>
        </w:rPr>
        <w:t>“</w:t>
      </w:r>
      <w:r>
        <w:rPr>
          <w:rFonts w:ascii="Times New Roman;sans-serif" w:hAnsi="Times New Roman;sans-serif"/>
          <w:b w:val="false"/>
          <w:i/>
          <w:color w:val="000000"/>
          <w:sz w:val="24"/>
        </w:rPr>
        <w:t xml:space="preserve">Administrative Agent” </w:t>
      </w:r>
      <w:r>
        <w:rPr>
          <w:rFonts w:ascii="Times New Roman;sans-serif" w:hAnsi="Times New Roman;sans-serif"/>
          <w:b w:val="false"/>
          <w:color w:val="000000"/>
          <w:sz w:val="24"/>
        </w:rPr>
        <w:t xml:space="preserve">has the meaning assigned to such term in the preamble. </w:t>
      </w:r>
      <w:r>
        <w:rPr>
          <w:color w:val="000000"/>
        </w:rPr>
        <w:t>“</w:t>
      </w:r>
      <w:r>
        <w:rPr>
          <w:rFonts w:ascii="Times New Roman;sans-serif" w:hAnsi="Times New Roman;sans-serif"/>
          <w:b w:val="false"/>
          <w:i/>
          <w:color w:val="000000"/>
          <w:sz w:val="24"/>
        </w:rPr>
        <w:t xml:space="preserve">Collateral” </w:t>
      </w:r>
      <w:r>
        <w:rPr>
          <w:rFonts w:ascii="Times New Roman;sans-serif" w:hAnsi="Times New Roman;sans-serif"/>
          <w:b w:val="false"/>
          <w:color w:val="000000"/>
          <w:sz w:val="24"/>
        </w:rPr>
        <w:t>has the meaning assigned to such term in Section 3.01.</w:t>
      </w:r>
    </w:p>
    <w:p>
      <w:pPr>
        <w:pStyle w:val="TextBody"/>
        <w:bidi w:val="0"/>
        <w:spacing w:lineRule="auto" w:line="285" w:before="0" w:after="0"/>
        <w:ind w:left="0" w:right="0" w:firstLine="720"/>
        <w:jc w:val="left"/>
        <w:rPr/>
      </w:pPr>
      <w:r>
        <w:rPr>
          <w:color w:val="000000"/>
        </w:rPr>
        <w:t>“</w:t>
      </w:r>
      <w:r>
        <w:rPr>
          <w:rFonts w:ascii="Times New Roman;sans-serif" w:hAnsi="Times New Roman;sans-serif"/>
          <w:b w:val="false"/>
          <w:i/>
          <w:color w:val="000000"/>
          <w:sz w:val="24"/>
        </w:rPr>
        <w:t xml:space="preserve">Copyrights” </w:t>
      </w:r>
      <w:r>
        <w:rPr>
          <w:rFonts w:ascii="Times New Roman;sans-serif" w:hAnsi="Times New Roman;sans-serif"/>
          <w:b w:val="false"/>
          <w:color w:val="000000"/>
          <w:sz w:val="24"/>
        </w:rPr>
        <w:t>means all copyrights, copyright registrations and applications for copyright registrations, including all renewals and extensions thereof, all rights to recover for past, present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76"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0" w:before="41" w:after="283"/>
        <w:jc w:val="left"/>
        <w:rPr>
          <w:rFonts w:ascii="Times New Roman;sans-serif" w:hAnsi="Times New Roman;sans-serif"/>
          <w:b w:val="false"/>
          <w:color w:val="000000"/>
          <w:sz w:val="24"/>
        </w:rPr>
      </w:pPr>
      <w:r>
        <w:rPr>
          <w:rFonts w:ascii="Times New Roman;sans-serif" w:hAnsi="Times New Roman;sans-serif"/>
          <w:b w:val="false"/>
          <w:color w:val="000000"/>
          <w:sz w:val="24"/>
        </w:rPr>
        <w:t>or future infringements thereof and all other rights whatsoever accruing thereunder or pertaining thereto.</w:t>
      </w:r>
    </w:p>
    <w:p>
      <w:pPr>
        <w:pStyle w:val="TextBody"/>
        <w:bidi w:val="0"/>
        <w:spacing w:before="2"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Credit Agreement” </w:t>
      </w:r>
      <w:r>
        <w:rPr>
          <w:rFonts w:ascii="Times New Roman;sans-serif" w:hAnsi="Times New Roman;sans-serif"/>
          <w:b w:val="false"/>
          <w:color w:val="000000"/>
          <w:sz w:val="24"/>
        </w:rPr>
        <w:t>means that certain Credit Agreement and Guaranty, dated as of the date hereof, among Borrowers, the other Grantors from time to time party thereto, the Lenders from time to time party thereto and the Administrative Agent, as such agreement is amended, supplemented, or otherwise modified, restated, extended, renewed, or replaced from time to time.</w:t>
      </w:r>
    </w:p>
    <w:p>
      <w:pPr>
        <w:pStyle w:val="TextBody"/>
        <w:bidi w:val="0"/>
        <w:spacing w:before="11"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i/>
          <w:color w:val="000000"/>
          <w:sz w:val="24"/>
        </w:rPr>
        <w:t xml:space="preserve">Excluded Accounts” </w:t>
      </w:r>
      <w:r>
        <w:rPr>
          <w:rFonts w:ascii="Times New Roman;sans-serif" w:hAnsi="Times New Roman;sans-serif"/>
          <w:b w:val="false"/>
          <w:color w:val="000000"/>
          <w:sz w:val="24"/>
        </w:rPr>
        <w:t>has the meaning set forth in the Credit Agreement.</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i/>
          <w:color w:val="000000"/>
          <w:sz w:val="24"/>
        </w:rPr>
        <w:t xml:space="preserve">Excluded Asset” </w:t>
      </w:r>
      <w:r>
        <w:rPr>
          <w:rFonts w:ascii="Times New Roman;sans-serif" w:hAnsi="Times New Roman;sans-serif"/>
          <w:b w:val="false"/>
          <w:color w:val="000000"/>
          <w:sz w:val="24"/>
        </w:rPr>
        <w:t>means:</w:t>
      </w:r>
    </w:p>
    <w:p>
      <w:pPr>
        <w:pStyle w:val="TextBody"/>
        <w:bidi w:val="0"/>
        <w:spacing w:before="4" w:after="283"/>
        <w:jc w:val="left"/>
        <w:rPr/>
      </w:pPr>
      <w:r>
        <w:rPr/>
      </w:r>
    </w:p>
    <w:p>
      <w:pPr>
        <w:pStyle w:val="TextBody"/>
        <w:bidi w:val="0"/>
        <w:spacing w:lineRule="auto" w:line="285" w:before="1" w:after="283"/>
        <w:ind w:left="0" w:right="0" w:firstLine="720"/>
        <w:jc w:val="both"/>
        <w:rPr/>
      </w:pPr>
      <w:r>
        <w:rPr>
          <w:rFonts w:ascii="Times New Roman;sans-serif" w:hAnsi="Times New Roman;sans-serif"/>
          <w:b w:val="false"/>
          <w:color w:val="000000"/>
          <w:sz w:val="24"/>
        </w:rPr>
        <w:t xml:space="preserve">(a)any Trademark that would be rendered invalid, abandoned, void or unenforceable by reason of it being included as part of the Collateral;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that the Proceeds, substitutions or replacements of the foregoing shall not constitute an Excluded Asset;</w:t>
      </w:r>
    </w:p>
    <w:p>
      <w:pPr>
        <w:pStyle w:val="TextBody"/>
        <w:bidi w:val="0"/>
        <w:spacing w:before="5"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(b)Excluded Accounts;</w:t>
      </w:r>
    </w:p>
    <w:p>
      <w:pPr>
        <w:pStyle w:val="TextBody"/>
        <w:bidi w:val="0"/>
        <w:spacing w:before="4" w:after="283"/>
        <w:jc w:val="left"/>
        <w:rPr/>
      </w:pPr>
      <w:r>
        <w:rPr/>
      </w:r>
    </w:p>
    <w:p>
      <w:pPr>
        <w:pStyle w:val="TextBody"/>
        <w:bidi w:val="0"/>
        <w:spacing w:lineRule="auto" w:line="285"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(c)any assets (including intangibles) not located in the United States to the extent a grant of security interest therein is restricted or prohibited by applicable law (after giving effect to applicable anti-assignment provisions of the UCC or other applicable law);</w:t>
      </w:r>
    </w:p>
    <w:p>
      <w:pPr>
        <w:pStyle w:val="TextBody"/>
        <w:bidi w:val="0"/>
        <w:spacing w:before="6"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color w:val="000000"/>
          <w:sz w:val="24"/>
        </w:rPr>
        <w:t xml:space="preserve">(d)any lease, license, contract or agreement to which any Grantor is a party, in each case, if and only if, and solely to the extent that, (i) the grant of a security interest therein shall constitute or result in a breach, termination or default or invalidity thereunder or thereof (other than to the extent that any such term would be deemed ineffective pursuant to Sections 9-406, 9- 407, 9-408 or 9-409 of the UCC of any relevant jurisdiction or any other applicable law or principles of equity) or (ii) such lease, license, contract or agreement is an off the shelf or over- the-counter license of Intellectual Property that is not material to the operation of the business of the applicable Grantor or which can be replaced without a material expenditure;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immediately upon the time at which the consequences described in the foregoing clause (i) shall no longer exist, the Collateral shall include, and the applicable Grantor shall be deemed to have granted a security interest in, all of such Grantor’s right, title and interest in such lease, license, contract or agreement; </w:t>
      </w:r>
      <w:r>
        <w:rPr>
          <w:rFonts w:ascii="Times New Roman;sans-serif" w:hAnsi="Times New Roman;sans-serif"/>
          <w:b w:val="false"/>
          <w:i/>
          <w:color w:val="000000"/>
          <w:sz w:val="24"/>
        </w:rPr>
        <w:t>provided</w:t>
      </w:r>
      <w:r>
        <w:rPr>
          <w:rFonts w:ascii="Times New Roman;sans-serif" w:hAnsi="Times New Roman;sans-serif"/>
          <w:b w:val="false"/>
          <w:color w:val="000000"/>
          <w:sz w:val="24"/>
        </w:rPr>
        <w:t xml:space="preserve">, </w:t>
      </w:r>
      <w:r>
        <w:rPr>
          <w:rFonts w:ascii="Times New Roman;sans-serif" w:hAnsi="Times New Roman;sans-serif"/>
          <w:b w:val="false"/>
          <w:i/>
          <w:color w:val="000000"/>
          <w:sz w:val="24"/>
        </w:rPr>
        <w:t>however</w:t>
      </w:r>
      <w:r>
        <w:rPr>
          <w:rFonts w:ascii="Times New Roman;sans-serif" w:hAnsi="Times New Roman;sans-serif"/>
          <w:b w:val="false"/>
          <w:color w:val="000000"/>
          <w:sz w:val="24"/>
        </w:rPr>
        <w:t>, that the Proceeds of the foregoing shall not constitute an Excluded Asset;</w:t>
      </w:r>
    </w:p>
    <w:p>
      <w:pPr>
        <w:pStyle w:val="TextBody"/>
        <w:bidi w:val="0"/>
        <w:spacing w:before="6"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(e)any application for registration of a trademark filed on an intent-to-use basis solely to the extent that the grant of a security interest in any such trademark application would materially adversely affect the validity or enforceability of the resulting trademark registration or result in cancellation of such trademark application;</w:t>
      </w:r>
    </w:p>
    <w:p>
      <w:pPr>
        <w:pStyle w:val="TextBody"/>
        <w:bidi w:val="0"/>
        <w:spacing w:before="0" w:after="0"/>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(f)any asset that is subject to a Lien securing a purchase money obligation or capital lease obligation permitted to be incurred pursuant to the provisions of the Credit Agreement if the contract or other agreement in which such Lien is granted (or the documentation providing for such purchase money obligation or capital lease obligation) prohibits the creation of any other Lien on such asset; and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603250"/>
                <wp:effectExtent l="0" t="0" r="0" b="0"/>
                <wp:wrapNone/>
                <wp:docPr id="177" name="Frame171"/>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5" w:before="3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(g)those assets as to which the Administrative Agent and the Grantors reasonably agree in writing that the cost of obtaining such a security interest or perfection thereof are excessive in relation to the benefit to the Lenders of the security to be afforded thereby.</w:t>
      </w:r>
    </w:p>
    <w:p>
      <w:pPr>
        <w:pStyle w:val="TextBody"/>
        <w:bidi w:val="0"/>
        <w:spacing w:before="6" w:after="283"/>
        <w:jc w:val="left"/>
        <w:rPr/>
      </w:pPr>
      <w:r>
        <w:rPr/>
      </w:r>
    </w:p>
    <w:p>
      <w:pPr>
        <w:pStyle w:val="TextBody"/>
        <w:bidi w:val="0"/>
        <w:spacing w:lineRule="auto" w:line="285" w:before="0" w:after="0"/>
        <w:ind w:left="0" w:right="0" w:firstLine="720"/>
        <w:jc w:val="both"/>
        <w:rPr/>
      </w:pPr>
      <w:r>
        <w:rPr>
          <w:color w:val="000000"/>
        </w:rPr>
        <w:t>“</w:t>
      </w:r>
      <w:r>
        <w:rPr>
          <w:rFonts w:ascii="Times New Roman;sans-serif" w:hAnsi="Times New Roman;sans-serif"/>
          <w:b w:val="false"/>
          <w:i/>
          <w:color w:val="000000"/>
          <w:sz w:val="24"/>
        </w:rPr>
        <w:t xml:space="preserve">Initial Pledged Shares” </w:t>
      </w:r>
      <w:r>
        <w:rPr>
          <w:rFonts w:ascii="Times New Roman;sans-serif" w:hAnsi="Times New Roman;sans-serif"/>
          <w:b w:val="false"/>
          <w:color w:val="000000"/>
          <w:sz w:val="24"/>
        </w:rPr>
        <w:t>means the Shares of each Issuer beneficially owned by any Grantor on the date hereof and identified in Schedule 2.</w:t>
      </w:r>
    </w:p>
    <w:p>
      <w:pPr>
        <w:pStyle w:val="TextBody"/>
        <w:bidi w:val="0"/>
        <w:spacing w:before="7"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Issuers” </w:t>
      </w:r>
      <w:r>
        <w:rPr>
          <w:rFonts w:ascii="Times New Roman;sans-serif" w:hAnsi="Times New Roman;sans-serif"/>
          <w:b w:val="false"/>
          <w:color w:val="000000"/>
          <w:sz w:val="24"/>
        </w:rPr>
        <w:t>means, collectively, (a) the respective Persons identified on Schedule 2 under the caption “Issuer” and (b) any other Person that shall at any time be a Subsidiary of Borrowers or any other Grantor.</w:t>
      </w:r>
    </w:p>
    <w:p>
      <w:pPr>
        <w:pStyle w:val="TextBody"/>
        <w:bidi w:val="0"/>
        <w:spacing w:before="10" w:after="283"/>
        <w:jc w:val="left"/>
        <w:rPr/>
      </w:pPr>
      <w:r>
        <w:rPr/>
      </w:r>
    </w:p>
    <w:p>
      <w:pPr>
        <w:pStyle w:val="TextBody"/>
        <w:bidi w:val="0"/>
        <w:spacing w:lineRule="auto" w:line="240" w:before="0" w:after="0"/>
        <w:jc w:val="left"/>
        <w:rPr/>
      </w:pPr>
      <w:r>
        <w:rPr>
          <w:color w:val="000000"/>
        </w:rPr>
        <w:t>“</w:t>
      </w:r>
      <w:r>
        <w:rPr>
          <w:rFonts w:ascii="Times New Roman;sans-serif" w:hAnsi="Times New Roman;sans-serif"/>
          <w:b w:val="false"/>
          <w:i/>
          <w:color w:val="000000"/>
          <w:sz w:val="24"/>
        </w:rPr>
        <w:t xml:space="preserve">Joinder” </w:t>
      </w:r>
      <w:r>
        <w:rPr>
          <w:rFonts w:ascii="Times New Roman;sans-serif" w:hAnsi="Times New Roman;sans-serif"/>
          <w:b w:val="false"/>
          <w:color w:val="000000"/>
          <w:sz w:val="24"/>
        </w:rPr>
        <w:t>has the meaning specified in Section 5.12.</w:t>
      </w:r>
    </w:p>
    <w:p>
      <w:pPr>
        <w:pStyle w:val="TextBody"/>
        <w:bidi w:val="0"/>
        <w:spacing w:before="9"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Patents” </w:t>
      </w:r>
      <w:r>
        <w:rPr>
          <w:rFonts w:ascii="Times New Roman;sans-serif" w:hAnsi="Times New Roman;sans-serif"/>
          <w:b w:val="false"/>
          <w:color w:val="000000"/>
          <w:sz w:val="24"/>
        </w:rPr>
        <w:t>means all patents and patent applications, including the inventions and improvements described and claimed therein together with the reissues, divisions, continuations, renewals, extensions and continuations in part thereof, all income, royalties, damages and payments now or hereafter due and/or payable with respect thereto, all damages and payments for past or future infringements thereof and rights to sue therefor, and all rights corresponding thereto throughout the world.</w:t>
      </w:r>
    </w:p>
    <w:p>
      <w:pPr>
        <w:pStyle w:val="TextBody"/>
        <w:bidi w:val="0"/>
        <w:spacing w:before="5"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Pledged Shares” </w:t>
      </w:r>
      <w:r>
        <w:rPr>
          <w:rFonts w:ascii="Times New Roman;sans-serif" w:hAnsi="Times New Roman;sans-serif"/>
          <w:b w:val="false"/>
          <w:color w:val="000000"/>
          <w:sz w:val="24"/>
        </w:rPr>
        <w:t>means, collectively, (a) the Initial Pledged Shares and (b) all other Shares of any Issuer now or hereafter owned by any Grantor, together in each case with (i) all certificates representing the same, (ii) all shares, securities, moneys or other property representing a dividend on or a distribution or return of capital on or in respect of the Pledged Shares, or resulting from a split-up, revision, reclassification or other like change of the Pledged Shares or otherwise received in exchange therefor, and any warrants, rights or options issued to the holders of, or otherwise in respect of, the Pledged Shares, and (iii) without prejudice to any provision of any of the Loan Documents prohibiting any merger or consolidation by an Issuer, all Shares of any successor entity of any such merger or consolidation.</w:t>
      </w:r>
    </w:p>
    <w:p>
      <w:pPr>
        <w:pStyle w:val="TextBody"/>
        <w:bidi w:val="0"/>
        <w:spacing w:before="1" w:after="283"/>
        <w:jc w:val="left"/>
        <w:rPr/>
      </w:pPr>
      <w:r>
        <w:rPr/>
      </w:r>
    </w:p>
    <w:p>
      <w:pPr>
        <w:pStyle w:val="TextBody"/>
        <w:bidi w:val="0"/>
        <w:spacing w:lineRule="auto" w:line="285" w:before="0" w:after="0"/>
        <w:ind w:left="0" w:right="0" w:firstLine="720"/>
        <w:jc w:val="both"/>
        <w:rPr/>
      </w:pPr>
      <w:r>
        <w:rPr>
          <w:color w:val="000000"/>
        </w:rPr>
        <w:t>“</w:t>
      </w:r>
      <w:r>
        <w:rPr>
          <w:rFonts w:ascii="Times New Roman;sans-serif" w:hAnsi="Times New Roman;sans-serif"/>
          <w:b w:val="false"/>
          <w:i/>
          <w:color w:val="000000"/>
          <w:sz w:val="24"/>
        </w:rPr>
        <w:t xml:space="preserve">Secured Obligations” </w:t>
      </w:r>
      <w:r>
        <w:rPr>
          <w:rFonts w:ascii="Times New Roman;sans-serif" w:hAnsi="Times New Roman;sans-serif"/>
          <w:b w:val="false"/>
          <w:color w:val="000000"/>
          <w:sz w:val="24"/>
        </w:rPr>
        <w:t>means, with respect to each Grantor, the Obligations of such Grantor (other than contingent indemnification obligations for which no claim has been made or other obligations which, by their terms, survive termination of the Credit Agreement).</w:t>
      </w:r>
    </w:p>
    <w:p>
      <w:pPr>
        <w:pStyle w:val="TextBody"/>
        <w:bidi w:val="0"/>
        <w:spacing w:before="6"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Secured Parties” </w:t>
      </w:r>
      <w:r>
        <w:rPr>
          <w:rFonts w:ascii="Times New Roman;sans-serif" w:hAnsi="Times New Roman;sans-serif"/>
          <w:b w:val="false"/>
          <w:color w:val="000000"/>
          <w:sz w:val="24"/>
        </w:rPr>
        <w:t>means collectively, the Lenders, the Administrative Agent and their successors and assigns as Lenders or the Administrative Agent, as applicable, under the Credit Agreement.</w:t>
      </w:r>
    </w:p>
    <w:p>
      <w:pPr>
        <w:pStyle w:val="TextBody"/>
        <w:bidi w:val="0"/>
        <w:spacing w:before="9" w:after="283"/>
        <w:jc w:val="left"/>
        <w:rPr/>
      </w:pPr>
      <w:r>
        <w:rPr/>
      </w:r>
    </w:p>
    <w:p>
      <w:pPr>
        <w:pStyle w:val="TextBody"/>
        <w:bidi w:val="0"/>
        <w:spacing w:lineRule="auto" w:line="285" w:before="0" w:after="0"/>
        <w:ind w:left="0" w:right="0" w:firstLine="720"/>
        <w:jc w:val="both"/>
        <w:rPr/>
      </w:pPr>
      <w:r>
        <w:rPr>
          <w:color w:val="000000"/>
        </w:rPr>
        <w:t>“</w:t>
      </w:r>
      <w:r>
        <w:rPr>
          <w:rFonts w:ascii="Times New Roman;sans-serif" w:hAnsi="Times New Roman;sans-serif"/>
          <w:b w:val="false"/>
          <w:i/>
          <w:color w:val="000000"/>
          <w:sz w:val="24"/>
        </w:rPr>
        <w:t xml:space="preserve">Shares” </w:t>
      </w:r>
      <w:r>
        <w:rPr>
          <w:rFonts w:ascii="Times New Roman;sans-serif" w:hAnsi="Times New Roman;sans-serif"/>
          <w:b w:val="false"/>
          <w:color w:val="000000"/>
          <w:sz w:val="24"/>
        </w:rPr>
        <w:t>means shares of capital stock of a corporation, limited liability company interests, partnership interests and other ownership or equity interests of any class in any Person.</w:t>
      </w:r>
    </w:p>
    <w:p>
      <w:pPr>
        <w:pStyle w:val="TextBody"/>
        <w:bidi w:val="0"/>
        <w:spacing w:before="7"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Trademarks” </w:t>
      </w:r>
      <w:r>
        <w:rPr>
          <w:rFonts w:ascii="Times New Roman;sans-serif" w:hAnsi="Times New Roman;sans-serif"/>
          <w:b w:val="false"/>
          <w:color w:val="000000"/>
          <w:sz w:val="24"/>
        </w:rPr>
        <w:t>means all trade names, trademarks and service marks, logos, trademark and service mark registrations, and applications for trademark and service mark registrations, including all renewals of trademark and service mark registrations, all rights to recover for all past, present and future infringements thereof and all rights to sue therefor, and all rights corresponding thereto throughout the world, together, in each case, with the product lines and goodwill of the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603250"/>
                <wp:effectExtent l="0" t="0" r="0" b="0"/>
                <wp:wrapNone/>
                <wp:docPr id="178" name="Frame172"/>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603250"/>
                <wp:effectExtent l="0" t="0" r="0" b="0"/>
                <wp:wrapNone/>
                <wp:docPr id="179" name="Frame173"/>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-4-</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connected with the use thereof (excluding any application for registration of a trademark filed on an intent to use basis solely to the extent that the grant of a security interest in any such trademark application would materially adversely affect the validity or enforceability of the resulting trademark registration or result in cancellation of such trademark application).</w:t>
      </w:r>
    </w:p>
    <w:p>
      <w:pPr>
        <w:pStyle w:val="TextBody"/>
        <w:bidi w:val="0"/>
        <w:spacing w:before="6" w:after="283"/>
        <w:jc w:val="left"/>
        <w:rPr/>
      </w:pPr>
      <w:r>
        <w:rPr/>
      </w:r>
    </w:p>
    <w:p>
      <w:pPr>
        <w:pStyle w:val="TextBody"/>
        <w:bidi w:val="0"/>
        <w:spacing w:lineRule="auto" w:line="283" w:before="0" w:after="0"/>
        <w:ind w:left="0" w:right="0" w:firstLine="720"/>
        <w:jc w:val="both"/>
        <w:rPr/>
      </w:pPr>
      <w:r>
        <w:rPr>
          <w:color w:val="000000"/>
        </w:rPr>
        <w:t>“</w:t>
      </w:r>
      <w:r>
        <w:rPr>
          <w:rFonts w:ascii="Times New Roman;sans-serif" w:hAnsi="Times New Roman;sans-serif"/>
          <w:b w:val="false"/>
          <w:i/>
          <w:color w:val="000000"/>
          <w:sz w:val="24"/>
        </w:rPr>
        <w:t xml:space="preserve">UCC” </w:t>
      </w:r>
      <w:r>
        <w:rPr>
          <w:rFonts w:ascii="Times New Roman;sans-serif" w:hAnsi="Times New Roman;sans-serif"/>
          <w:b w:val="false"/>
          <w:color w:val="000000"/>
          <w:sz w:val="24"/>
        </w:rPr>
        <w:t xml:space="preserve">shall mean the Uniform Commercial Code as in effect in the State of New York; </w:t>
      </w:r>
      <w:r>
        <w:rPr>
          <w:rFonts w:ascii="Times New Roman;sans-serif" w:hAnsi="Times New Roman;sans-serif"/>
          <w:b w:val="false"/>
          <w:i/>
          <w:color w:val="000000"/>
          <w:sz w:val="24"/>
        </w:rPr>
        <w:t>provided, however</w:t>
      </w:r>
      <w:r>
        <w:rPr>
          <w:rFonts w:ascii="Times New Roman;sans-serif" w:hAnsi="Times New Roman;sans-serif"/>
          <w:b w:val="false"/>
          <w:color w:val="000000"/>
          <w:sz w:val="24"/>
        </w:rPr>
        <w:t xml:space="preserve">, that if by reason of mandatory provisions of law, any or all of the attachment, perfection or priority of the Administrative Agent’s security interest in any item or portion of the Collateral is governed by the Uniform Commercial Code as in effect in a jurisdiction other than the State of New York, the term </w:t>
      </w:r>
      <w:r>
        <w:rPr>
          <w:color w:val="000000"/>
        </w:rPr>
        <w:t>“</w:t>
      </w:r>
      <w:r>
        <w:rPr>
          <w:rFonts w:ascii="Times New Roman;sans-serif" w:hAnsi="Times New Roman;sans-serif"/>
          <w:b w:val="false"/>
          <w:i/>
          <w:color w:val="000000"/>
          <w:sz w:val="24"/>
        </w:rPr>
        <w:t xml:space="preserve">UCC” </w:t>
      </w:r>
      <w:r>
        <w:rPr>
          <w:rFonts w:ascii="Times New Roman;sans-serif" w:hAnsi="Times New Roman;sans-serif"/>
          <w:b w:val="false"/>
          <w:color w:val="000000"/>
          <w:sz w:val="24"/>
        </w:rPr>
        <w:t>shall mean the Uniform Commercial Code as in effect in such other jurisdiction for purposes of the provisions hereof relating to such attachment, perfection or priority and for purposes of definitions relating to such provisions.</w:t>
      </w:r>
    </w:p>
    <w:p>
      <w:pPr>
        <w:pStyle w:val="TextBody"/>
        <w:bidi w:val="0"/>
        <w:spacing w:before="7" w:after="283"/>
        <w:jc w:val="left"/>
        <w:rPr/>
      </w:pPr>
      <w:r>
        <w:rPr/>
      </w:r>
    </w:p>
    <w:p>
      <w:pPr>
        <w:pStyle w:val="TextBody"/>
        <w:bidi w:val="0"/>
        <w:spacing w:lineRule="auto" w:line="285" w:before="0" w:after="0"/>
        <w:ind w:left="0" w:right="0" w:firstLine="720"/>
        <w:jc w:val="both"/>
        <w:rPr/>
      </w:pPr>
      <w:r>
        <w:rPr>
          <w:rFonts w:ascii="Times New Roman;sans-serif" w:hAnsi="Times New Roman;sans-serif"/>
          <w:b w:val="false"/>
          <w:i/>
          <w:color w:val="000000"/>
          <w:sz w:val="24"/>
        </w:rPr>
        <w:t xml:space="preserve">Section 1.03. Other Defined Terms. </w:t>
      </w:r>
      <w:r>
        <w:rPr>
          <w:rFonts w:ascii="Times New Roman;sans-serif" w:hAnsi="Times New Roman;sans-serif"/>
          <w:b w:val="false"/>
          <w:color w:val="000000"/>
          <w:sz w:val="24"/>
        </w:rPr>
        <w:t>All other capitalized terms used and not defined herein have the meanings ascribed to them in the Credit Agreement.</w:t>
      </w:r>
    </w:p>
    <w:p>
      <w:pPr>
        <w:pStyle w:val="TextBody"/>
        <w:bidi w:val="0"/>
        <w:spacing w:before="3"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SECTION 2. REPRESENTATIONS AND WARRANTIES</w:t>
      </w:r>
    </w:p>
    <w:p>
      <w:pPr>
        <w:pStyle w:val="TextBody"/>
        <w:bidi w:val="0"/>
        <w:spacing w:before="10" w:after="283"/>
        <w:jc w:val="left"/>
        <w:rPr/>
      </w:pPr>
      <w:r>
        <w:rPr/>
      </w:r>
    </w:p>
    <w:p>
      <w:pPr>
        <w:pStyle w:val="TextBody"/>
        <w:bidi w:val="0"/>
        <w:spacing w:lineRule="auto" w:line="285"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Grantor represents and warrants to the Administrative Agent, for the benefit of the Secured Parties, that:</w:t>
      </w:r>
    </w:p>
    <w:p>
      <w:pPr>
        <w:pStyle w:val="TextBody"/>
        <w:bidi w:val="0"/>
        <w:spacing w:before="7"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2.01. Title.</w:t>
      </w:r>
    </w:p>
    <w:p>
      <w:pPr>
        <w:pStyle w:val="TextBody"/>
        <w:bidi w:val="0"/>
        <w:spacing w:before="9"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(a)Such Grantor is the sole beneficial owner of or, with respect to licensed or leased property, has rights in, the Collateral in which it purports to grant a Lien hereunder, and no Lien exists upon such Collateral, other than Permitted Liens.</w:t>
      </w:r>
    </w:p>
    <w:p>
      <w:pPr>
        <w:pStyle w:val="TextBody"/>
        <w:bidi w:val="0"/>
        <w:spacing w:before="10"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security interest created or provided for herein constitutes a valid first-priority (subject to Permitted Liens) perfected lien on such Collateral, subject, for the following Collateral, to the occurrence of the following: (i) in the case of Collateral in which a security interest may be perfected by filing a financing statement under the UCC, the filing of a UCC financing statement naming such Grantor as debtor, the Administrative Agent as secured party, and listing all personal property as collateral, (ii) with respect to any Deposit Account, Securities Account or Commodity Account, the execution of agreements among such Grantor, the applicable financial institution and the Administrative Agent, effective to grant “control” (as defined in the UCC) over such Deposit Account, Securities Account or Commodity Account to the Administrative Agent, (iii) with respect to any Intellectual Property not described in the foregoing clause (i), the filing of this Security Agreement or a short-form security agreement properly evidencing this Security Agreement with the applicable Intellectual Property office of the applicable government for such Intellectual Property, (iv) in the case of all certificated Shares, the delivery thereof to the Administrative Agent, properly endorsed for transfer to the Administrative Agent or in blank,</w:t>
      </w:r>
    </w:p>
    <w:p>
      <w:pPr>
        <w:pStyle w:val="TextBody"/>
        <w:bidi w:val="0"/>
        <w:spacing w:lineRule="auto" w:line="256"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 in the case of assets evidenced by Certificates of Title, delivery thereof to the Administrative</w:t>
      </w:r>
    </w:p>
    <w:p>
      <w:pPr>
        <w:pStyle w:val="TextBody"/>
        <w:bidi w:val="0"/>
        <w:spacing w:lineRule="auto" w:line="280" w:before="7" w:after="283"/>
        <w:jc w:val="both"/>
        <w:rPr>
          <w:rFonts w:ascii="Times New Roman;sans-serif" w:hAnsi="Times New Roman;sans-serif"/>
          <w:b w:val="false"/>
          <w:color w:val="000000"/>
          <w:sz w:val="24"/>
        </w:rPr>
      </w:pPr>
      <w:r>
        <w:rPr>
          <w:rFonts w:ascii="Times New Roman;sans-serif" w:hAnsi="Times New Roman;sans-serif"/>
          <w:b w:val="false"/>
          <w:color w:val="000000"/>
          <w:sz w:val="24"/>
        </w:rPr>
        <w:t>Agent with the Lien granted hereby indicated thereon, (vi) in the case of other Collateral which requires or permits possession by the Administrative Agent to perfect its security interest therein, delivery, and endorsement if necessary, thereof to the Administrative Agent, and (vii) in the case of any other type of Collateral, such actions as set forth in Section 4.01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603250"/>
                <wp:effectExtent l="0" t="0" r="0" b="0"/>
                <wp:wrapNone/>
                <wp:docPr id="180" name="Frame174"/>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603250"/>
                <wp:effectExtent l="0" t="0" r="0" b="0"/>
                <wp:wrapNone/>
                <wp:docPr id="181" name="Frame175"/>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36" w:after="283"/>
        <w:ind w:left="0" w:right="0" w:firstLine="720"/>
        <w:jc w:val="both"/>
        <w:rPr/>
      </w:pPr>
      <w:r>
        <w:rPr>
          <w:rFonts w:ascii="Times New Roman;sans-serif" w:hAnsi="Times New Roman;sans-serif"/>
          <w:b w:val="false"/>
          <w:i/>
          <w:color w:val="000000"/>
          <w:sz w:val="24"/>
        </w:rPr>
        <w:t xml:space="preserve">Section 2.02. Names, Etc. </w:t>
      </w:r>
      <w:r>
        <w:rPr>
          <w:rFonts w:ascii="Times New Roman;sans-serif" w:hAnsi="Times New Roman;sans-serif"/>
          <w:b w:val="false"/>
          <w:color w:val="000000"/>
          <w:sz w:val="24"/>
        </w:rPr>
        <w:t>The full and correct legal name, type of organization, jurisdiction of organization, organizational ID number (if applicable) and mailing address of such Grantor as of the date hereof are correctly set forth in Schedule 1. Schedule 1 correctly specifies the place of business of such Grantor or, if such Grantor has more than one place of business, the location of the chief executive office of such Grantor.</w:t>
      </w:r>
    </w:p>
    <w:p>
      <w:pPr>
        <w:pStyle w:val="TextBody"/>
        <w:bidi w:val="0"/>
        <w:spacing w:before="8"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Section 2.03. Changes in Circumstances</w:t>
      </w:r>
      <w:r>
        <w:rPr>
          <w:rFonts w:ascii="Times New Roman;sans-serif" w:hAnsi="Times New Roman;sans-serif"/>
          <w:b w:val="false"/>
          <w:color w:val="000000"/>
          <w:sz w:val="24"/>
        </w:rPr>
        <w:t>. Such Grantor has not (a) within the period of four months prior to the date hereof, changed its location (as defined in Section 9-307 of the UCC), or (b) except as specified in Schedule 1, heretofore changed its name within the period of five years prior to the date hereof.</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2.04. Pledged Shares.</w:t>
      </w:r>
    </w:p>
    <w:p>
      <w:pPr>
        <w:pStyle w:val="TextBody"/>
        <w:bidi w:val="0"/>
        <w:spacing w:before="10" w:after="283"/>
        <w:jc w:val="left"/>
        <w:rPr/>
      </w:pPr>
      <w:r>
        <w:rPr/>
      </w:r>
    </w:p>
    <w:p>
      <w:pPr>
        <w:pStyle w:val="TextBody"/>
        <w:bidi w:val="0"/>
        <w:spacing w:lineRule="auto"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(a)The Initial Pledged Shares constitute 100% of the issued and outstanding Shares of each Issuer beneficially owned by such Grantor on the date hereof (other than any Shares held in a Securities Account referred to in Schedule 7), whether or not registered in the name of such Grantor. Schedule 2 correctly identifies, as at the date hereof, the respective Issuers of the Initial Pledged Shares and (in the case of any corporate Issuer) the respective class and par value of such Shares and the respective number of such Shares (and registered owner thereof) represented by each such certificate.</w:t>
      </w:r>
    </w:p>
    <w:p>
      <w:pPr>
        <w:pStyle w:val="TextBody"/>
        <w:bidi w:val="0"/>
        <w:spacing w:before="9"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(b)The Initial Pledged Shares are, and all other Pledged Shares that in the future will constitute Collateral will be, (i) duly authorized, validly existing, fully paid and non-assessable (in the case of any Shares issued by a corporation) and (ii) duly issued and outstanding (in the case of any equity interest in any other entity). None of such Pledged Shares are or will be subject to any contractual restriction, or any restriction under the charter, bylaws, partnership agreement or other organizational instrument of the respective Issuer thereof, upon the transfer of such Pledged Shares (except for any such restriction (i) contained in any Loan Document, (ii) contained in any Restrictive Agreement permitted under Section 9.11 of the Credit Agreement, or (iii) affecting the offering and sale of securities generally).</w:t>
      </w:r>
    </w:p>
    <w:p>
      <w:pPr>
        <w:pStyle w:val="TextBody"/>
        <w:bidi w:val="0"/>
        <w:spacing w:before="6"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2.05. Promissory Notes. </w:t>
      </w:r>
      <w:r>
        <w:rPr>
          <w:rFonts w:ascii="Times New Roman;sans-serif" w:hAnsi="Times New Roman;sans-serif"/>
          <w:b w:val="false"/>
          <w:color w:val="000000"/>
          <w:sz w:val="24"/>
        </w:rPr>
        <w:t>Schedule 3 sets forth a complete and correct list of all Promissory Notes (other than any held in a Securities Account referred to in Schedule 7) held by such Grantor on the date hereof.</w:t>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2.06. Intellectual Property.</w:t>
      </w:r>
    </w:p>
    <w:p>
      <w:pPr>
        <w:pStyle w:val="TextBody"/>
        <w:bidi w:val="0"/>
        <w:spacing w:before="10"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(a)Schedules 4, 5 and 6, respectively, set forth a complete and correct list of all of the following Intellectual Property included in the Collateral owned by such Grantor on the date hereof (or, in the case of any supplement to said Schedules 4, 5 and 6, effecting a pledge thereof, as of the date of such supplement): (i) pending and applied for or registered Copyrights with the United States Copyright Office, (ii) pending and applied for or registered Patents with the United States Patent and Trademark Office, including the jurisdiction and patent number, (iii) pending and applied for or registered Trademarks with the United States Patent and Trademark Office, including the jurisdiction, trademark application or registration number and the application or registration date and (iv) trade names.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603250"/>
                <wp:effectExtent l="0" t="0" r="0" b="0"/>
                <wp:wrapNone/>
                <wp:docPr id="182" name="Frame176"/>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36"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(b)Except as permitted by the Credit Agreement or pursuant to (i) licenses and other user agreements entered into by such Grantor in the Ordinary Course of Business (including as supplemented by any supplement effecting a pledge thereof), (ii) non-exclusive licenses and (iii) Permitted Licenses, such Grantor has not granted any other Person a license to use any Copyright, Patent or Trademark listed in said Schedules 4, 5 and 6 (as so supplemented), and, to such Grantor’s knowledge, all registrations listed in said Schedules 4, 5 and 6 (as so supplemented) are, except as noted therein, in full force and effect.</w:t>
      </w:r>
    </w:p>
    <w:p>
      <w:pPr>
        <w:pStyle w:val="TextBody"/>
        <w:bidi w:val="0"/>
        <w:spacing w:before="7" w:after="283"/>
        <w:jc w:val="left"/>
        <w:rPr/>
      </w:pPr>
      <w:r>
        <w:rPr/>
      </w:r>
    </w:p>
    <w:p>
      <w:pPr>
        <w:pStyle w:val="TextBody"/>
        <w:bidi w:val="0"/>
        <w:spacing w:lineRule="auto" w:line="240" w:before="0" w:after="0"/>
        <w:jc w:val="both"/>
        <w:rPr/>
      </w:pPr>
      <w:r>
        <w:rPr>
          <w:rFonts w:ascii="Times New Roman;sans-serif" w:hAnsi="Times New Roman;sans-serif"/>
          <w:b w:val="false"/>
          <w:i/>
          <w:color w:val="000000"/>
          <w:sz w:val="24"/>
        </w:rPr>
        <w:t xml:space="preserve">Section 2.07. Deposit Accounts, Securities Accounts and Commodity Accounts. </w:t>
      </w:r>
      <w:r>
        <w:rPr>
          <w:rFonts w:ascii="Times New Roman;sans-serif" w:hAnsi="Times New Roman;sans-serif"/>
          <w:b w:val="false"/>
          <w:color w:val="000000"/>
          <w:sz w:val="24"/>
        </w:rPr>
        <w:t>Schedule</w:t>
      </w:r>
    </w:p>
    <w:p>
      <w:pPr>
        <w:pStyle w:val="TextBody"/>
        <w:bidi w:val="0"/>
        <w:spacing w:lineRule="auto" w:line="283" w:before="7" w:after="283"/>
        <w:jc w:val="both"/>
        <w:rPr>
          <w:rFonts w:ascii="Times New Roman;sans-serif" w:hAnsi="Times New Roman;sans-serif"/>
          <w:b w:val="false"/>
          <w:color w:val="000000"/>
          <w:sz w:val="24"/>
        </w:rPr>
      </w:pPr>
      <w:r>
        <w:rPr>
          <w:rFonts w:ascii="Times New Roman;sans-serif" w:hAnsi="Times New Roman;sans-serif"/>
          <w:b w:val="false"/>
          <w:color w:val="000000"/>
          <w:sz w:val="24"/>
        </w:rPr>
        <w:t>7 sets forth a complete and correct list of all Deposit Accounts, Securities Accounts and Commodity Accounts, in each case indicating any Excluded Accounts, of such Grantor on the date hereof.</w:t>
      </w:r>
    </w:p>
    <w:p>
      <w:pPr>
        <w:pStyle w:val="TextBody"/>
        <w:bidi w:val="0"/>
        <w:spacing w:before="10"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2.08. Commercial Tort Claims. </w:t>
      </w:r>
      <w:r>
        <w:rPr>
          <w:rFonts w:ascii="Times New Roman;sans-serif" w:hAnsi="Times New Roman;sans-serif"/>
          <w:b w:val="false"/>
          <w:color w:val="000000"/>
          <w:sz w:val="24"/>
        </w:rPr>
        <w:t>Schedule 8 sets forth a complete and correct list of all Commercial Tort Claims of such Grantor having a value reasonably believed by such Grantor to be in excess of $500,000 on the date hereof.</w:t>
      </w:r>
    </w:p>
    <w:p>
      <w:pPr>
        <w:pStyle w:val="TextBody"/>
        <w:bidi w:val="0"/>
        <w:spacing w:before="9"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2.09. Update of Schedules. </w:t>
      </w:r>
      <w:r>
        <w:rPr>
          <w:rFonts w:ascii="Times New Roman;sans-serif" w:hAnsi="Times New Roman;sans-serif"/>
          <w:b w:val="false"/>
          <w:color w:val="000000"/>
          <w:sz w:val="24"/>
        </w:rPr>
        <w:t>Each of Schedules 1 through 8 may be updated by Grantors from time to time to insure the continued accuracy of the representations set forth in this Section 2 to be made on any upcoming date on which representations and warranties are made incorporating the information in such Schedule, by Administrative Borrower providing notice (attaching an amended and restated version of such Schedule) in accordance with Section 13.02 of the Credit Agreement, or at such other times and in such manner and as set forth in the Credit Agreement.</w:t>
      </w:r>
    </w:p>
    <w:p>
      <w:pPr>
        <w:pStyle w:val="TextBody"/>
        <w:bidi w:val="0"/>
        <w:spacing w:before="3"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SECTION 3. COLLATERAL</w:t>
      </w:r>
    </w:p>
    <w:p>
      <w:pPr>
        <w:pStyle w:val="TextBody"/>
        <w:bidi w:val="0"/>
        <w:spacing w:before="10"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3.01. Granting Clause. </w:t>
      </w:r>
      <w:r>
        <w:rPr>
          <w:rFonts w:ascii="Times New Roman;sans-serif" w:hAnsi="Times New Roman;sans-serif"/>
          <w:b w:val="false"/>
          <w:color w:val="000000"/>
          <w:sz w:val="24"/>
        </w:rPr>
        <w:t xml:space="preserve">As collateral security for the payment in full when due (whether at stated maturity, by acceleration or otherwise) of the Secured Obligations, each Grantor hereby pledges and grants to the Administrative Agent, for the benefit of the Secured Parties, a Lien in all of such Grantor’s right, title and interest in, to and under all of its property, in each case whether tangible or intangible, wherever located, and whether now owned by such Grantor or hereafter acquired and whether now existing or hereafter coming into existence, including without limitation all of the following, but excluding all Excluded Assets (collectively, and subject to the proviso at the end of this Section 3.01, </w:t>
      </w:r>
      <w:r>
        <w:rPr>
          <w:color w:val="000000"/>
        </w:rPr>
        <w:t>“</w:t>
      </w:r>
      <w:r>
        <w:rPr>
          <w:rFonts w:ascii="Times New Roman;sans-serif" w:hAnsi="Times New Roman;sans-serif"/>
          <w:b w:val="false"/>
          <w:i/>
          <w:color w:val="000000"/>
          <w:sz w:val="24"/>
        </w:rPr>
        <w:t>Collateral”</w:t>
      </w:r>
      <w:r>
        <w:rPr>
          <w:rFonts w:ascii="Times New Roman;sans-serif" w:hAnsi="Times New Roman;sans-serif"/>
          <w:b w:val="false"/>
          <w:color w:val="000000"/>
          <w:sz w:val="24"/>
        </w:rPr>
        <w:t>):</w:t>
      </w:r>
    </w:p>
    <w:p>
      <w:pPr>
        <w:pStyle w:val="TextBody"/>
        <w:bidi w:val="0"/>
        <w:spacing w:before="3"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(a)all Accounts (including all trade receivables);</w:t>
      </w:r>
    </w:p>
    <w:p>
      <w:pPr>
        <w:pStyle w:val="TextBody"/>
        <w:bidi w:val="0"/>
        <w:spacing w:before="10"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(b)all Chattel Paper and other Records;</w:t>
      </w:r>
    </w:p>
    <w:p>
      <w:pPr>
        <w:pStyle w:val="TextBody"/>
        <w:bidi w:val="0"/>
        <w:spacing w:before="5"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(c)all Checks;</w:t>
      </w:r>
    </w:p>
    <w:p>
      <w:pPr>
        <w:pStyle w:val="TextBody"/>
        <w:bidi w:val="0"/>
        <w:spacing w:before="9"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(d)all Commercial Tort Claims;</w:t>
      </w:r>
    </w:p>
    <w:p>
      <w:pPr>
        <w:pStyle w:val="TextBody"/>
        <w:bidi w:val="0"/>
        <w:spacing w:before="10" w:after="283"/>
        <w:jc w:val="left"/>
        <w:rPr/>
      </w:pPr>
      <w:r>
        <w:rPr/>
      </w:r>
    </w:p>
    <w:p>
      <w:pPr>
        <w:pStyle w:val="TextBody"/>
        <w:bidi w:val="0"/>
        <w:spacing w:lineRule="auto" w:line="285" w:before="0" w:after="0"/>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(e)all Deposit Accounts, all cash, and all other property from time to time deposited therein or otherwise credited thereto and the monies and property in the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603250"/>
                <wp:effectExtent l="0" t="0" r="0" b="0"/>
                <wp:wrapNone/>
                <wp:docPr id="183" name="Frame177"/>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3"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possession or under the control of the Administrative Agent or any Grantor or any of its Affiliates, representative, agent or correspondent of the Administrative Agent or any Grantor;</w:t>
      </w:r>
    </w:p>
    <w:p>
      <w:pPr>
        <w:pStyle w:val="TextBody"/>
        <w:bidi w:val="0"/>
        <w:spacing w:before="9"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(f)all Documents;</w:t>
      </w:r>
    </w:p>
    <w:p>
      <w:pPr>
        <w:pStyle w:val="TextBody"/>
        <w:bidi w:val="0"/>
        <w:spacing w:before="4"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(g)all Encumbrances;</w:t>
      </w:r>
    </w:p>
    <w:p>
      <w:pPr>
        <w:pStyle w:val="TextBody"/>
        <w:bidi w:val="0"/>
        <w:spacing w:before="9"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(h)all Equipment;</w:t>
      </w:r>
    </w:p>
    <w:p>
      <w:pPr>
        <w:pStyle w:val="TextBody"/>
        <w:bidi w:val="0"/>
        <w:spacing w:before="10"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(i)all Fixtures;</w:t>
      </w:r>
    </w:p>
    <w:p>
      <w:pPr>
        <w:pStyle w:val="TextBody"/>
        <w:bidi w:val="0"/>
        <w:spacing w:before="4" w:after="283"/>
        <w:jc w:val="left"/>
        <w:rPr/>
      </w:pPr>
      <w:r>
        <w:rPr/>
      </w:r>
    </w:p>
    <w:p>
      <w:pPr>
        <w:pStyle w:val="TextBody"/>
        <w:bidi w:val="0"/>
        <w:spacing w:lineRule="auto" w:line="285"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(j)all General Intangibles (including in respect of any intercompany Indebtedness);</w:t>
      </w:r>
    </w:p>
    <w:p>
      <w:pPr>
        <w:pStyle w:val="TextBody"/>
        <w:bidi w:val="0"/>
        <w:spacing w:before="6"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(k)all Goods not otherwise described in this Section 3;</w:t>
      </w:r>
    </w:p>
    <w:p>
      <w:pPr>
        <w:pStyle w:val="TextBody"/>
        <w:bidi w:val="0"/>
        <w:spacing w:before="9" w:after="283"/>
        <w:jc w:val="left"/>
        <w:rPr/>
      </w:pPr>
      <w:r>
        <w:rPr/>
      </w:r>
    </w:p>
    <w:p>
      <w:pPr>
        <w:pStyle w:val="TextBody"/>
        <w:bidi w:val="0"/>
        <w:spacing w:lineRule="auto" w:line="285"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(l)all Instruments, including all Promissory Notes and any Instrument evidencing any intercompany Indebtedness;</w:t>
      </w:r>
    </w:p>
    <w:p>
      <w:pPr>
        <w:pStyle w:val="TextBody"/>
        <w:bidi w:val="0"/>
        <w:spacing w:before="7"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(m)all Intellectual Property;</w:t>
      </w:r>
    </w:p>
    <w:p>
      <w:pPr>
        <w:pStyle w:val="TextBody"/>
        <w:bidi w:val="0"/>
        <w:spacing w:before="10"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(n)all Inventory;</w:t>
      </w:r>
    </w:p>
    <w:p>
      <w:pPr>
        <w:pStyle w:val="TextBody"/>
        <w:bidi w:val="0"/>
        <w:spacing w:before="5"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(o)all Letter of Credit Rights and all Supporting Obligations;</w:t>
      </w:r>
    </w:p>
    <w:p>
      <w:pPr>
        <w:pStyle w:val="TextBody"/>
        <w:bidi w:val="0"/>
        <w:spacing w:before="9"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(p)all Investment Property not otherwise described in this Section 3, including all Securities, all Securities Accounts and all Security Entitlements with respect thereto and Financial Assets carried therein, and all Commodity Accounts and Commodity Contracts;</w:t>
      </w:r>
    </w:p>
    <w:p>
      <w:pPr>
        <w:pStyle w:val="TextBody"/>
        <w:bidi w:val="0"/>
        <w:spacing w:before="10" w:after="283"/>
        <w:jc w:val="left"/>
        <w:rPr/>
      </w:pPr>
      <w:r>
        <w:rPr/>
      </w:r>
    </w:p>
    <w:p>
      <w:pPr>
        <w:pStyle w:val="TextBody"/>
        <w:bidi w:val="0"/>
        <w:spacing w:lineRule="auto" w:line="240" w:before="0" w:after="0"/>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(q)all Pledged Shares;</w:t>
      </w:r>
    </w:p>
    <w:p>
      <w:pPr>
        <w:pStyle w:val="TextBody"/>
        <w:bidi w:val="0"/>
        <w:spacing w:before="9" w:after="283"/>
        <w:jc w:val="left"/>
        <w:rPr/>
      </w:pPr>
      <w:r>
        <w:rPr/>
      </w:r>
    </w:p>
    <w:p>
      <w:pPr>
        <w:pStyle w:val="TextBody"/>
        <w:bidi w:val="0"/>
        <w:spacing w:lineRule="auto" w:line="240" w:before="1" w:after="283"/>
        <w:ind w:left="0" w:right="0" w:hanging="719"/>
        <w:jc w:val="left"/>
        <w:rPr>
          <w:rFonts w:ascii="Times New Roman;sans-serif" w:hAnsi="Times New Roman;sans-serif"/>
          <w:b w:val="false"/>
          <w:color w:val="000000"/>
          <w:sz w:val="24"/>
        </w:rPr>
      </w:pPr>
      <w:r>
        <w:rPr>
          <w:rFonts w:ascii="Times New Roman;sans-serif" w:hAnsi="Times New Roman;sans-serif"/>
          <w:b w:val="false"/>
          <w:color w:val="000000"/>
          <w:sz w:val="24"/>
        </w:rPr>
        <w:t>(r)all motor vehicles and other assets subject to Certificates of Title;</w:t>
      </w:r>
    </w:p>
    <w:p>
      <w:pPr>
        <w:pStyle w:val="TextBody"/>
        <w:bidi w:val="0"/>
        <w:spacing w:before="9"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(s)all other tangible and intangible personal property of such Grantor (whether or not subject to the UCC),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Section 3.01 (including, without limitation, any proceeds of insurance thereon and all causes of action, claims and warranties now or hereafter held by such Grantor in respect of any of the items listed above), and all books, correspondence, files, invoices and other Records, including, without limitation, all tapes, disks, cards, software, data and computer programs in the possession or under the control of such Grantor or any other Person from time to time acting for such Grantor that at any time evidence or contain information relating to any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603250"/>
                <wp:effectExtent l="0" t="0" r="0" b="0"/>
                <wp:wrapNone/>
                <wp:docPr id="184" name="Frame178"/>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r>
                                    <w:br w:type="page"/>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434" w:type="dxa"/>
                        <w:jc w:val="left"/>
                        <w:tblInd w:w="0" w:type="dxa"/>
                        <w:tblLayout w:type="fixed"/>
                        <w:tblCellMar>
                          <w:top w:w="28" w:type="dxa"/>
                          <w:left w:w="28" w:type="dxa"/>
                          <w:bottom w:w="28" w:type="dxa"/>
                          <w:right w:w="28" w:type="dxa"/>
                        </w:tblCellMar>
                      </w:tblPr>
                      <w:tblGrid>
                        <w:gridCol w:w="139"/>
                        <w:gridCol w:w="122"/>
                        <w:gridCol w:w="173"/>
                      </w:tblGrid>
                      <w:tr>
                        <w:trPr/>
                        <w:tc>
                          <w:tcPr>
                            <w:tcW w:w="13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434"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41" w:after="283"/>
        <w:jc w:val="left"/>
        <w:rPr>
          <w:rFonts w:ascii="Times New Roman;sans-serif" w:hAnsi="Times New Roman;sans-serif"/>
          <w:b w:val="false"/>
          <w:color w:val="000000"/>
          <w:sz w:val="24"/>
        </w:rPr>
      </w:pPr>
      <w:r>
        <w:rPr>
          <w:rFonts w:ascii="Times New Roman;sans-serif" w:hAnsi="Times New Roman;sans-serif"/>
          <w:b w:val="false"/>
          <w:color w:val="000000"/>
          <w:sz w:val="24"/>
        </w:rPr>
        <w:t>the property described in the preceding clauses of this Section 3.01 or are otherwise necessary or helpful in the collection or realization thereof; and</w:t>
      </w:r>
    </w:p>
    <w:p>
      <w:pPr>
        <w:pStyle w:val="TextBody"/>
        <w:bidi w:val="0"/>
        <w:spacing w:before="2" w:after="283"/>
        <w:jc w:val="left"/>
        <w:rPr/>
      </w:pPr>
      <w:r>
        <w:rPr/>
      </w:r>
    </w:p>
    <w:p>
      <w:pPr>
        <w:pStyle w:val="TextBody"/>
        <w:bidi w:val="0"/>
        <w:spacing w:lineRule="auto" w:line="285"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(t)all Proceeds, including all Cash Proceeds and Noncash Proceeds, of any and all of the foregoing Collateral;</w:t>
      </w:r>
    </w:p>
    <w:p>
      <w:pPr>
        <w:pStyle w:val="TextBody"/>
        <w:bidi w:val="0"/>
        <w:spacing w:before="7" w:after="283"/>
        <w:jc w:val="left"/>
        <w:rPr/>
      </w:pPr>
      <w:r>
        <w:rPr/>
      </w:r>
    </w:p>
    <w:p>
      <w:pPr>
        <w:pStyle w:val="TextBody"/>
        <w:bidi w:val="0"/>
        <w:spacing w:lineRule="auto" w:line="283" w:before="0" w:after="0"/>
        <w:jc w:val="both"/>
        <w:rPr/>
      </w:pPr>
      <w:r>
        <w:rPr>
          <w:rFonts w:ascii="Times New Roman;sans-serif" w:hAnsi="Times New Roman;sans-serif"/>
          <w:b w:val="false"/>
          <w:color w:val="000000"/>
          <w:sz w:val="24"/>
        </w:rPr>
        <w:t xml:space="preserve">in each case howsoever such Grantor’s interest therein may arise or appear (whether by ownership, security interest, claim or otherwise); </w:t>
      </w:r>
      <w:r>
        <w:rPr>
          <w:rFonts w:ascii="Times New Roman;sans-serif" w:hAnsi="Times New Roman;sans-serif"/>
          <w:b w:val="false"/>
          <w:i/>
          <w:color w:val="000000"/>
          <w:sz w:val="24"/>
        </w:rPr>
        <w:t xml:space="preserve">provided, however, </w:t>
      </w:r>
      <w:r>
        <w:rPr>
          <w:rFonts w:ascii="Times New Roman;sans-serif" w:hAnsi="Times New Roman;sans-serif"/>
          <w:b w:val="false"/>
          <w:color w:val="000000"/>
          <w:sz w:val="24"/>
        </w:rPr>
        <w:t>that, nothing set forth in this Section 3.01 or any other provision of this Agreement or any other Loan Document shall at any time constitute the grant of a security interest in, or a Lien on, any Excluded Asset, none of which shall constitute Collateral. For the avoidance of doubt, the Administrative Agent agrees that with respect to the Intellectual Property, the rights of the licensees under the Permitted Licenses will not be terminated, limited or otherwise materially and adversely affected by (i) the execution of or (ii) the exercise of the Administrative Agent’s rights under this Agreement or any other Loan Document.</w:t>
      </w:r>
    </w:p>
    <w:p>
      <w:pPr>
        <w:pStyle w:val="TextBody"/>
        <w:bidi w:val="0"/>
        <w:spacing w:before="1" w:after="283"/>
        <w:jc w:val="left"/>
        <w:rPr/>
      </w:pPr>
      <w:r>
        <w:rPr/>
      </w:r>
    </w:p>
    <w:p>
      <w:pPr>
        <w:pStyle w:val="TextBody"/>
        <w:bidi w:val="0"/>
        <w:spacing w:lineRule="auto" w:line="24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SECTION 4. FURTHER ASSURANCES; REMEDIES</w:t>
      </w:r>
    </w:p>
    <w:p>
      <w:pPr>
        <w:pStyle w:val="TextBody"/>
        <w:bidi w:val="0"/>
        <w:spacing w:before="9" w:after="283"/>
        <w:jc w:val="left"/>
        <w:rPr/>
      </w:pPr>
      <w:r>
        <w:rPr/>
      </w:r>
    </w:p>
    <w:p>
      <w:pPr>
        <w:pStyle w:val="TextBody"/>
        <w:bidi w:val="0"/>
        <w:spacing w:lineRule="auto" w:line="285"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furtherance of the grant of the security interest pursuant to Section 3, Grantors hereby jointly and severally agree with the Administrative Agent as follows:</w:t>
      </w:r>
    </w:p>
    <w:p>
      <w:pPr>
        <w:pStyle w:val="TextBody"/>
        <w:bidi w:val="0"/>
        <w:spacing w:before="7"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4.01. Delivery and Other Perfection. </w:t>
      </w:r>
      <w:r>
        <w:rPr>
          <w:rFonts w:ascii="Times New Roman;sans-serif" w:hAnsi="Times New Roman;sans-serif"/>
          <w:b w:val="false"/>
          <w:color w:val="000000"/>
          <w:sz w:val="24"/>
        </w:rPr>
        <w:t>Each Grantor shall promptly from time to time give, execute, deliver, file, record, authorize or obtain all such financing statements, continuation statements, notices, instruments, documents, agreements or consents as the Administrative Agent advises is necessary or reasonably requests to create, preserve, perfect, maintain the perfection of or validate the security interest granted pursuant hereto or to enable the Administrative Agent to exercise and enforce its rights hereunder with respect to such security interest, and without limiting the foregoing, shall:</w:t>
      </w:r>
    </w:p>
    <w:p>
      <w:pPr>
        <w:pStyle w:val="TextBody"/>
        <w:bidi w:val="0"/>
        <w:spacing w:before="7"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(a)if any of the Pledged Shares, Investment Property or Financial Assets constituting part of the Collateral are received by a Grantor, promptly (x) deliver to the Administrative Agent the certificates or instruments representing or evidencing the same, duly endorsed in blank or accompanied by such instruments of assignment and transfer in such form and substance as the Administrative Agent advises is necessary or reasonably requests, all of which thereafter shall be held by the Administrative Agent, pursuant to the terms of this Agreement, as part of the Collateral and (y) take such other action as the Administrative Agent may reasonably request to duly record or otherwise perfect the security interest created hereunder in such Collateral;</w:t>
      </w:r>
    </w:p>
    <w:p>
      <w:pPr>
        <w:pStyle w:val="TextBody"/>
        <w:bidi w:val="0"/>
        <w:spacing w:before="0" w:after="0"/>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 xml:space="preserve">(b)deliver to the Administrative Agent any and all Instruments constituting part of the Collateral (other than any such Instrument that does not exceed $500,000 in value at any time, unless the aggregate value of such Instruments exceeds $750,000), endorsed and/or accompanied by such instruments of assignment and transfer in such form and substance as the Administrative Agent may reasonably request;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 xml:space="preserve">that (other than in the case of the Promissory Notes described in Schedule 3) unless an Event </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603250"/>
                <wp:effectExtent l="0" t="0" r="0" b="0"/>
                <wp:wrapNone/>
                <wp:docPr id="185" name="Frame179"/>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of Default has occurred and is continuing, such Grantor may retain for collection in the ordinary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603250"/>
                <wp:effectExtent l="0" t="0" r="0" b="0"/>
                <wp:wrapNone/>
                <wp:docPr id="186" name="Frame180"/>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course any Instruments received by such Grantor in the Ordinary Course of Business and the Administrative Agent shall, promptly upon request of such Grantor, make appropriate arrangements for making any Instrument delivered by such Grantor available to such Grantor for purposes of presentation, collection or renewal (any such arrangement to be effected, to the extent requested by the Administrative Agent, against trust receipt or like document);</w:t>
      </w:r>
    </w:p>
    <w:p>
      <w:pPr>
        <w:pStyle w:val="TextBody"/>
        <w:bidi w:val="0"/>
        <w:spacing w:before="5"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(c)promptly from time to time enter into such control agreements, each in form and substance reasonably acceptable to the Administrative Agent, as may be required to perfect the security interest created hereby in any and all (i) Deposit Accounts, Securities Accounts and Commodity Accounts owned by the Obligors (other than Excluded Accounts), and (ii) Investment Property, Electronic Chattel Paper and Letter of Credit Rights (except with respect to Pledged Shares, other than any such property described in this subclause (ii) that does not exceed $500,000 in value at any time, unless the aggregate value of such property exceeds $750,000), and will promptly furnish to the Administrative Agent true copies thereof;</w:t>
      </w:r>
    </w:p>
    <w:p>
      <w:pPr>
        <w:pStyle w:val="TextBody"/>
        <w:bidi w:val="0"/>
        <w:spacing w:before="0" w:after="0"/>
        <w:jc w:val="left"/>
        <w:rPr/>
      </w:pPr>
      <w:r>
        <w:rPr/>
      </w:r>
    </w:p>
    <w:p>
      <w:pPr>
        <w:pStyle w:val="TextBody"/>
        <w:bidi w:val="0"/>
        <w:spacing w:lineRule="auto" w:line="283"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(d)promptly from time to time upon the written request of the Administrative Agent, take such other action as the Administrative Agent may reasonably request to file filings with the United States Patent and Trademark Office or United States Copyright Office (or any successor office), as applicable, in that portion of the Collateral consisting of Intellectual Property; and</w:t>
      </w:r>
    </w:p>
    <w:p>
      <w:pPr>
        <w:pStyle w:val="TextBody"/>
        <w:bidi w:val="0"/>
        <w:spacing w:before="7" w:after="283"/>
        <w:jc w:val="left"/>
        <w:rPr/>
      </w:pPr>
      <w:r>
        <w:rPr/>
      </w:r>
    </w:p>
    <w:p>
      <w:pPr>
        <w:pStyle w:val="TextBody"/>
        <w:bidi w:val="0"/>
        <w:spacing w:lineRule="auto" w:line="283" w:before="1" w:after="283"/>
        <w:ind w:left="0" w:right="0" w:firstLine="720"/>
        <w:jc w:val="both"/>
        <w:rPr/>
      </w:pPr>
      <w:r>
        <w:rPr>
          <w:rFonts w:ascii="Times New Roman;sans-serif" w:hAnsi="Times New Roman;sans-serif"/>
          <w:b w:val="false"/>
          <w:color w:val="000000"/>
          <w:sz w:val="24"/>
        </w:rPr>
        <w:t xml:space="preserve">(e)deliver to the Administrative Agent any and all Certificates of Title constituting part of the Collateral (other than any such Certificates of Title that does not exceed $500,000 in value at any time, unless the aggregate value of such Certificates of Title exceeds $1,000,000), endorsed and/or accompanied by such instruments of assignment and transfer in such form and substance as the Administrative Agent may reasonably request;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unless an Event of Default has occurred and is continuing, such Grantor may retain for collection in the ordinary course any Certificates of Title received by such Grantor in the Ordinary Course of Business and the Administrative Agent shall, promptly upon request of such Grantor, make appropriate arrangements for making any Certificates of Title delivered by such Grantor available to such Grantor for purposes of presentation, collection or renewal (any such arrangement to be effected, to the extent requested by the Administrative Agent, against trust receipt or like document).</w:t>
      </w:r>
    </w:p>
    <w:p>
      <w:pPr>
        <w:pStyle w:val="TextBody"/>
        <w:bidi w:val="0"/>
        <w:spacing w:before="9" w:after="283"/>
        <w:jc w:val="left"/>
        <w:rPr/>
      </w:pPr>
      <w:r>
        <w:rPr/>
      </w:r>
    </w:p>
    <w:p>
      <w:pPr>
        <w:pStyle w:val="TextBody"/>
        <w:bidi w:val="0"/>
        <w:spacing w:lineRule="auto" w:line="28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Notwithstanding anything in this Agreement or any other Loan Document to the contrary, other than with respect to a Foreign Subsidiary that becomes an Obligor pursuant to the terms of the Credit Agreement and other Loan Documents, none of the Grantors shall be required, nor is the Administrative Agent authorized, to take any actions in, or required by the Laws of, any jurisdiction other than the United States of America to create, perfect or maintain any security interest in any assets, including (without limitation) any Intellectual Property registered outside of the United States and all real property located in a federal flood zone or outside the United States (it being understood that there shall be no security agreements, pledge agreements or similar security documents governed by the Laws of any non-U.S. jurisdiction).</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603250"/>
                <wp:effectExtent l="0" t="0" r="0" b="0"/>
                <wp:wrapNone/>
                <wp:docPr id="187" name="Frame181"/>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603250"/>
                <wp:effectExtent l="0" t="0" r="0" b="0"/>
                <wp:wrapNone/>
                <wp:docPr id="188" name="Frame182"/>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36" w:after="283"/>
        <w:ind w:left="0" w:right="0" w:firstLine="720"/>
        <w:jc w:val="both"/>
        <w:rPr/>
      </w:pPr>
      <w:r>
        <w:rPr>
          <w:rFonts w:ascii="Times New Roman;sans-serif" w:hAnsi="Times New Roman;sans-serif"/>
          <w:b w:val="false"/>
          <w:i/>
          <w:color w:val="000000"/>
          <w:sz w:val="24"/>
        </w:rPr>
        <w:t xml:space="preserve">Section 4.02. Other Financing Statements or Control. </w:t>
      </w:r>
      <w:r>
        <w:rPr>
          <w:rFonts w:ascii="Times New Roman;sans-serif" w:hAnsi="Times New Roman;sans-serif"/>
          <w:b w:val="false"/>
          <w:color w:val="000000"/>
          <w:sz w:val="24"/>
        </w:rPr>
        <w:t>Except as otherwise permitted under the Loan Documents, no Grantor shall (a) file or authorize or permit to be filed or to be on file, in any jurisdiction, any financing statement or like instrument with respect to any of the Collateral in which the Administrative Agent is not named as the sole secured party (except to the extent that such financing statement or instrument relates to a Permitted Lien), or (b) cause or permit any Person other than the Administrative Agent or any holder of a Permitted Lien to have “control” (as defined in Section 9-104, 9-105, 9-106 or 9-107 of the UCC) of any Deposit Account, Securities Account or Commodity Account (in each case other than Excluded Accounts), Electronic Chattel Paper, Investment Property or Letter of Credit Right constituting part of the Collateral.</w:t>
      </w:r>
    </w:p>
    <w:p>
      <w:pPr>
        <w:pStyle w:val="TextBody"/>
        <w:bidi w:val="0"/>
        <w:spacing w:before="2" w:after="283"/>
        <w:jc w:val="left"/>
        <w:rPr/>
      </w:pPr>
      <w:r>
        <w:rPr/>
      </w:r>
    </w:p>
    <w:p>
      <w:pPr>
        <w:pStyle w:val="TextBody"/>
        <w:bidi w:val="0"/>
        <w:spacing w:lineRule="auto" w:line="285" w:before="1" w:after="283"/>
        <w:ind w:left="0" w:right="0" w:firstLine="720"/>
        <w:jc w:val="both"/>
        <w:rPr/>
      </w:pPr>
      <w:r>
        <w:rPr>
          <w:rFonts w:ascii="Times New Roman;sans-serif" w:hAnsi="Times New Roman;sans-serif"/>
          <w:b w:val="false"/>
          <w:i/>
          <w:color w:val="000000"/>
          <w:sz w:val="24"/>
        </w:rPr>
        <w:t xml:space="preserve">Section 4.03. Preservation of Rights. </w:t>
      </w:r>
      <w:r>
        <w:rPr>
          <w:rFonts w:ascii="Times New Roman;sans-serif" w:hAnsi="Times New Roman;sans-serif"/>
          <w:b w:val="false"/>
          <w:color w:val="000000"/>
          <w:sz w:val="24"/>
        </w:rPr>
        <w:t>The Administrative Agent shall not be required to take steps necessary to preserve any rights against prior parties to any of the Collateral.</w:t>
      </w:r>
    </w:p>
    <w:p>
      <w:pPr>
        <w:pStyle w:val="TextBody"/>
        <w:bidi w:val="0"/>
        <w:spacing w:before="6" w:after="283"/>
        <w:jc w:val="left"/>
        <w:rPr/>
      </w:pPr>
      <w:r>
        <w:rPr/>
      </w:r>
    </w:p>
    <w:p>
      <w:pPr>
        <w:pStyle w:val="TextBody"/>
        <w:bidi w:val="0"/>
        <w:spacing w:lineRule="auto" w:line="240" w:before="1" w:after="283"/>
        <w:jc w:val="left"/>
        <w:rPr/>
      </w:pPr>
      <w:r>
        <w:rPr>
          <w:rFonts w:ascii="Times New Roman;sans-serif" w:hAnsi="Times New Roman;sans-serif"/>
          <w:b w:val="false"/>
          <w:i/>
          <w:color w:val="000000"/>
          <w:sz w:val="24"/>
        </w:rPr>
        <w:t>Section 4.04. Special Provisions Relating to Certain Collateral</w:t>
      </w:r>
      <w:r>
        <w:rPr>
          <w:rFonts w:ascii="Times New Roman;sans-serif" w:hAnsi="Times New Roman;sans-serif"/>
          <w:b w:val="false"/>
          <w:color w:val="000000"/>
          <w:sz w:val="24"/>
        </w:rPr>
        <w:t>.</w:t>
      </w:r>
    </w:p>
    <w:p>
      <w:pPr>
        <w:pStyle w:val="TextBody"/>
        <w:bidi w:val="0"/>
        <w:spacing w:before="9" w:after="283"/>
        <w:jc w:val="left"/>
        <w:rPr/>
      </w:pPr>
      <w:r>
        <w:rPr/>
      </w:r>
    </w:p>
    <w:p>
      <w:pPr>
        <w:pStyle w:val="TextBody"/>
        <w:bidi w:val="0"/>
        <w:spacing w:lineRule="auto" w:line="285" w:before="0" w:after="0"/>
        <w:ind w:left="0" w:right="0" w:firstLine="720"/>
        <w:jc w:val="left"/>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Pledged Shares. </w:t>
      </w:r>
      <w:r>
        <w:rPr>
          <w:rFonts w:ascii="Times New Roman;sans-serif" w:hAnsi="Times New Roman;sans-serif"/>
          <w:b w:val="false"/>
          <w:color w:val="000000"/>
          <w:sz w:val="24"/>
        </w:rPr>
        <w:t>(i) Grantors will cause the Pledged Shares to constitute at all times 100% of the total number of Shares of each Issuer then outstanding owned by Grantors.</w:t>
      </w:r>
    </w:p>
    <w:p>
      <w:pPr>
        <w:pStyle w:val="TextBody"/>
        <w:bidi w:val="0"/>
        <w:spacing w:before="7" w:after="283"/>
        <w:jc w:val="left"/>
        <w:rPr/>
      </w:pPr>
      <w:r>
        <w:rPr/>
      </w:r>
    </w:p>
    <w:p>
      <w:pPr>
        <w:pStyle w:val="TextBody"/>
        <w:bidi w:val="0"/>
        <w:spacing w:lineRule="auto" w:line="283" w:before="0" w:after="0"/>
        <w:ind w:left="0" w:right="0" w:firstLine="810"/>
        <w:jc w:val="both"/>
        <w:rPr/>
      </w:pPr>
      <w:r>
        <w:rPr>
          <w:rFonts w:ascii="Times New Roman;sans-serif" w:hAnsi="Times New Roman;sans-serif"/>
          <w:b w:val="false"/>
          <w:color w:val="000000"/>
          <w:sz w:val="24"/>
        </w:rPr>
        <w:t xml:space="preserve">(ii)Unless an Event of Default has occurred and is continuing and the Administrative Agent has given the Grantors prior written notice, Grantors shall have the right to exercise all voting, consensual and other powers of ownership pertaining to the Pledged Shares for all purposes not inconsistent with the terms of this Agreement and the other Loan Documents,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Grantors jointly and severally agree that they will not vote the Pledged Shares in any manner that is inconsistent with the terms of this Agreement and the other Loan Documents; and the Administrative Agent shall execute and deliver to Grantors or cause to be executed and delivered to Grantors all such proxies, powers of attorney, dividend and other orders, and all such instruments, without recourse, as Grantors may reasonably request for the purpose of enabling Grantors to exercise the rights and powers that it is entitled to exercise pursuant to this Section 4.04(a)(ii).</w:t>
      </w:r>
    </w:p>
    <w:p>
      <w:pPr>
        <w:pStyle w:val="TextBody"/>
        <w:bidi w:val="0"/>
        <w:spacing w:before="11" w:after="283"/>
        <w:jc w:val="left"/>
        <w:rPr/>
      </w:pPr>
      <w:r>
        <w:rPr/>
      </w:r>
    </w:p>
    <w:p>
      <w:pPr>
        <w:pStyle w:val="TextBody"/>
        <w:bidi w:val="0"/>
        <w:spacing w:lineRule="auto" w:line="283" w:before="0" w:after="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(iii)Unless an Event of Default has occurred and is continuing and the Administrative Agent has given the Grantors prior written notice, Grantors shall be entitled to receive and retain any dividends, distributions or proceeds on the Pledged Shares.</w:t>
      </w:r>
    </w:p>
    <w:p>
      <w:pPr>
        <w:pStyle w:val="TextBody"/>
        <w:bidi w:val="0"/>
        <w:spacing w:before="9" w:after="283"/>
        <w:jc w:val="left"/>
        <w:rPr/>
      </w:pPr>
      <w:r>
        <w:rPr/>
      </w:r>
    </w:p>
    <w:p>
      <w:pPr>
        <w:pStyle w:val="TextBody"/>
        <w:bidi w:val="0"/>
        <w:spacing w:lineRule="auto" w:line="283" w:before="0" w:after="0"/>
        <w:ind w:left="0" w:right="0" w:firstLine="81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(iv)If an Event of Default has occurred and is continuing and the Administrative Agent has given the Grantors prior written notice, whether or not the Administrative Agent has declared any Secured Obligations due and payable or seeks or pursues any other relief or remedy available to it under applicable law or under this Agreement or the other Loan Documents, all dividends and other distributions on the Pledged Shares shall be paid directly to the Administrative Agent for distribution to the Secured Parties and retained by them as part of the Collateral, subject to the terms of this Agreement, and, if the Administrative Agent shall so request in writing, Grantors jointly and severally agree to execute and deliver to the Administrative Agent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603250"/>
                <wp:effectExtent l="0" t="0" r="0" b="0"/>
                <wp:wrapNone/>
                <wp:docPr id="189" name="Frame183"/>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0" w:after="0"/>
        <w:jc w:val="both"/>
        <w:rPr/>
      </w:pPr>
      <w:r>
        <w:rPr>
          <w:rFonts w:ascii="Times New Roman;sans-serif" w:hAnsi="Times New Roman;sans-serif"/>
          <w:b w:val="false"/>
          <w:color w:val="000000"/>
          <w:sz w:val="24"/>
        </w:rPr>
        <w:t xml:space="preserve">additional dividend, distribution and other orders and documents to that end,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if such Event of Default is no longer continuing, any such dividend or distribution theretofore paid to the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603250"/>
                <wp:effectExtent l="0" t="0" r="0" b="0"/>
                <wp:wrapNone/>
                <wp:docPr id="190" name="Frame184"/>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4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Administrative Agent shall, upon request of Grantors (except to the extent theretofore applied to the Secured Obligations), be returned by the Administrative Agent to Grantors.</w:t>
      </w:r>
    </w:p>
    <w:p>
      <w:pPr>
        <w:pStyle w:val="TextBody"/>
        <w:bidi w:val="0"/>
        <w:spacing w:before="2"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Intellectual Property. </w:t>
      </w:r>
      <w:r>
        <w:rPr>
          <w:rFonts w:ascii="Times New Roman;sans-serif" w:hAnsi="Times New Roman;sans-serif"/>
          <w:b w:val="false"/>
          <w:color w:val="000000"/>
          <w:sz w:val="24"/>
        </w:rPr>
        <w:t>(i) Each Grantor hereby grants to the Administrative Agent, with effect from the occurrence of an Event of Default that is continuing, solely to the extent assignable, not otherwise prohibited by applicable Law or the documentation governing such Intellectual Property, and not giving rise to any liability to or obligations on such Grantor, a non- exclusive license (exercisable without payment of royalty or other compensation to such Grantor) to use, and the right to assign, license or sublicense, any of the Intellectual Property rights included in the Collateral now owned or hereafter acquired by such Grantor, wherever the same may be located, solely for the purpose of enabling the Administrative Agent, for the benefit of the Administrative Agent and the Secured Parties, to exercise rights and remedies under Section 4.05 at such time as the Administrative Agent shall be lawfully entitled to exercise such rights and remedies after the occurrence and during the continuation of an Event of Default, and for no other purpose. Such non-exclusive license to the Administrative Agent includes reasonable access to all media in which any of the licensed items may be recorded or stored and to all computer programs used for the compilation or printout thereof.</w:t>
      </w:r>
    </w:p>
    <w:p>
      <w:pPr>
        <w:pStyle w:val="TextBody"/>
        <w:bidi w:val="0"/>
        <w:spacing w:before="6" w:after="283"/>
        <w:jc w:val="left"/>
        <w:rPr/>
      </w:pPr>
      <w:r>
        <w:rPr/>
      </w:r>
    </w:p>
    <w:p>
      <w:pPr>
        <w:pStyle w:val="TextBody"/>
        <w:bidi w:val="0"/>
        <w:spacing w:lineRule="auto" w:line="283" w:before="0" w:after="0"/>
        <w:ind w:left="0" w:right="0" w:firstLine="642"/>
        <w:jc w:val="both"/>
        <w:rPr>
          <w:rFonts w:ascii="Times New Roman;sans-serif" w:hAnsi="Times New Roman;sans-serif"/>
          <w:b w:val="false"/>
          <w:color w:val="000000"/>
          <w:sz w:val="24"/>
        </w:rPr>
      </w:pPr>
      <w:r>
        <w:rPr>
          <w:rFonts w:ascii="Times New Roman;sans-serif" w:hAnsi="Times New Roman;sans-serif"/>
          <w:b w:val="false"/>
          <w:color w:val="000000"/>
          <w:sz w:val="24"/>
        </w:rPr>
        <w:t>(ii) Notwithstanding anything contained herein to the contrary, but subject to any provision of the Loan Documents that limits the rights of any Grantor to dispose of its property, unless an Event of Default has occurred and is continuing, Grantors will be permitted to exploit, use, enjoy, protect, defend, enforce, license, sublicense, assign, sell, dispose of or take other actions with respect to the Intellectual Property in the Ordinary Course of the Business of Grantors. In furtherance of the foregoing, unless an Event of Default has occurred and is continuing, the Administrative Agent shall from time to time, upon the request of the respective Grantor, execute and deliver any instruments, certificates or other documents, in the form so requested, that such Grantor shall have certified are appropriate in its judgment to allow it to take any action permitted above (including relinquishment of the license provided pursuant to Section 4.04(b)(i) as to any specific Intellectual Property). Further, upon the payment in full of all of the Secured Obligations or earlier expiration of this Agreement or release of the Collateral, the license granted by Grantors to the Administrative Agent pursuant to Section 4.04(b)(i) will automatically terminate without any further action by any party hereto. The exercise of rights and remedies under Section 4.05 by the Administrative Agent shall not terminate the rights of the holders of any licenses, covenants not to sue or sublicenses theretofore granted by Grantors in accordance with the first sentence of this Section 4.04(b)(ii).</w:t>
      </w:r>
    </w:p>
    <w:p>
      <w:pPr>
        <w:pStyle w:val="TextBody"/>
        <w:bidi w:val="0"/>
        <w:spacing w:before="1" w:after="283"/>
        <w:jc w:val="left"/>
        <w:rPr/>
      </w:pPr>
      <w:r>
        <w:rPr/>
      </w:r>
    </w:p>
    <w:p>
      <w:pPr>
        <w:pStyle w:val="TextBody"/>
        <w:bidi w:val="0"/>
        <w:spacing w:lineRule="auto" w:line="283" w:before="1" w:after="283"/>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 xml:space="preserve">Chattel Paper. </w:t>
      </w:r>
      <w:r>
        <w:rPr>
          <w:rFonts w:ascii="Times New Roman;sans-serif" w:hAnsi="Times New Roman;sans-serif"/>
          <w:b w:val="false"/>
          <w:color w:val="000000"/>
          <w:sz w:val="24"/>
        </w:rPr>
        <w:t>Grantors will deliver to the Administrative Agent each original of each item of Chattel Paper at any time constituting part of the Collateral (other than any such Chattel Paper that does not exceed $500,000 in value at any time, unless the aggregate value of such Chattel Paper exceeds $750,000).</w:t>
      </w:r>
    </w:p>
    <w:p>
      <w:pPr>
        <w:pStyle w:val="TextBody"/>
        <w:bidi w:val="0"/>
        <w:spacing w:before="11"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4.05. Remedies.</w:t>
      </w:r>
    </w:p>
    <w:p>
      <w:pPr>
        <w:pStyle w:val="TextBody"/>
        <w:bidi w:val="0"/>
        <w:spacing w:before="9"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Rights and Remedies Generally upon Event of Default. </w:t>
      </w:r>
      <w:r>
        <w:rPr>
          <w:rFonts w:ascii="Times New Roman;sans-serif" w:hAnsi="Times New Roman;sans-serif"/>
          <w:b w:val="false"/>
          <w:color w:val="000000"/>
          <w:sz w:val="24"/>
        </w:rPr>
        <w:t xml:space="preserve">If an Event of Default has occurred and is continuing, the Administrative Agent on behalf of the Secured Parties shall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603250"/>
                <wp:effectExtent l="0" t="0" r="0" b="0"/>
                <wp:wrapNone/>
                <wp:docPr id="191" name="Frame185"/>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have all of the rights and remedies with respect to the Collateral of a secured party under the UCC</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603250"/>
                <wp:effectExtent l="0" t="0" r="0" b="0"/>
                <wp:wrapNone/>
                <wp:docPr id="192" name="Frame186"/>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(whether or not the Uniform Commercial Code is in effect in the jurisdiction where the rights and remedies are asserted) and such additional rights and remedies to which a secured party is entitled under the Law in effect in any jurisdiction where any rights and remedies hereunder may be asserted, including the right, to the fullest extent permitted by Law, to exercise all voting, consensual and other powers of ownership pertaining to the Collateral as if the Administrative Agent was the sole and absolute owner thereof (and each Grantor agrees to take all such action as may be appropriate to give effect to such right). If an Event of Default has occurred and is continuing, the Administrative Agent may exercise, on behalf of all of the Secured Parties, such rights and remedies described above; and without limiting the foregoing:</w:t>
      </w:r>
    </w:p>
    <w:p>
      <w:pPr>
        <w:pStyle w:val="TextBody"/>
        <w:bidi w:val="0"/>
        <w:spacing w:before="1" w:after="283"/>
        <w:jc w:val="left"/>
        <w:rPr/>
      </w:pPr>
      <w:r>
        <w:rPr/>
      </w:r>
    </w:p>
    <w:p>
      <w:pPr>
        <w:pStyle w:val="TextBody"/>
        <w:bidi w:val="0"/>
        <w:spacing w:lineRule="auto" w:line="280"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(i)the Administrative Agent may, in its name or in the name of any Grantor or otherwise, demand, sue for, collect or receive any money or other property at any time payable or receivable on account of or in exchange for any of the Collateral, but shall be under no obligation to do so;</w:t>
      </w:r>
    </w:p>
    <w:p>
      <w:pPr>
        <w:pStyle w:val="TextBody"/>
        <w:bidi w:val="0"/>
        <w:spacing w:before="5" w:after="283"/>
        <w:jc w:val="left"/>
        <w:rPr/>
      </w:pPr>
      <w:r>
        <w:rPr/>
      </w:r>
    </w:p>
    <w:p>
      <w:pPr>
        <w:pStyle w:val="TextBody"/>
        <w:bidi w:val="0"/>
        <w:spacing w:lineRule="auto" w:line="283" w:before="1" w:after="283"/>
        <w:ind w:left="0" w:right="0" w:firstLine="786"/>
        <w:jc w:val="both"/>
        <w:rPr>
          <w:rFonts w:ascii="Times New Roman;sans-serif" w:hAnsi="Times New Roman;sans-serif"/>
          <w:b w:val="false"/>
          <w:color w:val="000000"/>
          <w:sz w:val="24"/>
        </w:rPr>
      </w:pPr>
      <w:r>
        <w:rPr>
          <w:rFonts w:ascii="Times New Roman;sans-serif" w:hAnsi="Times New Roman;sans-serif"/>
          <w:b w:val="false"/>
          <w:color w:val="000000"/>
          <w:sz w:val="24"/>
        </w:rPr>
        <w:t>(ii)the Administrative Agent may make any reasonable compromise or settlement deemed desirable with respect to any of the Collateral and may extend the time of payment, arrange for payment in installments, or otherwise modify the terms of, any of the Collateral;</w:t>
      </w:r>
    </w:p>
    <w:p>
      <w:pPr>
        <w:pStyle w:val="TextBody"/>
        <w:bidi w:val="0"/>
        <w:spacing w:before="11"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(iii)the Administrative Agent may require Grantors to notify (and each Grantor hereby authorizes the Administrative Agent to so notify) each account debtor in respect of any Account, Chattel Paper or General Intangible, and each obligor on any Instrument, constituting part of the Collateral that such Collateral has been assigned to the Administrative Agent hereunder, and to instruct that any payments due or to become due in respect of such Collateral shall be made directly to the Administrative Agent or as it may direct (and if any such payments, or any other Proceeds of Collateral, are received by any Grantor they shall be held in trust by such Grantor for the benefit of the Administrative Agent and as promptly as possible remitted or delivered to the Administrative Agent for application as provided herein);</w:t>
      </w:r>
    </w:p>
    <w:p>
      <w:pPr>
        <w:pStyle w:val="TextBody"/>
        <w:bidi w:val="0"/>
        <w:spacing w:before="2" w:after="283"/>
        <w:jc w:val="left"/>
        <w:rPr/>
      </w:pPr>
      <w:r>
        <w:rPr/>
      </w:r>
    </w:p>
    <w:p>
      <w:pPr>
        <w:pStyle w:val="TextBody"/>
        <w:bidi w:val="0"/>
        <w:spacing w:lineRule="auto" w:line="283" w:before="0" w:after="0"/>
        <w:ind w:left="0" w:right="0" w:firstLine="733"/>
        <w:jc w:val="both"/>
        <w:rPr>
          <w:rFonts w:ascii="Times New Roman;sans-serif" w:hAnsi="Times New Roman;sans-serif"/>
          <w:b w:val="false"/>
          <w:color w:val="000000"/>
          <w:sz w:val="24"/>
        </w:rPr>
      </w:pPr>
      <w:r>
        <w:rPr>
          <w:rFonts w:ascii="Times New Roman;sans-serif" w:hAnsi="Times New Roman;sans-serif"/>
          <w:b w:val="false"/>
          <w:color w:val="000000"/>
          <w:sz w:val="24"/>
        </w:rPr>
        <w:t>(iv)the Administrative Agent may require Grantors to assemble the Collateral at such place or places, convenient to the Administrative Agent and Grantors, as the Administrative Agent may direct;</w:t>
      </w:r>
    </w:p>
    <w:p>
      <w:pPr>
        <w:pStyle w:val="TextBody"/>
        <w:bidi w:val="0"/>
        <w:spacing w:before="9" w:after="283"/>
        <w:jc w:val="left"/>
        <w:rPr/>
      </w:pPr>
      <w:r>
        <w:rPr/>
      </w:r>
    </w:p>
    <w:p>
      <w:pPr>
        <w:pStyle w:val="TextBody"/>
        <w:bidi w:val="0"/>
        <w:spacing w:lineRule="auto" w:line="283" w:before="0" w:after="0"/>
        <w:ind w:left="0" w:right="0" w:firstLine="800"/>
        <w:jc w:val="both"/>
        <w:rPr>
          <w:rFonts w:ascii="Times New Roman;sans-serif" w:hAnsi="Times New Roman;sans-serif"/>
          <w:b w:val="false"/>
          <w:color w:val="000000"/>
          <w:sz w:val="24"/>
        </w:rPr>
      </w:pPr>
      <w:r>
        <w:rPr>
          <w:rFonts w:ascii="Times New Roman;sans-serif" w:hAnsi="Times New Roman;sans-serif"/>
          <w:b w:val="false"/>
          <w:color w:val="000000"/>
          <w:sz w:val="24"/>
        </w:rPr>
        <w:t>(v)subject to Section 4.04(a), the Administrative Agent may vote the Pledged Shares with respect to any and all matters and to exercise all of a Grantor’s rights to payments, conversion, exchange, subscription or otherwise with respect to such Pledged Shares;</w:t>
      </w:r>
    </w:p>
    <w:p>
      <w:pPr>
        <w:pStyle w:val="TextBody"/>
        <w:bidi w:val="0"/>
        <w:spacing w:before="0" w:after="0"/>
        <w:jc w:val="left"/>
        <w:rPr/>
      </w:pPr>
      <w:r>
        <w:rPr/>
      </w:r>
    </w:p>
    <w:p>
      <w:pPr>
        <w:pStyle w:val="TextBody"/>
        <w:bidi w:val="0"/>
        <w:spacing w:lineRule="auto" w:line="283" w:before="0" w:after="0"/>
        <w:ind w:left="0" w:right="0" w:firstLine="733"/>
        <w:jc w:val="both"/>
        <w:rPr>
          <w:rFonts w:ascii="Times New Roman;sans-serif" w:hAnsi="Times New Roman;sans-serif"/>
          <w:b w:val="false"/>
          <w:color w:val="000000"/>
          <w:sz w:val="24"/>
        </w:rPr>
      </w:pPr>
      <w:r>
        <w:rPr>
          <w:rFonts w:ascii="Times New Roman;sans-serif" w:hAnsi="Times New Roman;sans-serif"/>
          <w:b w:val="false"/>
          <w:color w:val="000000"/>
          <w:sz w:val="24"/>
        </w:rPr>
        <w:t>(vi)subject to Section 4.04(a) the Administrative Agent may require Grantors to cause the Pledged Shares to be transferred of record into the name of the Administrative Agent or its nominee (and the Administrative Agent agrees that if any of such Pledged Shares is transferred into its name or the name of its nominee, the Administrative Agent will thereafter promptly give to the respective Grantor copies of any notices and communications received by it with respect to such Pledged Shares);</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603250"/>
                <wp:effectExtent l="0" t="0" r="0" b="0"/>
                <wp:wrapNone/>
                <wp:docPr id="193" name="Frame187"/>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603250"/>
                <wp:effectExtent l="0" t="0" r="0" b="0"/>
                <wp:wrapNone/>
                <wp:docPr id="194" name="Frame188"/>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-19-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36" w:after="283"/>
        <w:ind w:left="0" w:right="0" w:firstLine="666"/>
        <w:jc w:val="both"/>
        <w:rPr>
          <w:rFonts w:ascii="Times New Roman;sans-serif" w:hAnsi="Times New Roman;sans-serif"/>
          <w:b w:val="false"/>
          <w:color w:val="000000"/>
          <w:sz w:val="24"/>
        </w:rPr>
      </w:pPr>
      <w:r>
        <w:rPr>
          <w:rFonts w:ascii="Times New Roman;sans-serif" w:hAnsi="Times New Roman;sans-serif"/>
          <w:b w:val="false"/>
          <w:color w:val="000000"/>
          <w:sz w:val="24"/>
        </w:rPr>
        <w:t>(vii)the Administrative Agent may sell, lease, assign or otherwise dispose of all or any part of the Collateral, at such place or places as the Administrative Agent deems best, and for cash or for credit or for future delivery (without thereby assuming any credit risk), at public or private sale, without demand of performance or notice of intention to effect any such disposition or of the time or place thereof (except such notice as is required by the UCC or other applicable statute and cannot be waived), and the Secured Parties, the Administrative Agent or anyone else may be the purchaser, lessee, assignee or recipient of any or all of the Collateral so disposed of at any public sale (or, to the extent permitted by law, at any private sale) and thereafter hold the same absolutely, free from any claim or right of whatsoever kind, including any right or equity of redemption (statutory or otherwise), of Grantors, any such demand, notice and right or equity being hereby expressly waived and released to the fullest extent permitted by applicable law. In the event of any sale, assignment, or other disposition of any of the Collateral consisting of Trademarks, the goodwill connected with and symbolized by the Trademarks subject to such disposition shall be included. The Administrative Agent may, without notice or publication, adjourn any public or private sale or cause the same to be adjourned from time to time by announcement at the time and place fixed for the sale, and such sale may be made at any time or place to which the sale may be so adjourned;</w:t>
      </w:r>
    </w:p>
    <w:p>
      <w:pPr>
        <w:pStyle w:val="TextBody"/>
        <w:bidi w:val="0"/>
        <w:spacing w:before="4" w:after="283"/>
        <w:jc w:val="left"/>
        <w:rPr/>
      </w:pPr>
      <w:r>
        <w:rPr/>
      </w:r>
    </w:p>
    <w:p>
      <w:pPr>
        <w:pStyle w:val="TextBody"/>
        <w:bidi w:val="0"/>
        <w:spacing w:lineRule="auto" w:line="280" w:before="0" w:after="0"/>
        <w:ind w:left="0" w:right="0" w:firstLine="600"/>
        <w:jc w:val="both"/>
        <w:rPr>
          <w:rFonts w:ascii="Times New Roman;sans-serif" w:hAnsi="Times New Roman;sans-serif"/>
          <w:b w:val="false"/>
          <w:color w:val="000000"/>
          <w:sz w:val="24"/>
        </w:rPr>
      </w:pPr>
      <w:r>
        <w:rPr>
          <w:rFonts w:ascii="Times New Roman;sans-serif" w:hAnsi="Times New Roman;sans-serif"/>
          <w:b w:val="false"/>
          <w:color w:val="000000"/>
          <w:sz w:val="24"/>
        </w:rPr>
        <w:t>(viii)the Administrative Agent may deliver notices of control in accordance with the terms of the applicable account control agreements entered into pursuant to Section 4.01(c) with respect to any Collateral held in a Deposit Account, Securities Account or Commodities Account; and</w:t>
      </w:r>
    </w:p>
    <w:p>
      <w:pPr>
        <w:pStyle w:val="TextBody"/>
        <w:bidi w:val="0"/>
        <w:spacing w:before="5" w:after="283"/>
        <w:jc w:val="left"/>
        <w:rPr/>
      </w:pPr>
      <w:r>
        <w:rPr/>
      </w:r>
    </w:p>
    <w:p>
      <w:pPr>
        <w:pStyle w:val="TextBody"/>
        <w:bidi w:val="0"/>
        <w:spacing w:lineRule="auto" w:line="285" w:before="1" w:after="283"/>
        <w:ind w:left="0" w:right="0" w:firstLine="733"/>
        <w:jc w:val="both"/>
        <w:rPr>
          <w:rFonts w:ascii="Times New Roman;sans-serif" w:hAnsi="Times New Roman;sans-serif"/>
          <w:b w:val="false"/>
          <w:color w:val="000000"/>
          <w:sz w:val="24"/>
        </w:rPr>
      </w:pPr>
      <w:r>
        <w:rPr>
          <w:rFonts w:ascii="Times New Roman;sans-serif" w:hAnsi="Times New Roman;sans-serif"/>
          <w:b w:val="false"/>
          <w:color w:val="000000"/>
          <w:sz w:val="24"/>
        </w:rPr>
        <w:t>(ix)the Proceeds of each collection, sale or other disposition under this Section 4.05, including by virtue of the exercise of any license granted to the Administrative Agent in Section 4.04(b), shall be applied in accordance with Section 4.08.</w:t>
      </w:r>
    </w:p>
    <w:p>
      <w:pPr>
        <w:pStyle w:val="TextBody"/>
        <w:bidi w:val="0"/>
        <w:spacing w:before="5" w:after="283"/>
        <w:jc w:val="left"/>
        <w:rPr/>
      </w:pPr>
      <w:r>
        <w:rPr/>
      </w:r>
    </w:p>
    <w:p>
      <w:pPr>
        <w:pStyle w:val="TextBody"/>
        <w:bidi w:val="0"/>
        <w:spacing w:lineRule="auto" w:line="280" w:before="1" w:after="283"/>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Certain Securities Act Limitations. </w:t>
      </w:r>
      <w:r>
        <w:rPr>
          <w:rFonts w:ascii="Times New Roman;sans-serif" w:hAnsi="Times New Roman;sans-serif"/>
          <w:b w:val="false"/>
          <w:color w:val="000000"/>
          <w:sz w:val="24"/>
        </w:rPr>
        <w:t xml:space="preserve">Grantors recognize that, by reason of certain prohibitions contained in the Securities Act of 1933, as amended, and applicable state securities laws, the Administrative Agent may be compelled, with respect to any sale of all or any part of the Collateral, to limit purchasers to those who will agree, among other things, to acquire the Collateral for their own account, for investment and not with a view to the distribution or resale thereof. Grantors acknowledge that any such private sales may be at prices and on terms less favorable to the Administrative Agent than those obtainable through a public sale without such restrictions, and, notwithstanding such circumstances, agree that any such private sale shall be deemed to have been made in a commercially reasonable manner and that the Administrative Agent shall have no obligation to engage in public sales and no obligation to delay the sale of any Collateral for the period of time necessary to permit the issuer thereof to register it for public sale. To the extent permitted by applicable law, upon any such sale or sales of the Pledged Shares so purchased shall be held by the purchaser absolutely free from any claims or rights of whatsoever kind or nature, including any equity of redemption or any similar rights, all such equity of redemption and any similar rights being hereby expressly waived and released by the applicable Grantor thereof to the extent permitted by applicable law. In the event any consent, approval or authorization of any governmental agency shall be necessary to effectuate any such </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603250"/>
                <wp:effectExtent l="0" t="0" r="0" b="0"/>
                <wp:wrapNone/>
                <wp:docPr id="195" name="Frame189"/>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1" w:after="283"/>
        <w:jc w:val="both"/>
        <w:rPr>
          <w:rFonts w:ascii="Times New Roman;sans-serif" w:hAnsi="Times New Roman;sans-serif"/>
          <w:b w:val="false"/>
          <w:color w:val="000000"/>
          <w:sz w:val="24"/>
        </w:rPr>
      </w:pPr>
      <w:r>
        <w:rPr>
          <w:rFonts w:ascii="Times New Roman;sans-serif" w:hAnsi="Times New Roman;sans-serif"/>
          <w:b w:val="false"/>
          <w:color w:val="000000"/>
          <w:sz w:val="24"/>
        </w:rPr>
        <w:t>sale or sales, each Grantor shall execute, and hereby agrees to cause the issuer of any Pledged Shares to execute, as necessary, all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603250"/>
                <wp:effectExtent l="0" t="0" r="0" b="0"/>
                <wp:wrapNone/>
                <wp:docPr id="196" name="Frame190"/>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-21-</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41" w:after="283"/>
        <w:jc w:val="both"/>
        <w:rPr/>
      </w:pPr>
      <w:r>
        <w:rPr>
          <w:rFonts w:ascii="Times New Roman;sans-serif" w:hAnsi="Times New Roman;sans-serif"/>
          <w:b w:val="false"/>
          <w:color w:val="000000"/>
          <w:sz w:val="24"/>
        </w:rPr>
        <w:t xml:space="preserve">applications or other instruments as may be required;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the foregoing shall not obligate any Grantor to register the Pledged Shares under the Securities Act of 1933. The Administrative Agent shall incur no liability as a result of the sale of the Collateral, or any part thereof, at any private sale pursuant to this Section 4.05 conducted in a commercially reasonable manner. Each Grantor hereby waives any claims against the Administrative Agent, the Secured Parties or any of them arising by reason of the fact that the price at which the Collateral may have been sold at such a private sale was less than the price that might have been obtained at a public sale or was less than the aggregate amount of the Secured Obligations, even if the Administrative Agent accepts the first offer received and does not offer the Collateral to more than one offeree.</w:t>
      </w:r>
    </w:p>
    <w:p>
      <w:pPr>
        <w:pStyle w:val="TextBody"/>
        <w:bidi w:val="0"/>
        <w:spacing w:before="1"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 xml:space="preserve">Notice. </w:t>
      </w:r>
      <w:r>
        <w:rPr>
          <w:rFonts w:ascii="Times New Roman;sans-serif" w:hAnsi="Times New Roman;sans-serif"/>
          <w:b w:val="false"/>
          <w:color w:val="000000"/>
          <w:sz w:val="24"/>
        </w:rPr>
        <w:t>Grantors agree that to the extent the Administrative Agent is required by applicable law to give reasonable prior notice of any sale or other disposition of any Collateral, ten (10) Business Days’ notice shall be deemed to constitute reasonable prior notice.</w:t>
      </w:r>
    </w:p>
    <w:p>
      <w:pPr>
        <w:pStyle w:val="TextBody"/>
        <w:bidi w:val="0"/>
        <w:spacing w:before="9"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 xml:space="preserve">No Assumption of Obligations. </w:t>
      </w:r>
      <w:r>
        <w:rPr>
          <w:rFonts w:ascii="Times New Roman;sans-serif" w:hAnsi="Times New Roman;sans-serif"/>
          <w:b w:val="false"/>
          <w:color w:val="000000"/>
          <w:sz w:val="24"/>
        </w:rPr>
        <w:t>Notwithstanding any provision in this Agreement or any other Loan Document to the contrary, the Administrative Agent is not assuming any liability or obligation of any Grantor or any of its Affiliates of whatever nature, whether presently in existence or arising or asserted hereafter. All such liabilities and obligations shall be retained by and remain obligations and liabilities of the applicable Grantor and/or its Affiliates, as the case may be. Without limiting the foregoing, the Administrative Agent is not assuming and shall not be responsible for any liabilities or Claims of any Grantor or its Affiliates, whether present or future, absolute or contingent and whether or not relating to a Grantor, the Obligor Intellectual Property and/or the Material Agreements, and each Grantor shall indemnify and save harmless the Administrative Agent from and against all such liabilities, Claims and Liens, to the extent set forth in Section 13.03(b) of the Credit Agreement.</w:t>
      </w:r>
    </w:p>
    <w:p>
      <w:pPr>
        <w:pStyle w:val="TextBody"/>
        <w:bidi w:val="0"/>
        <w:spacing w:before="11"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4.06. Deficiency. </w:t>
      </w:r>
      <w:r>
        <w:rPr>
          <w:rFonts w:ascii="Times New Roman;sans-serif" w:hAnsi="Times New Roman;sans-serif"/>
          <w:b w:val="false"/>
          <w:color w:val="000000"/>
          <w:sz w:val="24"/>
        </w:rPr>
        <w:t>If the proceeds of sale, collection or other realization of or upon the Collateral pursuant to Section 4.05 are insufficient to cover the costs and expenses of such realization and the payment in full in cash of the Secured Obligations, Grantors shall remain liable for any deficiency.</w:t>
      </w:r>
    </w:p>
    <w:p>
      <w:pPr>
        <w:pStyle w:val="TextBody"/>
        <w:bidi w:val="0"/>
        <w:spacing w:before="11"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4.07. Locations; Names, Etc. </w:t>
      </w:r>
      <w:r>
        <w:rPr>
          <w:rFonts w:ascii="Times New Roman;sans-serif" w:hAnsi="Times New Roman;sans-serif"/>
          <w:b w:val="false"/>
          <w:color w:val="000000"/>
          <w:sz w:val="24"/>
        </w:rPr>
        <w:t>No Grantor shall (i) change its location (as defined in Section 9-307 of the UCC), or (ii) change its name from the name shown as its current legal name on Schedule 1, unless in each case 10 days’ prior written notice shall have been given to the Administrative Agent (or such shorter period as may be acceptable to the Administrative Agent in its sole discretion).</w:t>
      </w:r>
    </w:p>
    <w:p>
      <w:pPr>
        <w:pStyle w:val="TextBody"/>
        <w:bidi w:val="0"/>
        <w:spacing w:before="8" w:after="283"/>
        <w:jc w:val="left"/>
        <w:rPr/>
      </w:pPr>
      <w:r>
        <w:rPr/>
      </w:r>
    </w:p>
    <w:p>
      <w:pPr>
        <w:pStyle w:val="TextBody"/>
        <w:bidi w:val="0"/>
        <w:spacing w:lineRule="auto" w:line="280" w:before="0" w:after="0"/>
        <w:ind w:left="0" w:right="0" w:firstLine="720"/>
        <w:jc w:val="both"/>
        <w:rPr/>
      </w:pPr>
      <w:r>
        <w:rPr>
          <w:rFonts w:ascii="Times New Roman;sans-serif" w:hAnsi="Times New Roman;sans-serif"/>
          <w:b w:val="false"/>
          <w:i/>
          <w:color w:val="000000"/>
          <w:sz w:val="24"/>
        </w:rPr>
        <w:t>Section 4.08. Application of Proceeds</w:t>
      </w:r>
      <w:r>
        <w:rPr>
          <w:rFonts w:ascii="Times New Roman;sans-serif" w:hAnsi="Times New Roman;sans-serif"/>
          <w:b w:val="false"/>
          <w:color w:val="000000"/>
          <w:sz w:val="24"/>
        </w:rPr>
        <w:t>. The Proceeds of any collection, sale or other realization of all or any part of the Collateral pursuant hereto, and any other cash at the time held by Administrative Agent under this Section 4, shall be applied by the Administrative Agent in accordance with Section 4.01(c) of the Credit Agreement.</w:t>
      </w:r>
    </w:p>
    <w:p>
      <w:pPr>
        <w:pStyle w:val="TextBody"/>
        <w:bidi w:val="0"/>
        <w:spacing w:before="6" w:after="283"/>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4.09. Attorney in Fact and Proxy.</w:t>
      </w:r>
    </w:p>
    <w:p>
      <w:pPr>
        <w:pStyle w:val="TextBody"/>
        <w:bidi w:val="0"/>
        <w:spacing w:before="9" w:after="283"/>
        <w:jc w:val="left"/>
        <w:rPr/>
      </w:pPr>
      <w:r>
        <w:rPr/>
      </w:r>
    </w:p>
    <w:p>
      <w:pPr>
        <w:pStyle w:val="TextBody"/>
        <w:bidi w:val="0"/>
        <w:spacing w:lineRule="auto" w:line="285"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(a)Without limiting any rights or powers granted by this Agreement to the Administrative Agent on behalf of the Secured Parties, the Administrative Agent (and any of its</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603250"/>
                <wp:effectExtent l="0" t="0" r="0" b="0"/>
                <wp:wrapNone/>
                <wp:docPr id="197" name="Frame191"/>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-22-</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603250"/>
                <wp:effectExtent l="0" t="0" r="0" b="0"/>
                <wp:wrapNone/>
                <wp:docPr id="198" name="Frame192"/>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-23-</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officers, employees or agents) hereby is appointed the attorney in fact and proxy of each Grantor for the purpose of carrying out the provisions of this Section 4 and taking any action and executing any instruments that the Administrative Agent may deem necessary or advisable to accomplish the purposes hereof. THIS POWER AND PROXY IS COUPLED WITH AN INTEREST AND IS IRREVOCABLE UNTIL THE PAYMENT IN FULL OF THE SECURED OBLIGATIONS. THIS POWER AND PROXY SHALL BE EFFECTIVE AUTOMATICALLY AND WITHOUT THE</w:t>
      </w:r>
    </w:p>
    <w:p>
      <w:pPr>
        <w:pStyle w:val="TextBody"/>
        <w:bidi w:val="0"/>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NECESSITY OF ANY ACTION BY ANY PERSON. Each Grantor ratifies all actions taken by the Administrative Agent pursuant to this power and proxy granted. All prior proxies granted by any Grantor with respect to the subject matter hereof are hereby revoked. Without limiting the generality of the foregoing, so long as the Administrative Agent shall be entitled under this Section 4 to make collections in respect of the Collateral, the Administrative Agent shall have the right and power to receive, endorse and collect all checks made payable to the order of any Grantor representing any dividend, payment or other distribution in respect of the Collateral or any part thereof and to give full discharge for the same.</w:t>
      </w:r>
    </w:p>
    <w:p>
      <w:pPr>
        <w:pStyle w:val="TextBody"/>
        <w:bidi w:val="0"/>
        <w:spacing w:before="0" w:after="0"/>
        <w:jc w:val="left"/>
        <w:rPr/>
      </w:pPr>
      <w:r>
        <w:rPr/>
      </w:r>
    </w:p>
    <w:p>
      <w:pPr>
        <w:pStyle w:val="TextBody"/>
        <w:bidi w:val="0"/>
        <w:spacing w:lineRule="auto" w:line="283"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(b)Subject to terms and provisions of this Agreement, each Grantor, being the sole holder and owner of the Pledged Shares, hereby authorizes the Administrative Agent, for itself and for the benefit of the Lenders, during the continuance of an Event of Default, to vote for such Grantor, as Grantor’s proxy, at any and all meetings of the members of the issuer(s) of the Pledged Shares, and, as such Grantor’s proxy, to consent or dissent to any action taken without a meeting, and further makes, constitutes and irrevocably appoints the Administrative Agent, for itself and for the benefit of the Lenders, to act as the true and lawful proxy and attorney-in-fact in the name and on behalf of such Grantor, with full power to appoint a substitute or substitutes, to vote and execute and deliver written voting consents with respect to the Pledged Shares, to the same extent and with the same effect as such Grantor could do under any applicable laws or regulations governing the rights and powers of members or holders of equity interests of the applicable issuer(s) of the Pledged Shares.</w:t>
      </w:r>
    </w:p>
    <w:p>
      <w:pPr>
        <w:pStyle w:val="TextBody"/>
        <w:bidi w:val="0"/>
        <w:spacing w:before="0" w:after="0"/>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4.10. Perfection and Recordation. </w:t>
      </w:r>
      <w:r>
        <w:rPr>
          <w:rFonts w:ascii="Times New Roman;sans-serif" w:hAnsi="Times New Roman;sans-serif"/>
          <w:b w:val="false"/>
          <w:color w:val="000000"/>
          <w:sz w:val="24"/>
        </w:rPr>
        <w:t>Each Grantor authorizes the Administrative Agent to file Uniform Commercial Code financing statements describing the Collateral as “all assets”, “all personal property and fixtures” or “all assets of the debtor, whether tangible or intangible, wherever located, and whether now owned or hereafter acquired and whether now existing or hereafter coming into existence, including all accessions thereto and products and proceeds thereof” of such Grantor or words of similar effect or being of an equal or lesser scope or with greater detail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such description shall be deemed to modify the description of Collateral set forth in Section 3).</w:t>
      </w:r>
    </w:p>
    <w:p>
      <w:pPr>
        <w:pStyle w:val="TextBody"/>
        <w:bidi w:val="0"/>
        <w:spacing w:before="4"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4.11. Termination. </w:t>
      </w:r>
      <w:r>
        <w:rPr>
          <w:rFonts w:ascii="Times New Roman;sans-serif" w:hAnsi="Times New Roman;sans-serif"/>
          <w:b w:val="false"/>
          <w:color w:val="000000"/>
          <w:sz w:val="24"/>
        </w:rPr>
        <w:t xml:space="preserve">When all Secured Obligations shall have been indefeasibly paid in full in cash, this Agreement automatically shall terminate, and the Administrative Agent shall, upon request of Grantors, promptly cause to be assigned, transferred and delivered any remaining Collateral and money received in respect thereof, to or on the order of the respective Grantor and to be released and canceled all licenses and rights referred to in Section 4.04(b), in each case, at Grantors’ sole expense. The Administrative Agent shall also, at the expense of such Grantor, promptly execute and deliver to such Grantor upon such termination such Uniform </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603250"/>
                <wp:effectExtent l="0" t="0" r="0" b="0"/>
                <wp:wrapNone/>
                <wp:docPr id="199" name="Frame193"/>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Commercial Code termination statements, certificates for terminating the liens on the Intellectual Property filings and such other documentation as shall be reasonably requested by the respective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603250"/>
                <wp:effectExtent l="0" t="0" r="0" b="0"/>
                <wp:wrapNone/>
                <wp:docPr id="200" name="Frame194"/>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-25-</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Grantor to effect the termination and release of the liens on the Collateral as required by this Section 4.11, in each case, at Grantors’ sole expense. If any of the Collateral shall be sold, transferred or otherwise disposed of by a Grantor in a transaction permitted by the Credit Agreement or if such Collateral otherwise becomes Excluded Assets, then the Administrative Agent, at Grantors’ sole expense, shall execute and deliver to such Grantor all releases or other documents reasonably necessary or desirable for the release of the Liens created hereby on such Collateral.</w:t>
      </w:r>
    </w:p>
    <w:p>
      <w:pPr>
        <w:pStyle w:val="TextBody"/>
        <w:bidi w:val="0"/>
        <w:spacing w:before="10"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4.12. Further Assurances. </w:t>
      </w:r>
      <w:r>
        <w:rPr>
          <w:rFonts w:ascii="Times New Roman;sans-serif" w:hAnsi="Times New Roman;sans-serif"/>
          <w:b w:val="false"/>
          <w:color w:val="000000"/>
          <w:sz w:val="24"/>
        </w:rPr>
        <w:t>Each Grantor agrees that, from time to time upon the written request of the Administrative Agent, such Grantor will execute and deliver such further documents and do such other acts and things as the Administrative Agent may reasonably request in order to fully effectuate the purposes and objectives of this Agreement, in all cases subject to the terms of the Credit Agreement and excluding such documents, acts and things where the cost of obtaining or perfecting a security interest exceeds the practical benefit to the Lenders afforded thereby as determined by the Administrative Agent (in its sole discretion after consultation with Borrowers or the applicable Grantor). The Administrative Agent shall release any Lien covering any asset that has been disposed of in accordance with the provisions of the Loan Documents.</w:t>
      </w:r>
    </w:p>
    <w:p>
      <w:pPr>
        <w:pStyle w:val="TextBody"/>
        <w:bidi w:val="0"/>
        <w:spacing w:before="1" w:after="283"/>
        <w:jc w:val="left"/>
        <w:rPr/>
      </w:pPr>
      <w:r>
        <w:rPr/>
      </w:r>
    </w:p>
    <w:p>
      <w:pPr>
        <w:pStyle w:val="TextBody"/>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SECTION 5. MISCELLANEOUS</w:t>
      </w:r>
    </w:p>
    <w:p>
      <w:pPr>
        <w:pStyle w:val="TextBody"/>
        <w:bidi w:val="0"/>
        <w:spacing w:before="10" w:after="283"/>
        <w:jc w:val="left"/>
        <w:rPr/>
      </w:pPr>
      <w:r>
        <w:rPr/>
      </w:r>
    </w:p>
    <w:p>
      <w:pPr>
        <w:pStyle w:val="TextBody"/>
        <w:bidi w:val="0"/>
        <w:spacing w:lineRule="auto" w:line="285" w:before="0" w:after="0"/>
        <w:ind w:left="0" w:right="0" w:firstLine="720"/>
        <w:jc w:val="both"/>
        <w:rPr/>
      </w:pPr>
      <w:r>
        <w:rPr>
          <w:rFonts w:ascii="Times New Roman;sans-serif" w:hAnsi="Times New Roman;sans-serif"/>
          <w:b w:val="false"/>
          <w:i/>
          <w:color w:val="000000"/>
          <w:sz w:val="24"/>
        </w:rPr>
        <w:t xml:space="preserve">Section 5.01. Notices. </w:t>
      </w:r>
      <w:r>
        <w:rPr>
          <w:rFonts w:ascii="Times New Roman;sans-serif" w:hAnsi="Times New Roman;sans-serif"/>
          <w:b w:val="false"/>
          <w:color w:val="000000"/>
          <w:sz w:val="24"/>
        </w:rPr>
        <w:t>All notices, requests, consents and demands hereunder shall be delivered in accordance with Section 13.02 of the Credit Agreement.</w:t>
      </w:r>
    </w:p>
    <w:p>
      <w:pPr>
        <w:pStyle w:val="TextBody"/>
        <w:bidi w:val="0"/>
        <w:spacing w:before="7"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5.02. No Waiver. </w:t>
      </w:r>
      <w:r>
        <w:rPr>
          <w:rFonts w:ascii="Times New Roman;sans-serif" w:hAnsi="Times New Roman;sans-serif"/>
          <w:b w:val="false"/>
          <w:color w:val="000000"/>
          <w:sz w:val="24"/>
        </w:rPr>
        <w:t>No failure on the part of the Administrative Agent to exercise, and no course of dealing with respect to, and no delay in exercising, any right, power or remedy hereunder shall operate as a waiver thereof; nor shall any single or partial exercise by the Administrative Agent of any right, power or remedy hereunder preclude any other or further exercise thereof or the exercise of any other right, power or remedy. The remedies herein are cumulative and are not exclusive of any remedies provided by law.</w:t>
      </w:r>
    </w:p>
    <w:p>
      <w:pPr>
        <w:pStyle w:val="TextBody"/>
        <w:bidi w:val="0"/>
        <w:spacing w:before="5"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5.03. Amendments, Etc. </w:t>
      </w:r>
      <w:r>
        <w:rPr>
          <w:rFonts w:ascii="Times New Roman;sans-serif" w:hAnsi="Times New Roman;sans-serif"/>
          <w:b w:val="false"/>
          <w:color w:val="000000"/>
          <w:sz w:val="24"/>
        </w:rPr>
        <w:t>The terms of this Agreement may be waived, altered or amended only by an instrument in writing duly executed by each Grantor, the Administrative Agent and the Majority Lenders (unless the consent of each Lender is required in accordance with Section 13.04 of the Credit Agreement).</w:t>
      </w:r>
    </w:p>
    <w:p>
      <w:pPr>
        <w:pStyle w:val="TextBody"/>
        <w:bidi w:val="0"/>
        <w:spacing w:before="0" w:after="0"/>
        <w:jc w:val="left"/>
        <w:rPr/>
      </w:pPr>
      <w:r>
        <w:rPr/>
      </w:r>
    </w:p>
    <w:p>
      <w:pPr>
        <w:pStyle w:val="TextBody"/>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5.04. Expenses.</w:t>
      </w:r>
    </w:p>
    <w:p>
      <w:pPr>
        <w:pStyle w:val="TextBody"/>
        <w:bidi w:val="0"/>
        <w:spacing w:before="4" w:after="283"/>
        <w:jc w:val="left"/>
        <w:rPr/>
      </w:pPr>
      <w:r>
        <w:rPr/>
      </w:r>
    </w:p>
    <w:p>
      <w:pPr>
        <w:pStyle w:val="TextBody"/>
        <w:bidi w:val="0"/>
        <w:spacing w:lineRule="auto" w:line="285"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(a)Grantors shall pay or reimburse the Administrative Agent and the Secured Parties for reasonable and documented out-of-pocket costs and expenses in accordance with Section 13.03(a) of the Credit Agreement.</w:t>
      </w:r>
    </w:p>
    <w:p>
      <w:pPr>
        <w:pStyle w:val="TextBody"/>
        <w:bidi w:val="0"/>
        <w:spacing w:before="5" w:after="283"/>
        <w:jc w:val="left"/>
        <w:rPr/>
      </w:pPr>
      <w:r>
        <w:rPr/>
      </w:r>
    </w:p>
    <w:p>
      <w:pPr>
        <w:pStyle w:val="TextBody"/>
        <w:bidi w:val="0"/>
        <w:spacing w:lineRule="auto" w:line="283" w:before="1"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(b)Grantors shall hereby indemnify the Administrative Agent, the Secured Parties, their Affiliates, and their respective directors, officers, employees, attorneys, agents, advisors and controlling parties in accordance with Section 13.03(b) of the Credit Agreement.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603250"/>
                <wp:effectExtent l="0" t="0" r="0" b="0"/>
                <wp:wrapNone/>
                <wp:docPr id="201" name="Frame195"/>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-26-</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3" w:before="36" w:after="283"/>
        <w:ind w:left="0" w:right="0" w:firstLine="720"/>
        <w:jc w:val="both"/>
        <w:rPr/>
      </w:pPr>
      <w:r>
        <w:rPr>
          <w:rFonts w:ascii="Times New Roman;sans-serif" w:hAnsi="Times New Roman;sans-serif"/>
          <w:b w:val="false"/>
          <w:i/>
          <w:color w:val="000000"/>
          <w:sz w:val="24"/>
        </w:rPr>
        <w:t xml:space="preserve">Section 5.05. Successors and Assigns. </w:t>
      </w:r>
      <w:r>
        <w:rPr>
          <w:rFonts w:ascii="Times New Roman;sans-serif" w:hAnsi="Times New Roman;sans-serif"/>
          <w:b w:val="false"/>
          <w:color w:val="000000"/>
          <w:sz w:val="24"/>
        </w:rPr>
        <w:t>This Agreement shall be binding upon and inure to the benefit of the respective successors and assigns of each Grantor, the Administrative Agent and the Secured Parties (</w:t>
      </w:r>
      <w:r>
        <w:rPr>
          <w:rFonts w:ascii="Times New Roman;sans-serif" w:hAnsi="Times New Roman;sans-serif"/>
          <w:b w:val="false"/>
          <w:i/>
          <w:color w:val="000000"/>
          <w:sz w:val="24"/>
        </w:rPr>
        <w:t xml:space="preserve">provided, </w:t>
      </w:r>
      <w:r>
        <w:rPr>
          <w:rFonts w:ascii="Times New Roman;sans-serif" w:hAnsi="Times New Roman;sans-serif"/>
          <w:b w:val="false"/>
          <w:color w:val="000000"/>
          <w:sz w:val="24"/>
        </w:rPr>
        <w:t>that no Grantor shall assign or transfer its rights or obligations hereunder unless consented to in writing by the Lenders in accordance with the Credit Agreement).</w:t>
      </w:r>
    </w:p>
    <w:p>
      <w:pPr>
        <w:pStyle w:val="TextBody"/>
        <w:bidi w:val="0"/>
        <w:spacing w:before="0" w:after="0"/>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5.06. Counterparts. </w:t>
      </w:r>
      <w:r>
        <w:rPr>
          <w:rFonts w:ascii="Times New Roman;sans-serif" w:hAnsi="Times New Roman;sans-serif"/>
          <w:b w:val="false"/>
          <w:color w:val="000000"/>
          <w:sz w:val="24"/>
        </w:rPr>
        <w:t>This Agreement may be executed in any number of counterparts, all of which taken together shall constitute one and the same instrument and any of the parties hereto may execute this Agreement by signing any such counterpart. Delivery of an executed signature page of this Agreement by facsimile transmission, electronic transmission (in PDF format) or DocuSign shall be effective as delivery of a manually executed counterpart hereof. The words “execution,” “signed,” “signature,” and words of like import in any Assignment Agreement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7" w:after="283"/>
        <w:jc w:val="left"/>
        <w:rPr/>
      </w:pPr>
      <w:r>
        <w:rPr/>
      </w:r>
    </w:p>
    <w:p>
      <w:pPr>
        <w:pStyle w:val="TextBody"/>
        <w:bidi w:val="0"/>
        <w:spacing w:lineRule="auto" w:line="240" w:before="1"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Section 5.07. Governing Law; Submission to Jurisdiction; Etc.</w:t>
      </w:r>
    </w:p>
    <w:p>
      <w:pPr>
        <w:pStyle w:val="TextBody"/>
        <w:bidi w:val="0"/>
        <w:spacing w:before="9"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i/>
          <w:color w:val="000000"/>
          <w:sz w:val="24"/>
        </w:rPr>
        <w:t xml:space="preserve">GOVERNING LAW. </w:t>
      </w:r>
      <w:r>
        <w:rPr>
          <w:rFonts w:ascii="Times New Roman;sans-serif" w:hAnsi="Times New Roman;sans-serif"/>
          <w:b w:val="false"/>
          <w:color w:val="000000"/>
          <w:sz w:val="24"/>
        </w:rPr>
        <w:t>THIS AGREEMENT AND THE OTHER LOAN DOCUMENTS, THE RIGHTS AND OBLIGATIONS OF THE PARTIES HEREUNDER AND THEREUNDER, AND ALL CLAIMS, DISPUTES AND MATTERS ARISING HEREUNDER OR THEREUNDER OR RELATED HERETO OR THERETO, SHALL BE GOVERNED BY, AND CONSTRUED IN ACCORDANCE WITH, THE LAWS OF THE STATE OF NEW YORK APPLICABLE TO CONTRACTS EXECUTED IN AND TO BE PERFORMED ENTIRELY WITHIN THAT STATE, WITHOUT REFERENCE TO CONFLICTS OF LAWS PROVISIONS (OTHER THAN SECTION 5-1401 OF THE NEW YORK GENERAL OBLIGATIONS LAW).</w:t>
      </w:r>
    </w:p>
    <w:p>
      <w:pPr>
        <w:pStyle w:val="TextBody"/>
        <w:bidi w:val="0"/>
        <w:spacing w:before="4"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i/>
          <w:color w:val="000000"/>
          <w:sz w:val="24"/>
        </w:rPr>
        <w:t xml:space="preserve">SUBMISSION TO JURISDICTION. </w:t>
      </w:r>
      <w:r>
        <w:rPr>
          <w:rFonts w:ascii="Times New Roman;sans-serif" w:hAnsi="Times New Roman;sans-serif"/>
          <w:b w:val="false"/>
          <w:color w:val="000000"/>
          <w:sz w:val="24"/>
        </w:rPr>
        <w:t>EACH GRANTOR AGREES THAT ANY SUIT, ACTION OR PROCEEDING WITH RESPECT TO THIS AGREEMENT OR ANY OTHER LOAN DOCUMENT TO WHICH IT IS A PARTY OR ANY JUDGMENT ENTERED BY ANY COURT IN RESPECT THEREOF SHALL BE BROUGHT IN THE SUPREME COURT OF THE STATE OF NEW YORK SITTING IN NEW YORK COUNTY OR IN THE UNITED STATES DISTRICT COURT FOR THE SOUTHERN DISTRICT OF NEW YORK AND IRREVOCABLY SUBMITS TO THE EXCLUSIVE JURISDICTION OF EACH SUCH COURT FOR THE PURPOSE OF ANY SUCH SUIT, ACTION, PROCEEDING OR JUDGMENT.</w:t>
      </w:r>
    </w:p>
    <w:p>
      <w:pPr>
        <w:pStyle w:val="TextBody"/>
        <w:bidi w:val="0"/>
        <w:spacing w:before="0" w:after="0"/>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i/>
          <w:color w:val="000000"/>
          <w:sz w:val="24"/>
        </w:rPr>
        <w:t xml:space="preserve">WAIVER OF VENUE. </w:t>
      </w:r>
      <w:r>
        <w:rPr>
          <w:rFonts w:ascii="Times New Roman;sans-serif" w:hAnsi="Times New Roman;sans-serif"/>
          <w:b w:val="false"/>
          <w:color w:val="000000"/>
          <w:sz w:val="24"/>
        </w:rPr>
        <w:t xml:space="preserve">EACH GRANTOR IRREVOCABLY WAIVES TO THE FULLEST EXTENT PERMITTED BY LAW ANY OBJECTION THAT IT MAY NOW OR HEREAFTER HAVE TO THE LAYING OF THE VENUE OF ANY SUIT, ACTION OR PROCEEDING ARISING OUT OF OR RELATING TO THIS AGREEMENT AND HEREBY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603250"/>
                <wp:effectExtent l="0" t="0" r="0" b="0"/>
                <wp:wrapNone/>
                <wp:docPr id="202" name="Frame196"/>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FURTHER IRREVOCABLY WAIVES TO THE FULLEST EXTENT PERMITTED BY LAW ANY CLAIM THAT ANY SUCH SUIT, ACTION OR PROCEEDING BROUGHT IN ANY SUCH COURT HAS BEEN BROUGHT IN AN INCONVENIENT FORUM. A FINAL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603250"/>
                <wp:effectExtent l="0" t="0" r="0" b="0"/>
                <wp:wrapNone/>
                <wp:docPr id="203" name="Frame197"/>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-28-</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41" w:after="283"/>
        <w:jc w:val="both"/>
        <w:rPr>
          <w:rFonts w:ascii="Times New Roman;sans-serif" w:hAnsi="Times New Roman;sans-serif"/>
          <w:b w:val="false"/>
          <w:color w:val="000000"/>
          <w:sz w:val="24"/>
        </w:rPr>
      </w:pPr>
      <w:r>
        <w:rPr>
          <w:rFonts w:ascii="Times New Roman;sans-serif" w:hAnsi="Times New Roman;sans-serif"/>
          <w:b w:val="false"/>
          <w:color w:val="000000"/>
          <w:sz w:val="24"/>
        </w:rPr>
        <w:t>JUDGMENT (IN RESPECT OF WHICH TIME FOR ALL APPEALS HAS ELAPSED) IN ANY SUCH SUIT, ACTION OR PROCEEDING SHALL BE CONCLUSIVE AND MAY BE ENFORCED IN ANY COURT TO THE JURISDICTION OF WHICH SUCH GRANTOR IS OR MAY BE SUBJECT, BY SUIT UPON JUDGMENT.</w:t>
      </w:r>
    </w:p>
    <w:p>
      <w:pPr>
        <w:pStyle w:val="TextBody"/>
        <w:bidi w:val="0"/>
        <w:spacing w:before="6"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4"/>
        </w:rPr>
        <w:t>(d)</w:t>
      </w:r>
      <w:r>
        <w:rPr>
          <w:rFonts w:ascii="Times New Roman;sans-serif" w:hAnsi="Times New Roman;sans-serif"/>
          <w:b w:val="false"/>
          <w:i/>
          <w:color w:val="000000"/>
          <w:sz w:val="24"/>
        </w:rPr>
        <w:t xml:space="preserve">SERVICE OF PROCESS. </w:t>
      </w:r>
      <w:r>
        <w:rPr>
          <w:rFonts w:ascii="Times New Roman;sans-serif" w:hAnsi="Times New Roman;sans-serif"/>
          <w:b w:val="false"/>
          <w:color w:val="000000"/>
          <w:sz w:val="24"/>
        </w:rPr>
        <w:t>EACH PARTY TO THIS AGREEMENT IRREVOCABLY CONSENTS TO SERVICE OF PROCESS IN THE MANNER PROVIDED FOR NOTICES IN SECTION 5.01. NOTHING IN THIS AGREEMENT WILL AFFECT THE RIGHT OF ANY PARTY TO THIS AGREEMENT TO SERVE PROCESS IN ANY OTHER MANNER PERMITTED BY APPLICABLE LAW.</w:t>
      </w:r>
    </w:p>
    <w:p>
      <w:pPr>
        <w:pStyle w:val="TextBody"/>
        <w:bidi w:val="0"/>
        <w:spacing w:before="8"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5.08. </w:t>
      </w:r>
      <w:r>
        <w:rPr>
          <w:rFonts w:ascii="Times New Roman;sans-serif" w:hAnsi="Times New Roman;sans-serif"/>
          <w:b/>
          <w:i/>
          <w:color w:val="000000"/>
          <w:sz w:val="24"/>
        </w:rPr>
        <w:t xml:space="preserve">WAIVER OF JURY TRIAL. </w:t>
      </w:r>
      <w:r>
        <w:rPr>
          <w:rFonts w:ascii="Times New Roman;sans-serif" w:hAnsi="Times New Roman;sans-serif"/>
          <w:b/>
          <w:color w:val="000000"/>
          <w:sz w:val="24"/>
        </w:rPr>
        <w:t>EACH PARTY HERETO HEREBY IRREVOCABLY WAIVES, TO THE FULLEST EXTENT PERMITTED BY APPLICABLE LAW, ANY AND ALL RIGHT TO TRIAL BY JURY IN ANY SUIT, ACTION OR PROCEEDING ARISING OUT OF OR RELATING TO THIS AGREEMENT OR THE TRANSACTIONS CONTEMPLATED HEREBY.</w:t>
      </w:r>
    </w:p>
    <w:p>
      <w:pPr>
        <w:pStyle w:val="TextBody"/>
        <w:bidi w:val="0"/>
        <w:spacing w:before="8"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5.09. Captions. </w:t>
      </w:r>
      <w:r>
        <w:rPr>
          <w:rFonts w:ascii="Times New Roman;sans-serif" w:hAnsi="Times New Roman;sans-serif"/>
          <w:b w:val="false"/>
          <w:color w:val="000000"/>
          <w:sz w:val="24"/>
        </w:rPr>
        <w:t>The table of contents, captions and section headings appearing herein are included solely for convenience of reference and are not intended to affect the interpretation of any provision of this Agreement.</w:t>
      </w:r>
    </w:p>
    <w:p>
      <w:pPr>
        <w:pStyle w:val="TextBody"/>
        <w:bidi w:val="0"/>
        <w:spacing w:before="9" w:after="283"/>
        <w:jc w:val="left"/>
        <w:rPr/>
      </w:pPr>
      <w:r>
        <w:rPr/>
      </w:r>
    </w:p>
    <w:p>
      <w:pPr>
        <w:pStyle w:val="TextBody"/>
        <w:bidi w:val="0"/>
        <w:spacing w:lineRule="auto" w:line="285" w:before="1" w:after="283"/>
        <w:ind w:left="0" w:right="0" w:firstLine="720"/>
        <w:jc w:val="both"/>
        <w:rPr/>
      </w:pPr>
      <w:r>
        <w:rPr>
          <w:rFonts w:ascii="Times New Roman;sans-serif" w:hAnsi="Times New Roman;sans-serif"/>
          <w:b w:val="false"/>
          <w:i/>
          <w:color w:val="000000"/>
          <w:sz w:val="24"/>
        </w:rPr>
        <w:t xml:space="preserve">Section 5.10. Agents and Attorneys in Fact. </w:t>
      </w:r>
      <w:r>
        <w:rPr>
          <w:rFonts w:ascii="Times New Roman;sans-serif" w:hAnsi="Times New Roman;sans-serif"/>
          <w:b w:val="false"/>
          <w:color w:val="000000"/>
          <w:sz w:val="24"/>
        </w:rPr>
        <w:t>The Administrative Agent may employ agents and attorneys in fact in connection herewith and shall not be responsible for the negligence or misconduct of any such agents or attorneys in fact selected by it in good faith.</w:t>
      </w:r>
    </w:p>
    <w:p>
      <w:pPr>
        <w:pStyle w:val="TextBody"/>
        <w:bidi w:val="0"/>
        <w:spacing w:before="5" w:after="283"/>
        <w:jc w:val="left"/>
        <w:rPr/>
      </w:pPr>
      <w:r>
        <w:rPr/>
      </w:r>
    </w:p>
    <w:p>
      <w:pPr>
        <w:pStyle w:val="TextBody"/>
        <w:bidi w:val="0"/>
        <w:spacing w:lineRule="auto" w:line="280" w:before="1" w:after="283"/>
        <w:ind w:left="0" w:right="0" w:firstLine="720"/>
        <w:jc w:val="both"/>
        <w:rPr/>
      </w:pPr>
      <w:r>
        <w:rPr>
          <w:rFonts w:ascii="Times New Roman;sans-serif" w:hAnsi="Times New Roman;sans-serif"/>
          <w:b w:val="false"/>
          <w:i/>
          <w:color w:val="000000"/>
          <w:sz w:val="24"/>
        </w:rPr>
        <w:t xml:space="preserve">Section 5.11. Severability. </w:t>
      </w:r>
      <w:r>
        <w:rPr>
          <w:rFonts w:ascii="Times New Roman;sans-serif" w:hAnsi="Times New Roman;sans-serif"/>
          <w:b w:val="false"/>
          <w:color w:val="000000"/>
          <w:sz w:val="24"/>
        </w:rPr>
        <w:t>If any provision hereof is found by a court to be invalid or unenforceable, to the fullest extent permitted by applicable law the parties agree that such invalidity or unenforceability shall not impair the validity or enforceability of any other provision hereof.</w:t>
      </w:r>
    </w:p>
    <w:p>
      <w:pPr>
        <w:pStyle w:val="TextBody"/>
        <w:bidi w:val="0"/>
        <w:spacing w:before="5" w:after="283"/>
        <w:jc w:val="left"/>
        <w:rPr/>
      </w:pPr>
      <w:r>
        <w:rPr/>
      </w:r>
    </w:p>
    <w:p>
      <w:pPr>
        <w:pStyle w:val="TextBody"/>
        <w:bidi w:val="0"/>
        <w:spacing w:lineRule="auto" w:line="283" w:before="0" w:after="0"/>
        <w:ind w:left="0" w:right="0" w:firstLine="720"/>
        <w:jc w:val="both"/>
        <w:rPr/>
      </w:pPr>
      <w:r>
        <w:rPr>
          <w:rFonts w:ascii="Times New Roman;sans-serif" w:hAnsi="Times New Roman;sans-serif"/>
          <w:b w:val="false"/>
          <w:i/>
          <w:color w:val="000000"/>
          <w:sz w:val="24"/>
        </w:rPr>
        <w:t xml:space="preserve">Section 5.12. Additional Grantors. </w:t>
      </w:r>
      <w:r>
        <w:rPr>
          <w:rFonts w:ascii="Times New Roman;sans-serif" w:hAnsi="Times New Roman;sans-serif"/>
          <w:b w:val="false"/>
          <w:color w:val="000000"/>
          <w:sz w:val="24"/>
        </w:rPr>
        <w:t xml:space="preserve">Additional Persons may from time to time after the date of this Agreement become Grantors under this Agreement by executing and delivering to the Administrative Agent a supplemental agreement (together with all schedules thereto, a </w:t>
      </w:r>
      <w:r>
        <w:rPr>
          <w:color w:val="000000"/>
        </w:rPr>
        <w:t>“</w:t>
      </w:r>
      <w:r>
        <w:rPr>
          <w:rFonts w:ascii="Times New Roman;sans-serif" w:hAnsi="Times New Roman;sans-serif"/>
          <w:b w:val="false"/>
          <w:i/>
          <w:color w:val="000000"/>
          <w:sz w:val="24"/>
        </w:rPr>
        <w:t>Joinder”</w:t>
      </w:r>
      <w:r>
        <w:rPr>
          <w:rFonts w:ascii="Times New Roman;sans-serif" w:hAnsi="Times New Roman;sans-serif"/>
          <w:b w:val="false"/>
          <w:color w:val="000000"/>
          <w:sz w:val="24"/>
        </w:rPr>
        <w:t>) to this Agreement, in substantially the form attached hereto as Exhibit A. Accordingly, upon the execution and delivery of any such Joinder by any such Person, such Person shall automatically and immediately, and without any further action on the part of any Person, become a “Grantor” under and for all purposes of this Agreement, and each of the Schedules hereto shall be supplemented in the manner specified in such Joinder. In addition, upon the execution and delivery of any such Joinder, the new Grantor makes the representations and warranties set forth in Section 2.</w:t>
      </w:r>
    </w:p>
    <w:p>
      <w:pPr>
        <w:pStyle w:val="TextBody"/>
        <w:bidi w:val="0"/>
        <w:spacing w:before="2" w:after="283"/>
        <w:jc w:val="left"/>
        <w:rPr/>
      </w:pPr>
      <w:r>
        <w:rPr/>
      </w:r>
    </w:p>
    <w:p>
      <w:pPr>
        <w:pStyle w:val="TextBody"/>
        <w:bidi w:val="0"/>
        <w:spacing w:lineRule="auto" w:line="240" w:before="1"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603250"/>
                <wp:effectExtent l="0" t="0" r="0" b="0"/>
                <wp:wrapNone/>
                <wp:docPr id="204" name="Frame198"/>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r>
                                    <w:br w:type="page"/>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555" w:type="dxa"/>
                        <w:jc w:val="left"/>
                        <w:tblInd w:w="0" w:type="dxa"/>
                        <w:tblLayout w:type="fixed"/>
                        <w:tblCellMar>
                          <w:top w:w="28" w:type="dxa"/>
                          <w:left w:w="28" w:type="dxa"/>
                          <w:bottom w:w="28" w:type="dxa"/>
                          <w:right w:w="28" w:type="dxa"/>
                        </w:tblCellMar>
                      </w:tblPr>
                      <w:tblGrid>
                        <w:gridCol w:w="178"/>
                        <w:gridCol w:w="156"/>
                        <w:gridCol w:w="221"/>
                      </w:tblGrid>
                      <w:tr>
                        <w:trPr/>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-29-</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5" w:before="188" w:after="283"/>
        <w:ind w:left="0" w:right="0" w:firstLine="720"/>
        <w:jc w:val="left"/>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Security Agreement to be duly executed and delivered as of the day and year first above written.</w:t>
      </w:r>
    </w:p>
    <w:p>
      <w:pPr>
        <w:pStyle w:val="TextBody"/>
        <w:bidi w:val="0"/>
        <w:spacing w:before="9" w:after="283"/>
        <w:jc w:val="left"/>
        <w:rPr/>
      </w:pPr>
      <w:r>
        <w:rPr/>
      </w:r>
    </w:p>
    <w:p>
      <w:pPr>
        <w:pStyle w:val="TextBody"/>
        <w:bidi w:val="0"/>
        <w:spacing w:lineRule="auto" w:line="24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GRANTORS:</w:t>
      </w:r>
    </w:p>
    <w:p>
      <w:pPr>
        <w:pStyle w:val="TextBody"/>
        <w:bidi w:val="0"/>
        <w:spacing w:before="0" w:after="0"/>
        <w:jc w:val="left"/>
        <w:rPr/>
      </w:pPr>
      <w:r>
        <w:rPr/>
      </w:r>
    </w:p>
    <w:p>
      <w:pPr>
        <w:pStyle w:val="TextBody"/>
        <w:bidi w:val="0"/>
        <w:spacing w:lineRule="auto" w:line="240" w:before="1" w:after="283"/>
        <w:jc w:val="left"/>
        <w:rPr/>
      </w:pPr>
      <w:r>
        <w:rPr>
          <w:rFonts w:ascii="Times New Roman;sans-serif" w:hAnsi="Times New Roman;sans-serif"/>
          <w:b w:val="false"/>
          <w:color w:val="000000"/>
          <w:sz w:val="24"/>
        </w:rPr>
        <w:t>S</w:t>
      </w:r>
      <w:r>
        <w:rPr>
          <w:rFonts w:ascii="Times New Roman;sans-serif" w:hAnsi="Times New Roman;sans-serif"/>
          <w:b w:val="false"/>
          <w:color w:val="000000"/>
          <w:sz w:val="19"/>
        </w:rPr>
        <w:t>EMA</w:t>
      </w:r>
      <w:r>
        <w:rPr>
          <w:rFonts w:ascii="Times New Roman;sans-serif" w:hAnsi="Times New Roman;sans-serif"/>
          <w:b w:val="false"/>
          <w:color w:val="000000"/>
          <w:sz w:val="24"/>
        </w:rPr>
        <w:t>4 O</w:t>
      </w:r>
      <w:r>
        <w:rPr>
          <w:rFonts w:ascii="Times New Roman;sans-serif" w:hAnsi="Times New Roman;sans-serif"/>
          <w:b w:val="false"/>
          <w:color w:val="000000"/>
          <w:sz w:val="19"/>
        </w:rPr>
        <w:t>P</w:t>
      </w:r>
      <w:r>
        <w:rPr>
          <w:rFonts w:ascii="Times New Roman;sans-serif" w:hAnsi="Times New Roman;sans-serif"/>
          <w:b w:val="false"/>
          <w:color w:val="000000"/>
          <w:sz w:val="24"/>
        </w:rPr>
        <w:t>C</w:t>
      </w:r>
      <w:r>
        <w:rPr>
          <w:rFonts w:ascii="Times New Roman;sans-serif" w:hAnsi="Times New Roman;sans-serif"/>
          <w:b w:val="false"/>
          <w:color w:val="000000"/>
          <w:sz w:val="19"/>
        </w:rPr>
        <w:t>O</w:t>
      </w:r>
      <w:r>
        <w:rPr>
          <w:rFonts w:ascii="Times New Roman;sans-serif" w:hAnsi="Times New Roman;sans-serif"/>
          <w:b w:val="false"/>
          <w:color w:val="000000"/>
          <w:sz w:val="24"/>
        </w:rPr>
        <w:t>, I</w:t>
      </w:r>
      <w:r>
        <w:rPr>
          <w:rFonts w:ascii="Times New Roman;sans-serif" w:hAnsi="Times New Roman;sans-serif"/>
          <w:b w:val="false"/>
          <w:color w:val="000000"/>
          <w:sz w:val="19"/>
        </w:rPr>
        <w:t>NC</w:t>
      </w:r>
      <w:r>
        <w:rPr>
          <w:rFonts w:ascii="Times New Roman;sans-serif" w:hAnsi="Times New Roman;sans-serif"/>
          <w:b w:val="false"/>
          <w:color w:val="000000"/>
          <w:sz w:val="24"/>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    </w:t>
      </w:r>
      <w:r>
        <w:rPr>
          <w:color w:val="000000"/>
        </w:rPr>
        <w:t xml:space="preserve"> </w:t>
      </w:r>
      <w:r>
        <w:rPr>
          <w:rFonts w:ascii="Times New Roman;sans-serif" w:hAnsi="Times New Roman;sans-serif"/>
          <w:b w:val="false"/>
          <w:color w:val="000000"/>
          <w:sz w:val="24"/>
        </w:rPr>
        <w:t>Name: Kevin Feeley</w:t>
      </w:r>
    </w:p>
    <w:p>
      <w:pPr>
        <w:pStyle w:val="TextBody"/>
        <w:bidi w:val="0"/>
        <w:spacing w:lineRule="auto"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11" w:after="283"/>
        <w:jc w:val="left"/>
        <w:rPr/>
      </w:pPr>
      <w:r>
        <w:rPr/>
      </w:r>
    </w:p>
    <w:p>
      <w:pPr>
        <w:pStyle w:val="TextBody"/>
        <w:bidi w:val="0"/>
        <w:spacing w:lineRule="auto" w:line="240" w:before="0" w:after="0"/>
        <w:jc w:val="left"/>
        <w:rPr/>
      </w:pPr>
      <w:r>
        <w:rPr>
          <w:rFonts w:ascii="Times New Roman;sans-serif" w:hAnsi="Times New Roman;sans-serif"/>
          <w:b w:val="false"/>
          <w:color w:val="000000"/>
          <w:sz w:val="24"/>
        </w:rPr>
        <w:t>G</w:t>
      </w:r>
      <w:r>
        <w:rPr>
          <w:rFonts w:ascii="Times New Roman;sans-serif" w:hAnsi="Times New Roman;sans-serif"/>
          <w:b w:val="false"/>
          <w:color w:val="000000"/>
          <w:sz w:val="19"/>
        </w:rPr>
        <w:t>ENE</w:t>
      </w:r>
      <w:r>
        <w:rPr>
          <w:rFonts w:ascii="Times New Roman;sans-serif" w:hAnsi="Times New Roman;sans-serif"/>
          <w:b w:val="false"/>
          <w:color w:val="000000"/>
          <w:sz w:val="24"/>
        </w:rPr>
        <w:t>D</w:t>
      </w:r>
      <w:r>
        <w:rPr>
          <w:rFonts w:ascii="Times New Roman;sans-serif" w:hAnsi="Times New Roman;sans-serif"/>
          <w:b w:val="false"/>
          <w:color w:val="000000"/>
          <w:sz w:val="19"/>
        </w:rPr>
        <w:t>X</w:t>
      </w:r>
      <w:r>
        <w:rPr>
          <w:rFonts w:ascii="Times New Roman;sans-serif" w:hAnsi="Times New Roman;sans-serif"/>
          <w:b w:val="false"/>
          <w:color w:val="000000"/>
          <w:sz w:val="24"/>
        </w:rPr>
        <w:t>, LLC</w:t>
      </w:r>
    </w:p>
    <w:p>
      <w:pPr>
        <w:pStyle w:val="TextBody"/>
        <w:bidi w:val="0"/>
        <w:spacing w:before="8"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GeneDx Holdings Corp., its sole member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    </w:t>
      </w:r>
      <w:r>
        <w:rPr>
          <w:color w:val="000000"/>
        </w:rPr>
        <w:t xml:space="preserve"> </w:t>
      </w:r>
      <w:r>
        <w:rPr>
          <w:rFonts w:ascii="Times New Roman;sans-serif" w:hAnsi="Times New Roman;sans-serif"/>
          <w:b w:val="false"/>
          <w:color w:val="000000"/>
          <w:sz w:val="24"/>
        </w:rPr>
        <w:t>Name: Kevin Feeley</w:t>
      </w:r>
    </w:p>
    <w:p>
      <w:pPr>
        <w:pStyle w:val="TextBody"/>
        <w:bidi w:val="0"/>
        <w:spacing w:lineRule="auto"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pStyle w:val="TextBody"/>
        <w:bidi w:val="0"/>
        <w:spacing w:before="0" w:after="0"/>
        <w:jc w:val="left"/>
        <w:rPr/>
      </w:pPr>
      <w:r>
        <w:rPr/>
      </w:r>
    </w:p>
    <w:p>
      <w:pPr>
        <w:pStyle w:val="TextBody"/>
        <w:bidi w:val="0"/>
        <w:spacing w:lineRule="auto" w:line="240" w:before="218"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GeneDx Holdings Corp.</w:t>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Kevin Feeley    </w:t>
      </w:r>
      <w:r>
        <w:rPr>
          <w:color w:val="000000"/>
        </w:rPr>
        <w:t xml:space="preserve"> </w:t>
      </w:r>
      <w:r>
        <w:rPr>
          <w:rFonts w:ascii="Times New Roman;sans-serif" w:hAnsi="Times New Roman;sans-serif"/>
          <w:b w:val="false"/>
          <w:color w:val="000000"/>
          <w:sz w:val="24"/>
        </w:rPr>
        <w:t>Name: Kevin Feeley</w:t>
      </w:r>
    </w:p>
    <w:p>
      <w:pPr>
        <w:pStyle w:val="TextBody"/>
        <w:bidi w:val="0"/>
        <w:spacing w:lineRule="auto" w:line="26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Chief Financial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852805"/>
                <wp:effectExtent l="0" t="0" r="0" b="0"/>
                <wp:wrapNone/>
                <wp:docPr id="205" name="Frame199"/>
                <a:graphic xmlns:a="http://schemas.openxmlformats.org/drawingml/2006/main">
                  <a:graphicData uri="http://schemas.microsoft.com/office/word/2010/wordprocessingShape">
                    <wps:wsp>
                      <wps:cNvSpPr txBox="1"/>
                      <wps:spPr>
                        <a:xfrm>
                          <a:off x="0" y="0"/>
                          <a:ext cx="6480175" cy="852805"/>
                        </a:xfrm>
                        <a:prstGeom prst="rect"/>
                        <a:solidFill>
                          <a:srgbClr val="FFFFFF"/>
                        </a:solidFill>
                      </wps:spPr>
                      <wps:txbx>
                        <w:txbxContent>
                          <w:tbl>
                            <w:tblPr>
                              <w:tblW w:w="2055" w:type="dxa"/>
                              <w:jc w:val="left"/>
                              <w:tblInd w:w="0" w:type="dxa"/>
                              <w:tblLayout w:type="fixed"/>
                              <w:tblCellMar>
                                <w:top w:w="28" w:type="dxa"/>
                                <w:left w:w="28" w:type="dxa"/>
                                <w:bottom w:w="28" w:type="dxa"/>
                                <w:right w:w="28" w:type="dxa"/>
                              </w:tblCellMar>
                            </w:tblPr>
                            <w:tblGrid>
                              <w:gridCol w:w="657"/>
                              <w:gridCol w:w="578"/>
                              <w:gridCol w:w="820"/>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p>
                                  <w:pPr>
                                    <w:pStyle w:val="TableContents"/>
                                    <w:bidi w:val="0"/>
                                    <w:spacing w:lineRule="auto" w:line="240" w:before="17"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15pt;mso-wrap-distance-left:0pt;mso-wrap-distance-right:0pt;mso-wrap-distance-top:0pt;mso-wrap-distance-bottom:0pt;margin-top:0pt;mso-position-vertical:top;mso-position-vertical-relative:text;margin-left:0pt;mso-position-horizontal:left;mso-position-horizontal-relative:text">
                <v:textbox>
                  <w:txbxContent>
                    <w:tbl>
                      <w:tblPr>
                        <w:tblW w:w="2055" w:type="dxa"/>
                        <w:jc w:val="left"/>
                        <w:tblInd w:w="0" w:type="dxa"/>
                        <w:tblLayout w:type="fixed"/>
                        <w:tblCellMar>
                          <w:top w:w="28" w:type="dxa"/>
                          <w:left w:w="28" w:type="dxa"/>
                          <w:bottom w:w="28" w:type="dxa"/>
                          <w:right w:w="28" w:type="dxa"/>
                        </w:tblCellMar>
                      </w:tblPr>
                      <w:tblGrid>
                        <w:gridCol w:w="657"/>
                        <w:gridCol w:w="578"/>
                        <w:gridCol w:w="820"/>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p>
                            <w:pPr>
                              <w:pStyle w:val="TableContents"/>
                              <w:bidi w:val="0"/>
                              <w:spacing w:lineRule="auto" w:line="240" w:before="17"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6" w:after="283"/>
        <w:jc w:val="left"/>
        <w:rPr/>
      </w:pPr>
      <w:r>
        <w:rPr/>
      </w:r>
    </w:p>
    <w:p>
      <w:pPr>
        <w:pStyle w:val="TextBody"/>
        <w:bidi w:val="0"/>
        <w:spacing w:lineRule="auto" w:line="568" w:before="90" w:after="283"/>
        <w:jc w:val="left"/>
        <w:rPr/>
      </w:pPr>
      <w:r>
        <w:rPr>
          <w:rFonts w:ascii="Times New Roman;sans-serif" w:hAnsi="Times New Roman;sans-serif"/>
          <w:b w:val="false"/>
          <w:color w:val="000000"/>
          <w:sz w:val="24"/>
        </w:rPr>
        <w:t>ADMINISTRATIVE AGENT: P</w:t>
      </w:r>
      <w:r>
        <w:rPr>
          <w:rFonts w:ascii="Times New Roman;sans-serif" w:hAnsi="Times New Roman;sans-serif"/>
          <w:b w:val="false"/>
          <w:color w:val="000000"/>
          <w:sz w:val="19"/>
        </w:rPr>
        <w:t xml:space="preserve">ERCEPTIVE </w:t>
      </w:r>
      <w:r>
        <w:rPr>
          <w:rFonts w:ascii="Times New Roman;sans-serif" w:hAnsi="Times New Roman;sans-serif"/>
          <w:b w:val="false"/>
          <w:color w:val="000000"/>
          <w:sz w:val="24"/>
        </w:rPr>
        <w:t>C</w:t>
      </w:r>
      <w:r>
        <w:rPr>
          <w:rFonts w:ascii="Times New Roman;sans-serif" w:hAnsi="Times New Roman;sans-serif"/>
          <w:b w:val="false"/>
          <w:color w:val="000000"/>
          <w:sz w:val="19"/>
        </w:rPr>
        <w:t xml:space="preserve">REDIT </w:t>
      </w:r>
      <w:r>
        <w:rPr>
          <w:rFonts w:ascii="Times New Roman;sans-serif" w:hAnsi="Times New Roman;sans-serif"/>
          <w:b w:val="false"/>
          <w:color w:val="000000"/>
          <w:sz w:val="24"/>
        </w:rPr>
        <w:t>H</w:t>
      </w:r>
      <w:r>
        <w:rPr>
          <w:rFonts w:ascii="Times New Roman;sans-serif" w:hAnsi="Times New Roman;sans-serif"/>
          <w:b w:val="false"/>
          <w:color w:val="000000"/>
          <w:sz w:val="19"/>
        </w:rPr>
        <w:t xml:space="preserve">OLDINGS </w:t>
      </w:r>
      <w:r>
        <w:rPr>
          <w:rFonts w:ascii="Times New Roman;sans-serif" w:hAnsi="Times New Roman;sans-serif"/>
          <w:b w:val="false"/>
          <w:color w:val="000000"/>
          <w:sz w:val="24"/>
        </w:rPr>
        <w:t>IV, LP</w:t>
      </w:r>
    </w:p>
    <w:p>
      <w:pPr>
        <w:pStyle w:val="TextBody"/>
        <w:bidi w:val="0"/>
        <w:spacing w:lineRule="auto" w:line="285" w:before="0" w:after="0"/>
        <w:ind w:left="0" w:right="0" w:hanging="270"/>
        <w:jc w:val="left"/>
        <w:rPr>
          <w:rFonts w:ascii="Times New Roman;sans-serif" w:hAnsi="Times New Roman;sans-serif"/>
          <w:b w:val="false"/>
          <w:color w:val="000000"/>
          <w:sz w:val="24"/>
        </w:rPr>
      </w:pPr>
      <w:r>
        <w:rPr>
          <w:rFonts w:ascii="Times New Roman;sans-serif" w:hAnsi="Times New Roman;sans-serif"/>
          <w:b w:val="false"/>
          <w:color w:val="000000"/>
          <w:sz w:val="24"/>
        </w:rPr>
        <w:t>By: Perceptive Credit Opportunities GP, LLC, its general partner</w:t>
      </w:r>
    </w:p>
    <w:p>
      <w:pPr>
        <w:pStyle w:val="TextBody"/>
        <w:bidi w:val="0"/>
        <w:spacing w:before="0" w:after="0"/>
        <w:jc w:val="left"/>
        <w:rPr/>
      </w:pPr>
      <w:r>
        <w:rPr/>
      </w:r>
    </w:p>
    <w:p>
      <w:pPr>
        <w:pStyle w:val="TextBody"/>
        <w:bidi w:val="0"/>
        <w:spacing w:lineRule="auto" w:line="240" w:before="161"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Sandeep Dixit    </w:t>
      </w:r>
    </w:p>
    <w:p>
      <w:pPr>
        <w:pStyle w:val="TextBody"/>
        <w:bidi w:val="0"/>
        <w:spacing w:lineRule="auto" w:line="285" w:before="8"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Sandeep Dixit Title: Chief Credit Officer</w:t>
      </w:r>
    </w:p>
    <w:p>
      <w:pPr>
        <w:pStyle w:val="TextBody"/>
        <w:bidi w:val="0"/>
        <w:spacing w:before="0" w:after="0"/>
        <w:jc w:val="left"/>
        <w:rPr/>
      </w:pPr>
      <w:r>
        <w:rPr/>
      </w:r>
    </w:p>
    <w:p>
      <w:pPr>
        <w:pStyle w:val="TextBody"/>
        <w:bidi w:val="0"/>
        <w:spacing w:lineRule="auto" w:line="240" w:before="169" w:after="283"/>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Sam Chawla    </w:t>
      </w:r>
    </w:p>
    <w:p>
      <w:pPr>
        <w:pStyle w:val="TextBody"/>
        <w:bidi w:val="0"/>
        <w:spacing w:lineRule="auto" w:line="285" w:before="7" w:after="283"/>
        <w:jc w:val="left"/>
        <w:rPr>
          <w:rFonts w:ascii="Times New Roman;sans-serif" w:hAnsi="Times New Roman;sans-serif"/>
          <w:b w:val="false"/>
          <w:color w:val="000000"/>
          <w:sz w:val="24"/>
        </w:rPr>
      </w:pPr>
      <w:r>
        <w:rPr>
          <w:rFonts w:ascii="Times New Roman;sans-serif" w:hAnsi="Times New Roman;sans-serif"/>
          <w:b w:val="false"/>
          <w:color w:val="000000"/>
          <w:sz w:val="24"/>
        </w:rPr>
        <w:t>Name: Sam Chawla Title: Portfolio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852805"/>
                <wp:effectExtent l="0" t="0" r="0" b="0"/>
                <wp:wrapNone/>
                <wp:docPr id="206" name="Frame200"/>
                <a:graphic xmlns:a="http://schemas.openxmlformats.org/drawingml/2006/main">
                  <a:graphicData uri="http://schemas.microsoft.com/office/word/2010/wordprocessingShape">
                    <wps:wsp>
                      <wps:cNvSpPr txBox="1"/>
                      <wps:spPr>
                        <a:xfrm>
                          <a:off x="0" y="0"/>
                          <a:ext cx="6480175" cy="852805"/>
                        </a:xfrm>
                        <a:prstGeom prst="rect"/>
                        <a:solidFill>
                          <a:srgbClr val="FFFFFF"/>
                        </a:solidFill>
                      </wps:spPr>
                      <wps:txbx>
                        <w:txbxContent>
                          <w:tbl>
                            <w:tblPr>
                              <w:tblW w:w="2055" w:type="dxa"/>
                              <w:jc w:val="left"/>
                              <w:tblInd w:w="0" w:type="dxa"/>
                              <w:tblLayout w:type="fixed"/>
                              <w:tblCellMar>
                                <w:top w:w="28" w:type="dxa"/>
                                <w:left w:w="28" w:type="dxa"/>
                                <w:bottom w:w="28" w:type="dxa"/>
                                <w:right w:w="28" w:type="dxa"/>
                              </w:tblCellMar>
                            </w:tblPr>
                            <w:tblGrid>
                              <w:gridCol w:w="657"/>
                              <w:gridCol w:w="578"/>
                              <w:gridCol w:w="820"/>
                            </w:tblGrid>
                            <w:tr>
                              <w:trPr/>
                              <w:tc>
                                <w:tcPr>
                                  <w:tcW w:w="657" w:type="dxa"/>
                                  <w:tcBorders/>
                                  <w:vAlign w:val="center"/>
                                </w:tcPr>
                                <w:p>
                                  <w:pPr>
                                    <w:pStyle w:val="TableContents"/>
                                    <w:bidi w:val="0"/>
                                    <w:spacing w:before="0" w:after="283"/>
                                    <w:jc w:val="left"/>
                                    <w:rPr>
                                      <w:sz w:val="4"/>
                                      <w:szCs w:val="4"/>
                                    </w:rPr>
                                  </w:pPr>
                                  <w:r>
                                    <w:rPr>
                                      <w:sz w:val="4"/>
                                      <w:szCs w:val="4"/>
                                    </w:rPr>
                                  </w:r>
                                  <w:r>
                                    <w:br w:type="page"/>
                                  </w:r>
                                </w:p>
                              </w:tc>
                              <w:tc>
                                <w:tcPr>
                                  <w:tcW w:w="5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p>
                                  <w:pPr>
                                    <w:pStyle w:val="TableContents"/>
                                    <w:bidi w:val="0"/>
                                    <w:spacing w:lineRule="auto" w:line="240" w:before="17"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SECURITY AGREEMENT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15pt;mso-wrap-distance-left:0pt;mso-wrap-distance-right:0pt;mso-wrap-distance-top:0pt;mso-wrap-distance-bottom:0pt;margin-top:0pt;mso-position-vertical:top;mso-position-vertical-relative:text;margin-left:0pt;mso-position-horizontal:left;mso-position-horizontal-relative:text">
                <v:textbox>
                  <w:txbxContent>
                    <w:tbl>
                      <w:tblPr>
                        <w:tblW w:w="2055" w:type="dxa"/>
                        <w:jc w:val="left"/>
                        <w:tblInd w:w="0" w:type="dxa"/>
                        <w:tblLayout w:type="fixed"/>
                        <w:tblCellMar>
                          <w:top w:w="28" w:type="dxa"/>
                          <w:left w:w="28" w:type="dxa"/>
                          <w:bottom w:w="28" w:type="dxa"/>
                          <w:right w:w="28" w:type="dxa"/>
                        </w:tblCellMar>
                      </w:tblPr>
                      <w:tblGrid>
                        <w:gridCol w:w="657"/>
                        <w:gridCol w:w="578"/>
                        <w:gridCol w:w="820"/>
                      </w:tblGrid>
                      <w:tr>
                        <w:trPr/>
                        <w:tc>
                          <w:tcPr>
                            <w:tcW w:w="65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59"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SIGNATURE PAGE</w:t>
                            </w:r>
                          </w:p>
                          <w:p>
                            <w:pPr>
                              <w:pStyle w:val="TableContents"/>
                              <w:bidi w:val="0"/>
                              <w:spacing w:lineRule="auto" w:line="240" w:before="17"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SECURITY AGREEMENT</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61" w:after="283"/>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633" w:before="3" w:after="283"/>
        <w:ind w:left="0" w:right="0" w:hanging="1"/>
        <w:jc w:val="center"/>
        <w:rPr>
          <w:rFonts w:ascii="Times New Roman;sans-serif" w:hAnsi="Times New Roman;sans-serif"/>
          <w:b/>
          <w:color w:val="000000"/>
          <w:sz w:val="24"/>
        </w:rPr>
      </w:pPr>
      <w:r>
        <w:rPr>
          <w:rFonts w:ascii="Times New Roman;sans-serif" w:hAnsi="Times New Roman;sans-serif"/>
          <w:b/>
          <w:color w:val="000000"/>
          <w:sz w:val="24"/>
        </w:rPr>
        <w:t>TO SECURITY AGREEMENT FORM OF JOINDER AGREEMENT</w:t>
      </w:r>
    </w:p>
    <w:p>
      <w:pPr>
        <w:pStyle w:val="TextBody"/>
        <w:bidi w:val="0"/>
        <w:spacing w:lineRule="auto" w:line="283" w:before="210" w:after="283"/>
        <w:ind w:left="0" w:right="0" w:firstLine="720"/>
        <w:jc w:val="both"/>
        <w:rPr/>
      </w:pPr>
      <w:r>
        <w:rPr>
          <w:rFonts w:ascii="Times New Roman;sans-serif" w:hAnsi="Times New Roman;sans-serif"/>
          <w:b w:val="false"/>
          <w:color w:val="000000"/>
          <w:sz w:val="24"/>
        </w:rPr>
        <w:t>This J</w:t>
      </w:r>
      <w:r>
        <w:rPr>
          <w:rFonts w:ascii="Times New Roman;sans-serif" w:hAnsi="Times New Roman;sans-serif"/>
          <w:b w:val="false"/>
          <w:color w:val="000000"/>
          <w:sz w:val="19"/>
        </w:rPr>
        <w:t xml:space="preserve">OINDER </w:t>
      </w:r>
      <w:r>
        <w:rPr>
          <w:rFonts w:ascii="Times New Roman;sans-serif" w:hAnsi="Times New Roman;sans-serif"/>
          <w:b w:val="false"/>
          <w:color w:val="000000"/>
          <w:sz w:val="24"/>
        </w:rPr>
        <w:t>A</w:t>
      </w:r>
      <w:r>
        <w:rPr>
          <w:rFonts w:ascii="Times New Roman;sans-serif" w:hAnsi="Times New Roman;sans-serif"/>
          <w:b w:val="false"/>
          <w:color w:val="000000"/>
          <w:sz w:val="19"/>
        </w:rPr>
        <w:t xml:space="preserve">GREEMENT </w:t>
      </w:r>
      <w:r>
        <w:rPr>
          <w:rFonts w:ascii="Times New Roman;sans-serif" w:hAnsi="Times New Roman;sans-serif"/>
          <w:b w:val="false"/>
          <w:color w:val="000000"/>
          <w:sz w:val="24"/>
        </w:rPr>
        <w:t xml:space="preserve">(this </w:t>
      </w:r>
      <w:r>
        <w:rPr>
          <w:color w:val="000000"/>
        </w:rPr>
        <w:t>“</w:t>
      </w:r>
      <w:r>
        <w:rPr>
          <w:rFonts w:ascii="Times New Roman;sans-serif" w:hAnsi="Times New Roman;sans-serif"/>
          <w:b w:val="false"/>
          <w:i/>
          <w:color w:val="000000"/>
          <w:sz w:val="24"/>
        </w:rPr>
        <w:t>Joinder”</w:t>
      </w:r>
      <w:r>
        <w:rPr>
          <w:rFonts w:ascii="Times New Roman;sans-serif" w:hAnsi="Times New Roman;sans-serif"/>
          <w:b w:val="false"/>
          <w:color w:val="000000"/>
          <w:sz w:val="24"/>
        </w:rPr>
        <w:t>) dated as of [</w:t>
      </w:r>
      <w:r>
        <w:rPr>
          <w:color w:val="000000"/>
          <w:u w:val="single"/>
        </w:rPr>
        <w:t>    </w:t>
      </w:r>
      <w:r>
        <w:rPr>
          <w:rFonts w:ascii="Times New Roman;sans-serif" w:hAnsi="Times New Roman;sans-serif"/>
          <w:b w:val="false"/>
          <w:color w:val="000000"/>
          <w:sz w:val="24"/>
        </w:rPr>
        <w:t>, ] is by [N</w:t>
      </w:r>
      <w:r>
        <w:rPr>
          <w:rFonts w:ascii="Times New Roman;sans-serif" w:hAnsi="Times New Roman;sans-serif"/>
          <w:b w:val="false"/>
          <w:color w:val="000000"/>
          <w:sz w:val="19"/>
        </w:rPr>
        <w:t xml:space="preserve">AME OF </w:t>
      </w:r>
      <w:r>
        <w:rPr>
          <w:rFonts w:ascii="Times New Roman;sans-serif" w:hAnsi="Times New Roman;sans-serif"/>
          <w:b w:val="false"/>
          <w:color w:val="000000"/>
          <w:sz w:val="24"/>
        </w:rPr>
        <w:t>A</w:t>
      </w:r>
      <w:r>
        <w:rPr>
          <w:rFonts w:ascii="Times New Roman;sans-serif" w:hAnsi="Times New Roman;sans-serif"/>
          <w:b w:val="false"/>
          <w:color w:val="000000"/>
          <w:sz w:val="19"/>
        </w:rPr>
        <w:t xml:space="preserve">DDITIONAL </w:t>
      </w:r>
      <w:r>
        <w:rPr>
          <w:rFonts w:ascii="Times New Roman;sans-serif" w:hAnsi="Times New Roman;sans-serif"/>
          <w:b w:val="false"/>
          <w:color w:val="000000"/>
          <w:sz w:val="24"/>
        </w:rPr>
        <w:t>G</w:t>
      </w:r>
      <w:r>
        <w:rPr>
          <w:rFonts w:ascii="Times New Roman;sans-serif" w:hAnsi="Times New Roman;sans-serif"/>
          <w:b w:val="false"/>
          <w:color w:val="000000"/>
          <w:sz w:val="19"/>
        </w:rPr>
        <w:t>RANTOR</w:t>
      </w:r>
      <w:r>
        <w:rPr>
          <w:rFonts w:ascii="Times New Roman;sans-serif" w:hAnsi="Times New Roman;sans-serif"/>
          <w:b w:val="false"/>
          <w:color w:val="000000"/>
          <w:sz w:val="24"/>
        </w:rPr>
        <w:t>], a [</w:t>
      </w:r>
      <w:r>
        <w:rPr>
          <w:color w:val="000000"/>
          <w:u w:val="single"/>
        </w:rPr>
        <w:t>    </w:t>
      </w:r>
      <w:r>
        <w:rPr>
          <w:rFonts w:ascii="Times New Roman;sans-serif" w:hAnsi="Times New Roman;sans-serif"/>
          <w:b w:val="false"/>
          <w:color w:val="000000"/>
          <w:sz w:val="24"/>
        </w:rPr>
        <w:t>] [</w:t>
      </w:r>
      <w:r>
        <w:rPr>
          <w:color w:val="000000"/>
          <w:u w:val="single"/>
        </w:rPr>
        <w:t>    </w:t>
      </w:r>
      <w:r>
        <w:rPr>
          <w:rFonts w:ascii="Times New Roman;sans-serif" w:hAnsi="Times New Roman;sans-serif"/>
          <w:b w:val="false"/>
          <w:color w:val="000000"/>
          <w:sz w:val="24"/>
        </w:rPr>
        <w:t xml:space="preserve">] (the </w:t>
      </w:r>
      <w:r>
        <w:rPr>
          <w:color w:val="000000"/>
        </w:rPr>
        <w:t>“</w:t>
      </w:r>
      <w:r>
        <w:rPr>
          <w:rFonts w:ascii="Times New Roman;sans-serif" w:hAnsi="Times New Roman;sans-serif"/>
          <w:b w:val="false"/>
          <w:i/>
          <w:color w:val="000000"/>
          <w:sz w:val="24"/>
        </w:rPr>
        <w:t>Additional Grantor”</w:t>
      </w:r>
      <w:r>
        <w:rPr>
          <w:rFonts w:ascii="Times New Roman;sans-serif" w:hAnsi="Times New Roman;sans-serif"/>
          <w:b w:val="false"/>
          <w:color w:val="000000"/>
          <w:sz w:val="24"/>
        </w:rPr>
        <w:t>), in favor of P</w:t>
      </w:r>
      <w:r>
        <w:rPr>
          <w:rFonts w:ascii="Times New Roman;sans-serif" w:hAnsi="Times New Roman;sans-serif"/>
          <w:b w:val="false"/>
          <w:color w:val="000000"/>
          <w:sz w:val="19"/>
        </w:rPr>
        <w:t xml:space="preserve">ERCEPTIVE </w:t>
      </w:r>
      <w:r>
        <w:rPr>
          <w:rFonts w:ascii="Times New Roman;sans-serif" w:hAnsi="Times New Roman;sans-serif"/>
          <w:b w:val="false"/>
          <w:color w:val="000000"/>
          <w:sz w:val="24"/>
        </w:rPr>
        <w:t>C</w:t>
      </w:r>
      <w:r>
        <w:rPr>
          <w:rFonts w:ascii="Times New Roman;sans-serif" w:hAnsi="Times New Roman;sans-serif"/>
          <w:b w:val="false"/>
          <w:color w:val="000000"/>
          <w:sz w:val="19"/>
        </w:rPr>
        <w:t xml:space="preserve">REDIT </w:t>
      </w:r>
      <w:r>
        <w:rPr>
          <w:rFonts w:ascii="Times New Roman;sans-serif" w:hAnsi="Times New Roman;sans-serif"/>
          <w:b w:val="false"/>
          <w:color w:val="000000"/>
          <w:sz w:val="24"/>
        </w:rPr>
        <w:t>H</w:t>
      </w:r>
      <w:r>
        <w:rPr>
          <w:rFonts w:ascii="Times New Roman;sans-serif" w:hAnsi="Times New Roman;sans-serif"/>
          <w:b w:val="false"/>
          <w:color w:val="000000"/>
          <w:sz w:val="19"/>
        </w:rPr>
        <w:t xml:space="preserve">OLDINGS </w:t>
      </w:r>
      <w:r>
        <w:rPr>
          <w:rFonts w:ascii="Times New Roman;sans-serif" w:hAnsi="Times New Roman;sans-serif"/>
          <w:b w:val="false"/>
          <w:color w:val="000000"/>
          <w:sz w:val="24"/>
        </w:rPr>
        <w:t xml:space="preserve">IV, LP, a Delaware limited partnership, as administrative agent (in such capacity, the </w:t>
      </w:r>
      <w:r>
        <w:rPr>
          <w:color w:val="000000"/>
        </w:rPr>
        <w:t>“</w:t>
      </w:r>
      <w:r>
        <w:rPr>
          <w:rFonts w:ascii="Times New Roman;sans-serif" w:hAnsi="Times New Roman;sans-serif"/>
          <w:b w:val="false"/>
          <w:i/>
          <w:color w:val="000000"/>
          <w:sz w:val="24"/>
        </w:rPr>
        <w:t>Administrative Agent</w:t>
      </w:r>
      <w:r>
        <w:rPr>
          <w:color w:val="000000"/>
        </w:rPr>
        <w:t>”</w:t>
      </w:r>
      <w:r>
        <w:rPr>
          <w:rFonts w:ascii="Times New Roman;sans-serif" w:hAnsi="Times New Roman;sans-serif"/>
          <w:b w:val="false"/>
          <w:color w:val="000000"/>
          <w:sz w:val="24"/>
        </w:rPr>
        <w:t>) for the Secured Parties.</w:t>
      </w:r>
    </w:p>
    <w:p>
      <w:pPr>
        <w:pStyle w:val="TextBody"/>
        <w:bidi w:val="0"/>
        <w:spacing w:before="0" w:after="0"/>
        <w:jc w:val="left"/>
        <w:rPr/>
      </w:pPr>
      <w:r>
        <w:rPr/>
      </w:r>
    </w:p>
    <w:p>
      <w:pPr>
        <w:pStyle w:val="TextBody"/>
        <w:bidi w:val="0"/>
        <w:spacing w:lineRule="auto" w:line="283" w:before="0" w:after="0"/>
        <w:ind w:left="0" w:right="0" w:firstLine="702"/>
        <w:jc w:val="both"/>
        <w:rPr/>
      </w:pPr>
      <w:r>
        <w:rPr>
          <w:rFonts w:ascii="Times New Roman;sans-serif" w:hAnsi="Times New Roman;sans-serif"/>
          <w:b w:val="false"/>
          <w:color w:val="000000"/>
          <w:sz w:val="24"/>
        </w:rPr>
        <w:t xml:space="preserve">A.Reference is made to (i) the Credit Agreement and Guaranty (as amended, supplemented, restated, extended, renewed or replaced from time to time, the </w:t>
      </w:r>
      <w:r>
        <w:rPr>
          <w:color w:val="000000"/>
        </w:rPr>
        <w:t>“</w:t>
      </w:r>
      <w:r>
        <w:rPr>
          <w:rFonts w:ascii="Times New Roman;sans-serif" w:hAnsi="Times New Roman;sans-serif"/>
          <w:b w:val="false"/>
          <w:i/>
          <w:color w:val="000000"/>
          <w:sz w:val="24"/>
        </w:rPr>
        <w:t>Credit Agreement”</w:t>
      </w:r>
      <w:r>
        <w:rPr>
          <w:rFonts w:ascii="Times New Roman;sans-serif" w:hAnsi="Times New Roman;sans-serif"/>
          <w:b w:val="false"/>
          <w:color w:val="000000"/>
          <w:sz w:val="24"/>
        </w:rPr>
        <w:t>), dated as of October 27, 2023, among S</w:t>
      </w:r>
      <w:r>
        <w:rPr>
          <w:rFonts w:ascii="Times New Roman;sans-serif" w:hAnsi="Times New Roman;sans-serif"/>
          <w:b w:val="false"/>
          <w:color w:val="000000"/>
          <w:sz w:val="19"/>
        </w:rPr>
        <w:t>EMA</w:t>
      </w:r>
      <w:r>
        <w:rPr>
          <w:rFonts w:ascii="Times New Roman;sans-serif" w:hAnsi="Times New Roman;sans-serif"/>
          <w:b w:val="false"/>
          <w:color w:val="000000"/>
          <w:sz w:val="24"/>
        </w:rPr>
        <w:t>4 O</w:t>
      </w:r>
      <w:r>
        <w:rPr>
          <w:rFonts w:ascii="Times New Roman;sans-serif" w:hAnsi="Times New Roman;sans-serif"/>
          <w:b w:val="false"/>
          <w:color w:val="000000"/>
          <w:sz w:val="19"/>
        </w:rPr>
        <w:t>P</w:t>
      </w:r>
      <w:r>
        <w:rPr>
          <w:rFonts w:ascii="Times New Roman;sans-serif" w:hAnsi="Times New Roman;sans-serif"/>
          <w:b w:val="false"/>
          <w:color w:val="000000"/>
          <w:sz w:val="24"/>
        </w:rPr>
        <w:t>C</w:t>
      </w:r>
      <w:r>
        <w:rPr>
          <w:rFonts w:ascii="Times New Roman;sans-serif" w:hAnsi="Times New Roman;sans-serif"/>
          <w:b w:val="false"/>
          <w:color w:val="000000"/>
          <w:sz w:val="19"/>
        </w:rPr>
        <w:t>O</w:t>
      </w:r>
      <w:r>
        <w:rPr>
          <w:rFonts w:ascii="Times New Roman;sans-serif" w:hAnsi="Times New Roman;sans-serif"/>
          <w:b w:val="false"/>
          <w:color w:val="000000"/>
          <w:sz w:val="24"/>
        </w:rPr>
        <w:t>, I</w:t>
      </w:r>
      <w:r>
        <w:rPr>
          <w:rFonts w:ascii="Times New Roman;sans-serif" w:hAnsi="Times New Roman;sans-serif"/>
          <w:b w:val="false"/>
          <w:color w:val="000000"/>
          <w:sz w:val="19"/>
        </w:rPr>
        <w:t>NC</w:t>
      </w:r>
      <w:r>
        <w:rPr>
          <w:rFonts w:ascii="Times New Roman;sans-serif" w:hAnsi="Times New Roman;sans-serif"/>
          <w:b w:val="false"/>
          <w:color w:val="000000"/>
          <w:sz w:val="24"/>
        </w:rPr>
        <w:t>. (f/k/a Mount Sinai Genomics, Inc.), a Delaware corporation (</w:t>
      </w:r>
      <w:r>
        <w:rPr>
          <w:color w:val="000000"/>
        </w:rPr>
        <w:t>“</w:t>
      </w:r>
      <w:r>
        <w:rPr>
          <w:rFonts w:ascii="Times New Roman;sans-serif" w:hAnsi="Times New Roman;sans-serif"/>
          <w:b w:val="false"/>
          <w:i/>
          <w:color w:val="000000"/>
          <w:sz w:val="24"/>
        </w:rPr>
        <w:t>Sema4”</w:t>
      </w:r>
      <w:r>
        <w:rPr>
          <w:rFonts w:ascii="Times New Roman;sans-serif" w:hAnsi="Times New Roman;sans-serif"/>
          <w:b w:val="false"/>
          <w:color w:val="000000"/>
          <w:sz w:val="24"/>
        </w:rPr>
        <w:t>), G</w:t>
      </w:r>
      <w:r>
        <w:rPr>
          <w:rFonts w:ascii="Times New Roman;sans-serif" w:hAnsi="Times New Roman;sans-serif"/>
          <w:b w:val="false"/>
          <w:color w:val="000000"/>
          <w:sz w:val="19"/>
        </w:rPr>
        <w:t>ENE</w:t>
      </w:r>
      <w:r>
        <w:rPr>
          <w:rFonts w:ascii="Times New Roman;sans-serif" w:hAnsi="Times New Roman;sans-serif"/>
          <w:b w:val="false"/>
          <w:color w:val="000000"/>
          <w:sz w:val="24"/>
        </w:rPr>
        <w:t>D</w:t>
      </w:r>
      <w:r>
        <w:rPr>
          <w:rFonts w:ascii="Times New Roman;sans-serif" w:hAnsi="Times New Roman;sans-serif"/>
          <w:b w:val="false"/>
          <w:color w:val="000000"/>
          <w:sz w:val="19"/>
        </w:rPr>
        <w:t>X</w:t>
      </w:r>
      <w:r>
        <w:rPr>
          <w:rFonts w:ascii="Times New Roman;sans-serif" w:hAnsi="Times New Roman;sans-serif"/>
          <w:b w:val="false"/>
          <w:color w:val="000000"/>
          <w:sz w:val="24"/>
        </w:rPr>
        <w:t>, LLC (f/k/a GeneDx, Inc.), a Delaware limited liability company (</w:t>
      </w:r>
      <w:r>
        <w:rPr>
          <w:color w:val="000000"/>
        </w:rPr>
        <w:t>“</w:t>
      </w:r>
      <w:r>
        <w:rPr>
          <w:rFonts w:ascii="Times New Roman;sans-serif" w:hAnsi="Times New Roman;sans-serif"/>
          <w:b w:val="false"/>
          <w:i/>
          <w:color w:val="000000"/>
          <w:sz w:val="24"/>
        </w:rPr>
        <w:t xml:space="preserve">GeneDx, LLC” </w:t>
      </w:r>
      <w:r>
        <w:rPr>
          <w:rFonts w:ascii="Times New Roman;sans-serif" w:hAnsi="Times New Roman;sans-serif"/>
          <w:b w:val="false"/>
          <w:color w:val="000000"/>
          <w:sz w:val="24"/>
        </w:rPr>
        <w:t xml:space="preserve">and together with Sema4, each a </w:t>
      </w:r>
      <w:r>
        <w:rPr>
          <w:color w:val="000000"/>
        </w:rPr>
        <w:t>“</w:t>
      </w:r>
      <w:r>
        <w:rPr>
          <w:rFonts w:ascii="Times New Roman;sans-serif" w:hAnsi="Times New Roman;sans-serif"/>
          <w:b w:val="false"/>
          <w:i/>
          <w:color w:val="000000"/>
          <w:sz w:val="24"/>
        </w:rPr>
        <w:t xml:space="preserve">Borrower” </w:t>
      </w:r>
      <w:r>
        <w:rPr>
          <w:rFonts w:ascii="Times New Roman;sans-serif" w:hAnsi="Times New Roman;sans-serif"/>
          <w:b w:val="false"/>
          <w:color w:val="000000"/>
          <w:sz w:val="24"/>
        </w:rPr>
        <w:t xml:space="preserve">and collectively, the </w:t>
      </w:r>
      <w:r>
        <w:rPr>
          <w:color w:val="000000"/>
        </w:rPr>
        <w:t>“</w:t>
      </w:r>
      <w:r>
        <w:rPr>
          <w:rFonts w:ascii="Times New Roman;sans-serif" w:hAnsi="Times New Roman;sans-serif"/>
          <w:b w:val="false"/>
          <w:i/>
          <w:color w:val="000000"/>
          <w:sz w:val="24"/>
        </w:rPr>
        <w:t>Borrowers”</w:t>
      </w:r>
      <w:r>
        <w:rPr>
          <w:rFonts w:ascii="Times New Roman;sans-serif" w:hAnsi="Times New Roman;sans-serif"/>
          <w:b w:val="false"/>
          <w:color w:val="000000"/>
          <w:sz w:val="24"/>
        </w:rPr>
        <w:t xml:space="preserve">), certain Grantors party thereto, certain Lenders party thereto and the Administrative Agent, and (ii) the Security Agreement (as amended, supplemented, restated, extended, renewed or replaced from time to time, the </w:t>
      </w:r>
      <w:r>
        <w:rPr>
          <w:color w:val="000000"/>
        </w:rPr>
        <w:t>“</w:t>
      </w:r>
      <w:r>
        <w:rPr>
          <w:rFonts w:ascii="Times New Roman;sans-serif" w:hAnsi="Times New Roman;sans-serif"/>
          <w:b w:val="false"/>
          <w:i/>
          <w:color w:val="000000"/>
          <w:sz w:val="24"/>
        </w:rPr>
        <w:t>Security Agreement”</w:t>
      </w:r>
      <w:r>
        <w:rPr>
          <w:rFonts w:ascii="Times New Roman;sans-serif" w:hAnsi="Times New Roman;sans-serif"/>
          <w:b w:val="false"/>
          <w:color w:val="000000"/>
          <w:sz w:val="24"/>
        </w:rPr>
        <w:t>; capitalized terms used herein but not defined shall have the meaning ascribed to such terms therein), dated as of October 27, 2023, among certain Grantors party thereto and the Administrative Agent.</w:t>
      </w:r>
    </w:p>
    <w:p>
      <w:pPr>
        <w:pStyle w:val="TextBody"/>
        <w:bidi w:val="0"/>
        <w:spacing w:before="10" w:after="283"/>
        <w:jc w:val="left"/>
        <w:rPr/>
      </w:pPr>
      <w:r>
        <w:rPr/>
      </w:r>
    </w:p>
    <w:p>
      <w:pPr>
        <w:pStyle w:val="TextBody"/>
        <w:bidi w:val="0"/>
        <w:spacing w:lineRule="auto" w:line="280"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B.Section 5.12 of the Security Agreement provides that additional Persons may from time to time after the date of the Security Agreement become Grantors under the Security Agreement by executing and delivering to the Administrative Agent a supplemental agreement to the Security Agreement in the form of this Joinder.</w:t>
      </w:r>
    </w:p>
    <w:p>
      <w:pPr>
        <w:pStyle w:val="TextBody"/>
        <w:bidi w:val="0"/>
        <w:spacing w:before="6" w:after="283"/>
        <w:jc w:val="left"/>
        <w:rPr/>
      </w:pPr>
      <w:r>
        <w:rPr/>
      </w:r>
    </w:p>
    <w:p>
      <w:pPr>
        <w:pStyle w:val="TextBody"/>
        <w:bidi w:val="0"/>
        <w:spacing w:lineRule="auto" w:line="283" w:before="0" w:after="0"/>
        <w:ind w:left="0" w:right="0" w:firstLine="715"/>
        <w:jc w:val="both"/>
        <w:rPr>
          <w:rFonts w:ascii="Times New Roman;sans-serif" w:hAnsi="Times New Roman;sans-serif"/>
          <w:b w:val="false"/>
          <w:color w:val="000000"/>
          <w:sz w:val="24"/>
        </w:rPr>
      </w:pPr>
      <w:r>
        <w:rPr>
          <w:rFonts w:ascii="Times New Roman;sans-serif" w:hAnsi="Times New Roman;sans-serif"/>
          <w:b w:val="false"/>
          <w:color w:val="000000"/>
          <w:sz w:val="24"/>
        </w:rPr>
        <w:t>C.To induce the Secured Parties to maintain the term loans pursuant to the Credit Agreement, and for other good and valuable consideration, the receipt and sufficiency of which are hereby acknowledged, the Additional Grantor has agreed to execute and deliver to the Administrative Agent (i) a Guarantee Assumption Agreement under the Credit Agreement, and</w:t>
      </w:r>
    </w:p>
    <w:p>
      <w:pPr>
        <w:pStyle w:val="TextBody"/>
        <w:bidi w:val="0"/>
        <w:spacing w:lineRule="auto" w:line="273"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(ii) this Joinder.</w:t>
      </w:r>
    </w:p>
    <w:p>
      <w:pPr>
        <w:pStyle w:val="TextBody"/>
        <w:bidi w:val="0"/>
        <w:spacing w:before="5" w:after="283"/>
        <w:jc w:val="left"/>
        <w:rPr/>
      </w:pPr>
      <w:r>
        <w:rPr/>
      </w:r>
    </w:p>
    <w:p>
      <w:pPr>
        <w:pStyle w:val="TextBody"/>
        <w:bidi w:val="0"/>
        <w:spacing w:lineRule="auto" w:line="283"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Additional Grantor hereby agrees to become a “Grantor” for all purposes of the Security Agreement (and hereby supplements each of the Schedules to the Security Agreement in the manner specified in Appendix A hereto). Without limitation, as collateral security for the payment in full when due (whether at stated maturity, by acceleration or otherwise) of the Secured Obligations, the Additional Grantor hereby pledges and grants to the Administrative Agent, for the benefit of the Secured Parties, as provided in Section 3 of the Security Agreement a security interest in all of the Additional Grantor’s right, title and interest in, to and under the Collateral of the Additional Grantor, in each case whether tangible or intangible, wherever located, and whether now owned by the Additional Grantor or hereafter acquired and whether now existing or hereafter coming into existence. In addition, subject to the Schedules attached hereto, the Additional Grantor hereby makes the representations and warranties set forth in Section 2 of the Security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603250"/>
                <wp:effectExtent l="0" t="0" r="0" b="0"/>
                <wp:wrapNone/>
                <wp:docPr id="207" name="Frame201"/>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1290" w:type="dxa"/>
                              <w:jc w:val="left"/>
                              <w:tblInd w:w="0" w:type="dxa"/>
                              <w:tblLayout w:type="fixed"/>
                              <w:tblCellMar>
                                <w:top w:w="28" w:type="dxa"/>
                                <w:left w:w="28" w:type="dxa"/>
                                <w:bottom w:w="28" w:type="dxa"/>
                                <w:right w:w="28" w:type="dxa"/>
                              </w:tblCellMar>
                            </w:tblPr>
                            <w:tblGrid>
                              <w:gridCol w:w="413"/>
                              <w:gridCol w:w="363"/>
                              <w:gridCol w:w="514"/>
                            </w:tblGrid>
                            <w:tr>
                              <w:trPr/>
                              <w:tc>
                                <w:tcPr>
                                  <w:tcW w:w="413" w:type="dxa"/>
                                  <w:tcBorders/>
                                  <w:vAlign w:val="center"/>
                                </w:tcPr>
                                <w:p>
                                  <w:pPr>
                                    <w:pStyle w:val="TableContents"/>
                                    <w:bidi w:val="0"/>
                                    <w:spacing w:before="0" w:after="283"/>
                                    <w:jc w:val="left"/>
                                    <w:rPr>
                                      <w:sz w:val="4"/>
                                      <w:szCs w:val="4"/>
                                    </w:rPr>
                                  </w:pPr>
                                  <w:r>
                                    <w:rPr>
                                      <w:sz w:val="4"/>
                                      <w:szCs w:val="4"/>
                                    </w:rPr>
                                  </w:r>
                                  <w:r>
                                    <w:br w:type="page"/>
                                  </w:r>
                                </w:p>
                              </w:tc>
                              <w:tc>
                                <w:tcPr>
                                  <w:tcW w:w="36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1290" w:type="dxa"/>
                        <w:jc w:val="left"/>
                        <w:tblInd w:w="0" w:type="dxa"/>
                        <w:tblLayout w:type="fixed"/>
                        <w:tblCellMar>
                          <w:top w:w="28" w:type="dxa"/>
                          <w:left w:w="28" w:type="dxa"/>
                          <w:bottom w:w="28" w:type="dxa"/>
                          <w:right w:w="28" w:type="dxa"/>
                        </w:tblCellMar>
                      </w:tblPr>
                      <w:tblGrid>
                        <w:gridCol w:w="413"/>
                        <w:gridCol w:w="363"/>
                        <w:gridCol w:w="51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61" w:after="283"/>
        <w:jc w:val="left"/>
        <w:rPr>
          <w:rFonts w:ascii="Times New Roman;sans-serif" w:hAnsi="Times New Roman;sans-serif"/>
          <w:b w:val="false"/>
          <w:color w:val="000000"/>
          <w:sz w:val="24"/>
        </w:rPr>
      </w:pPr>
      <w:r>
        <w:rPr>
          <w:rFonts w:ascii="Times New Roman;sans-serif" w:hAnsi="Times New Roman;sans-serif"/>
          <w:b w:val="false"/>
          <w:color w:val="000000"/>
          <w:sz w:val="24"/>
        </w:rPr>
        <w:t>Agreement, with respect to itself and its obligations under this Joinder, as if each reference in such Sections to the Loan Documents included reference to this Joinder.</w:t>
      </w:r>
    </w:p>
    <w:p>
      <w:pPr>
        <w:pStyle w:val="TextBody"/>
        <w:bidi w:val="0"/>
        <w:spacing w:before="2"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[SIGNATURE PAGES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603250"/>
                <wp:effectExtent l="0" t="0" r="0" b="0"/>
                <wp:wrapNone/>
                <wp:docPr id="208" name="Frame202"/>
                <a:graphic xmlns:a="http://schemas.openxmlformats.org/drawingml/2006/main">
                  <a:graphicData uri="http://schemas.microsoft.com/office/word/2010/wordprocessingShape">
                    <wps:wsp>
                      <wps:cNvSpPr txBox="1"/>
                      <wps:spPr>
                        <a:xfrm>
                          <a:off x="0" y="0"/>
                          <a:ext cx="6480175" cy="603250"/>
                        </a:xfrm>
                        <a:prstGeom prst="rect"/>
                        <a:solidFill>
                          <a:srgbClr val="FFFFFF"/>
                        </a:solidFill>
                      </wps:spPr>
                      <wps:txbx>
                        <w:txbxContent>
                          <w:tbl>
                            <w:tblPr>
                              <w:tblW w:w="1290" w:type="dxa"/>
                              <w:jc w:val="left"/>
                              <w:tblInd w:w="0" w:type="dxa"/>
                              <w:tblLayout w:type="fixed"/>
                              <w:tblCellMar>
                                <w:top w:w="28" w:type="dxa"/>
                                <w:left w:w="28" w:type="dxa"/>
                                <w:bottom w:w="28" w:type="dxa"/>
                                <w:right w:w="28" w:type="dxa"/>
                              </w:tblCellMar>
                            </w:tblPr>
                            <w:tblGrid>
                              <w:gridCol w:w="413"/>
                              <w:gridCol w:w="363"/>
                              <w:gridCol w:w="514"/>
                            </w:tblGrid>
                            <w:tr>
                              <w:trPr/>
                              <w:tc>
                                <w:tcPr>
                                  <w:tcW w:w="413" w:type="dxa"/>
                                  <w:tcBorders/>
                                  <w:vAlign w:val="center"/>
                                </w:tcPr>
                                <w:p>
                                  <w:pPr>
                                    <w:pStyle w:val="TableContents"/>
                                    <w:bidi w:val="0"/>
                                    <w:spacing w:before="0" w:after="283"/>
                                    <w:jc w:val="left"/>
                                    <w:rPr>
                                      <w:sz w:val="4"/>
                                      <w:szCs w:val="4"/>
                                    </w:rPr>
                                  </w:pPr>
                                  <w:r>
                                    <w:rPr>
                                      <w:sz w:val="4"/>
                                      <w:szCs w:val="4"/>
                                    </w:rPr>
                                  </w:r>
                                  <w:r>
                                    <w:br w:type="page"/>
                                  </w:r>
                                </w:p>
                              </w:tc>
                              <w:tc>
                                <w:tcPr>
                                  <w:tcW w:w="36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7.5pt;mso-wrap-distance-left:0pt;mso-wrap-distance-right:0pt;mso-wrap-distance-top:0pt;mso-wrap-distance-bottom:0pt;margin-top:0pt;mso-position-vertical:top;mso-position-vertical-relative:text;margin-left:0pt;mso-position-horizontal:left;mso-position-horizontal-relative:text">
                <v:textbox>
                  <w:txbxContent>
                    <w:tbl>
                      <w:tblPr>
                        <w:tblW w:w="1290" w:type="dxa"/>
                        <w:jc w:val="left"/>
                        <w:tblInd w:w="0" w:type="dxa"/>
                        <w:tblLayout w:type="fixed"/>
                        <w:tblCellMar>
                          <w:top w:w="28" w:type="dxa"/>
                          <w:left w:w="28" w:type="dxa"/>
                          <w:bottom w:w="28" w:type="dxa"/>
                          <w:right w:w="28" w:type="dxa"/>
                        </w:tblCellMar>
                      </w:tblPr>
                      <w:tblGrid>
                        <w:gridCol w:w="413"/>
                        <w:gridCol w:w="363"/>
                        <w:gridCol w:w="51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lineRule="auto" w:line="252"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Exhibit A-2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79" w:after="283"/>
        <w:ind w:left="0" w:right="0" w:firstLine="720"/>
        <w:jc w:val="left"/>
        <w:rPr/>
      </w:pPr>
      <w:r>
        <w:rPr>
          <w:rFonts w:ascii="Times New Roman;sans-serif" w:hAnsi="Times New Roman;sans-serif"/>
          <w:b w:val="false"/>
          <w:color w:val="000000"/>
          <w:sz w:val="24"/>
        </w:rPr>
        <w:t>I</w:t>
      </w:r>
      <w:r>
        <w:rPr>
          <w:rFonts w:ascii="Times New Roman;sans-serif" w:hAnsi="Times New Roman;sans-serif"/>
          <w:b w:val="false"/>
          <w:color w:val="000000"/>
          <w:sz w:val="19"/>
        </w:rPr>
        <w:t xml:space="preserve">N </w:t>
      </w:r>
      <w:r>
        <w:rPr>
          <w:rFonts w:ascii="Times New Roman;sans-serif" w:hAnsi="Times New Roman;sans-serif"/>
          <w:b w:val="false"/>
          <w:color w:val="000000"/>
          <w:sz w:val="24"/>
        </w:rPr>
        <w:t>W</w:t>
      </w:r>
      <w:r>
        <w:rPr>
          <w:rFonts w:ascii="Times New Roman;sans-serif" w:hAnsi="Times New Roman;sans-serif"/>
          <w:b w:val="false"/>
          <w:color w:val="000000"/>
          <w:sz w:val="19"/>
        </w:rPr>
        <w:t xml:space="preserve">ITNESS </w:t>
      </w:r>
      <w:r>
        <w:rPr>
          <w:rFonts w:ascii="Times New Roman;sans-serif" w:hAnsi="Times New Roman;sans-serif"/>
          <w:b w:val="false"/>
          <w:color w:val="000000"/>
          <w:sz w:val="24"/>
        </w:rPr>
        <w:t>W</w:t>
      </w:r>
      <w:r>
        <w:rPr>
          <w:rFonts w:ascii="Times New Roman;sans-serif" w:hAnsi="Times New Roman;sans-serif"/>
          <w:b w:val="false"/>
          <w:color w:val="000000"/>
          <w:sz w:val="19"/>
        </w:rPr>
        <w:t>HEREOF</w:t>
      </w:r>
      <w:r>
        <w:rPr>
          <w:rFonts w:ascii="Times New Roman;sans-serif" w:hAnsi="Times New Roman;sans-serif"/>
          <w:b w:val="false"/>
          <w:color w:val="000000"/>
          <w:sz w:val="24"/>
        </w:rPr>
        <w:t>, the Additional Grantor has caused this Joinder Agreement to be duly executed and delivered as of the day and year first above written.</w:t>
      </w:r>
    </w:p>
    <w:p>
      <w:pPr>
        <w:pStyle w:val="TextBody"/>
        <w:bidi w:val="0"/>
        <w:spacing w:before="0" w:after="0"/>
        <w:jc w:val="left"/>
        <w:rPr/>
      </w:pPr>
      <w:r>
        <w:rPr/>
      </w:r>
    </w:p>
    <w:p>
      <w:pPr>
        <w:pStyle w:val="TextBody"/>
        <w:bidi w:val="0"/>
        <w:spacing w:lineRule="auto" w:line="280" w:before="1" w:after="283"/>
        <w:jc w:val="left"/>
        <w:rPr>
          <w:rFonts w:ascii="Times New Roman;sans-serif" w:hAnsi="Times New Roman;sans-serif"/>
          <w:b w:val="false"/>
          <w:color w:val="000000"/>
          <w:sz w:val="24"/>
        </w:rPr>
      </w:pPr>
      <w:r>
        <w:rPr>
          <w:rFonts w:ascii="Times New Roman;sans-serif" w:hAnsi="Times New Roman;sans-serif"/>
          <w:b w:val="false"/>
          <w:color w:val="000000"/>
          <w:sz w:val="24"/>
        </w:rPr>
        <w:t>[INSERT NAME OF ADDITIONAL GRANTOR],</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as Grantor</w:t>
      </w:r>
    </w:p>
    <w:p>
      <w:pPr>
        <w:pStyle w:val="TextBody"/>
        <w:bidi w:val="0"/>
        <w:spacing w:before="0" w:after="0"/>
        <w:jc w:val="left"/>
        <w:rPr/>
      </w:pPr>
      <w:r>
        <w:rPr/>
      </w:r>
    </w:p>
    <w:p>
      <w:pPr>
        <w:pStyle w:val="TextBody"/>
        <w:bidi w:val="0"/>
        <w:spacing w:before="4" w:after="283"/>
        <w:jc w:val="left"/>
        <w:rPr/>
      </w:pPr>
      <w:r>
        <w:rPr/>
      </w:r>
    </w:p>
    <w:p>
      <w:pPr>
        <w:pStyle w:val="TextBody"/>
        <w:bidi w:val="0"/>
        <w:spacing w:lineRule="auto" w:line="276" w:before="0" w:after="0"/>
        <w:jc w:val="left"/>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40" w:before="4"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9" w:after="283"/>
        <w:jc w:val="left"/>
        <w:rPr/>
      </w:pPr>
      <w:r>
        <w:rPr/>
      </w:r>
    </w:p>
    <w:p>
      <w:pPr>
        <w:pStyle w:val="TextBody"/>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Perceptive Credit Holdings IV, LP,</w:t>
      </w:r>
    </w:p>
    <w:p>
      <w:pPr>
        <w:pStyle w:val="TextBody"/>
        <w:bidi w:val="0"/>
        <w:spacing w:lineRule="auto" w:line="240" w:before="2" w:after="283"/>
        <w:jc w:val="left"/>
        <w:rPr>
          <w:rFonts w:ascii="Times New Roman;sans-serif" w:hAnsi="Times New Roman;sans-serif"/>
          <w:b w:val="false"/>
          <w:color w:val="000000"/>
          <w:sz w:val="24"/>
        </w:rPr>
      </w:pPr>
      <w:r>
        <w:rPr>
          <w:rFonts w:ascii="Times New Roman;sans-serif" w:hAnsi="Times New Roman;sans-serif"/>
          <w:b w:val="false"/>
          <w:color w:val="000000"/>
          <w:sz w:val="24"/>
        </w:rPr>
        <w:t>as Administrative Agent</w:t>
      </w:r>
    </w:p>
    <w:p>
      <w:pPr>
        <w:pStyle w:val="TextBody"/>
        <w:bidi w:val="0"/>
        <w:spacing w:before="9" w:after="283"/>
        <w:jc w:val="left"/>
        <w:rPr/>
      </w:pPr>
      <w:r>
        <w:rPr/>
      </w:r>
    </w:p>
    <w:p>
      <w:pPr>
        <w:pStyle w:val="TextBody"/>
        <w:bidi w:val="0"/>
        <w:spacing w:lineRule="auto" w:line="276"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By: Perceptive Credit Opportunities GP, LLC, its general partner</w:t>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80" w:before="0" w:after="0"/>
        <w:jc w:val="left"/>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71"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0" w:after="0"/>
        <w:jc w:val="left"/>
        <w:rPr/>
      </w:pPr>
      <w:r>
        <w:rPr/>
      </w:r>
    </w:p>
    <w:p>
      <w:pPr>
        <w:pStyle w:val="TextBody"/>
        <w:bidi w:val="0"/>
        <w:spacing w:before="5" w:after="283"/>
        <w:jc w:val="left"/>
        <w:rPr/>
      </w:pPr>
      <w:r>
        <w:rPr/>
      </w:r>
    </w:p>
    <w:p>
      <w:pPr>
        <w:pStyle w:val="TextBody"/>
        <w:bidi w:val="0"/>
        <w:spacing w:lineRule="auto" w:line="276" w:before="0" w:after="0"/>
        <w:jc w:val="left"/>
        <w:rPr/>
      </w:pPr>
      <w:r>
        <w:rPr>
          <w:rFonts w:ascii="Times New Roman;sans-serif" w:hAnsi="Times New Roman;sans-serif"/>
          <w:b w:val="false"/>
          <w:color w:val="000000"/>
          <w:sz w:val="24"/>
        </w:rPr>
        <w:t>By:</w:t>
      </w:r>
      <w:r>
        <w:rPr>
          <w:color w:val="000000"/>
          <w:u w:val="single"/>
        </w:rPr>
        <w:t>    </w:t>
      </w:r>
      <w:r>
        <w:rPr>
          <w:color w:val="000000"/>
        </w:rPr>
        <w:t xml:space="preserve"> </w:t>
      </w:r>
      <w:r>
        <w:rPr>
          <w:rFonts w:ascii="Times New Roman;sans-serif" w:hAnsi="Times New Roman;sans-serif"/>
          <w:b w:val="false"/>
          <w:color w:val="000000"/>
          <w:sz w:val="24"/>
        </w:rPr>
        <w:t>Name:</w:t>
      </w:r>
    </w:p>
    <w:p>
      <w:pPr>
        <w:pStyle w:val="TextBody"/>
        <w:bidi w:val="0"/>
        <w:spacing w:lineRule="auto" w:line="240" w:before="3" w:after="283"/>
        <w:jc w:val="left"/>
        <w:rPr>
          <w:rFonts w:ascii="Times New Roman;sans-serif" w:hAnsi="Times New Roman;sans-serif"/>
          <w:b w:val="false"/>
          <w:color w:val="000000"/>
          <w:sz w:val="24"/>
        </w:rPr>
      </w:pPr>
      <w:r>
        <w:rPr>
          <w:rFonts w:ascii="Times New Roman;sans-serif" w:hAnsi="Times New Roman;sans-serif"/>
          <w:b w:val="false"/>
          <w:color w:val="000000"/>
          <w:sz w:val="24"/>
        </w:rPr>
        <w:t>Title:</w:t>
      </w:r>
    </w:p>
    <w:p>
      <w:pPr>
        <w:pStyle w:val="TextBody"/>
        <w:bidi w:val="0"/>
        <w:spacing w:before="1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09"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GeneDx Reports Third Quarter 2023 Financial Results and Business Highlights</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Reported total revenue of $53M with more than 40% year-over-year growth of exome and genome test revenue</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Expanded gross margins to 48% in continuing operations and delivered 52% year-over-year cash burn reduction </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Strengthened balance sheet with $75M debt facility from Perceptive Advisors and initiated a $40M annual cost savings plan</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Updated guidance to deliver $187-$192M in FY 2023 revenue and reiterate path to profitability in 2025</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GeneDx to host conference call today at 4:30 p.m. ET</w:t>
      </w:r>
    </w:p>
    <w:p>
      <w:pPr>
        <w:pStyle w:val="TextBody"/>
        <w:bidi w:val="0"/>
        <w:spacing w:lineRule="auto" w:line="288" w:before="0" w:after="200"/>
        <w:jc w:val="both"/>
        <w:rPr/>
      </w:pPr>
      <w:r>
        <w:rPr>
          <w:rFonts w:ascii="Times New Roman;sans-serif" w:hAnsi="Times New Roman;sans-serif"/>
          <w:b/>
          <w:color w:val="000000"/>
          <w:sz w:val="20"/>
        </w:rPr>
        <w:t xml:space="preserve">STAMFORD, Conn., October 30, 2023 — </w:t>
      </w:r>
      <w:r>
        <w:rPr>
          <w:rFonts w:ascii="Times New Roman;sans-serif" w:hAnsi="Times New Roman;sans-serif"/>
          <w:b w:val="false"/>
          <w:color w:val="000000"/>
          <w:sz w:val="20"/>
        </w:rPr>
        <w:t>GeneDx Holdings Corp. (Nasdaq: WGS), a leader in delivering improved health outcomes through genomic and clinical insights, today reported its financial results for the third quarter of 2023.</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focused our entire company’s efforts on driving exome and genome utilization and improving our overall operating efficiency, and the positive results from this quarter demonstrate that we have both a strong growth trajectory with a significant improvement in our cash management,” said Katherine Stueland, President and Chief Executive Officer of GeneDx. “Thanks to our partners at Perceptive, we have fortified our balance sheet, and with the action we have taken to remove an additional $40M in annual costs, we reiterate our turn to profitability in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Continuing Operations</w:t>
      </w:r>
      <w:r>
        <w:rPr>
          <w:rFonts w:ascii="Times New Roman;sans-serif" w:hAnsi="Times New Roman;sans-serif"/>
          <w:b/>
          <w:color w:val="000000"/>
          <w:sz w:val="13"/>
        </w:rPr>
        <w:t>1</w:t>
      </w:r>
      <w:r>
        <w:rPr>
          <w:color w:val="000000"/>
        </w:rPr>
        <w:t xml:space="preserve"> </w:t>
      </w:r>
      <w:r>
        <w:rPr>
          <w:rFonts w:ascii="Times New Roman;sans-serif" w:hAnsi="Times New Roman;sans-serif"/>
          <w:b/>
          <w:color w:val="000000"/>
          <w:sz w:val="20"/>
        </w:rPr>
        <w:t>Third Quarter Financial Results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Results for GeneDx’s continuing operations reported today exclude the results of the discontinued Legacy Sema4 diagnostics testing business.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Revenue:</w:t>
      </w:r>
      <w:r>
        <w:rPr>
          <w:color w:val="000000"/>
        </w:rPr>
        <w:t xml:space="preserve"> </w:t>
      </w:r>
      <w:r>
        <w:rPr>
          <w:rFonts w:ascii="Times New Roman;sans-serif" w:hAnsi="Times New Roman;sans-serif"/>
          <w:b w:val="false"/>
          <w:color w:val="000000"/>
          <w:sz w:val="20"/>
        </w:rPr>
        <w:t>Revenue from continuing operations for the third quarter of 2023 was $50.4 million, compared to $47.2 million in the third quarter of 2022. Adjusting for a one-time favorable appeal benefit in the third quarter of 2022, revenues from continuing operations for the third quarter of 2023 increased 14% year-over-year. Revenues from whole exome and genome tests were $34 million compared to $24 million in the third quarter of 2022, representing an increase of 42% year-over-year, and an increase of 18% quarter-over-quarter. Adjusting for the same one-time favorable appeal benefit in the third quarter of 2022, revenues from whole exome and genome tests increased 61% year-over-year.</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Test Volume:</w:t>
      </w:r>
      <w:r>
        <w:rPr>
          <w:color w:val="000000"/>
        </w:rPr>
        <w:t xml:space="preserve"> </w:t>
      </w:r>
      <w:r>
        <w:rPr>
          <w:rFonts w:ascii="Times New Roman;sans-serif" w:hAnsi="Times New Roman;sans-serif"/>
          <w:b w:val="false"/>
          <w:color w:val="000000"/>
          <w:sz w:val="20"/>
        </w:rPr>
        <w:t>Total tests resulted in the third quarter of 2023 were nearly 58,000, compared to nearly 45,000 for the third quarter of 2022. Total whole exome and whole genome tests resulted were 13,216, an increase of 71% year-over-year, and an increase of 11% quarter-over-quarter.</w:t>
      </w:r>
    </w:p>
    <w:p>
      <w:pPr>
        <w:pStyle w:val="TextBody"/>
        <w:bidi w:val="0"/>
        <w:spacing w:lineRule="auto" w:line="288" w:before="0" w:after="200"/>
        <w:ind w:left="0" w:right="0" w:hanging="360"/>
        <w:jc w:val="both"/>
        <w:rPr/>
      </w:pPr>
      <w:r>
        <w:rPr>
          <w:color w:val="000000"/>
        </w:rPr>
        <w:t>•</w:t>
      </w:r>
      <w:r>
        <w:rPr>
          <w:rFonts w:ascii="Times New Roman;sans-serif" w:hAnsi="Times New Roman;sans-serif"/>
          <w:b/>
          <w:color w:val="000000"/>
          <w:sz w:val="20"/>
        </w:rPr>
        <w:t>Gross Margin:</w:t>
      </w:r>
      <w:r>
        <w:rPr>
          <w:color w:val="000000"/>
        </w:rPr>
        <w:t xml:space="preserve"> </w:t>
      </w:r>
      <w:r>
        <w:rPr>
          <w:rFonts w:ascii="Times New Roman;sans-serif" w:hAnsi="Times New Roman;sans-serif"/>
          <w:b w:val="false"/>
          <w:color w:val="000000"/>
          <w:sz w:val="20"/>
        </w:rPr>
        <w:t>Adjusted gross margin from continuing operations expanded to 48% in the third quarter of 2023, up sequentially from 37% in the second quarter of 2023. Adjusted gross margins for the whole exome sequencing continue to operate in excess of 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pPr>
      <w:r>
        <w:rPr>
          <w:rFonts w:ascii="Times New Roman;sans-serif" w:hAnsi="Times New Roman;sans-serif"/>
          <w:b/>
          <w:color w:val="000000"/>
          <w:sz w:val="20"/>
        </w:rPr>
        <w:t>Total Company Third Quarter Financial Results</w:t>
      </w:r>
      <w:r>
        <w:rPr>
          <w:rFonts w:ascii="Times New Roman;sans-serif" w:hAnsi="Times New Roman;sans-serif"/>
          <w:b/>
          <w:color w:val="000000"/>
          <w:sz w:val="13"/>
        </w:rPr>
        <w:t>1</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Total Company results reported today for the third quarter of 2023 include GeneDx’s continuing operations and the financial impacts of exited Legacy Sema4 business activities.</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Cash Position:</w:t>
      </w:r>
      <w:r>
        <w:rPr>
          <w:color w:val="000000"/>
        </w:rPr>
        <w:t xml:space="preserve"> </w:t>
      </w:r>
      <w:r>
        <w:rPr>
          <w:rFonts w:ascii="Times New Roman;sans-serif" w:hAnsi="Times New Roman;sans-serif"/>
          <w:b w:val="false"/>
          <w:color w:val="000000"/>
          <w:sz w:val="20"/>
        </w:rPr>
        <w:t xml:space="preserve">Cash, cash equivalents, marketable securities and restricted cash were $115 million as of September 30, 2023. Total Company use of cash for the third quarter of 2023 was $42 million, an improvement of 51% year-over-year and 21% sequentially. The use of cash in the third quarter included final payments of approximately $15 million to discharge legacy Sema4 operating payables in July and $2 million of severance payments. Excluding these items, representative continuing operations cash burn was $25 million in the third quarter of 2023. </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Net Loss</w:t>
      </w:r>
      <w:r>
        <w:rPr>
          <w:rFonts w:ascii="Times New Roman;sans-serif" w:hAnsi="Times New Roman;sans-serif"/>
          <w:b/>
          <w:color w:val="000000"/>
          <w:sz w:val="13"/>
        </w:rPr>
        <w:t>1</w:t>
      </w:r>
      <w:r>
        <w:rPr>
          <w:rFonts w:ascii="Times New Roman;sans-serif" w:hAnsi="Times New Roman;sans-serif"/>
          <w:b/>
          <w:color w:val="000000"/>
          <w:sz w:val="20"/>
        </w:rPr>
        <w:t xml:space="preserve">: </w:t>
      </w:r>
      <w:r>
        <w:rPr>
          <w:rFonts w:ascii="Times New Roman;sans-serif" w:hAnsi="Times New Roman;sans-serif"/>
          <w:b w:val="false"/>
          <w:color w:val="000000"/>
          <w:sz w:val="20"/>
        </w:rPr>
        <w:t>Total Company net loss for the third quarter of 2023 narrowed to $42.3 million. Total Company adjusted net loss for the third quarter of 2023 narrowed to $21.2 million</w:t>
      </w:r>
      <w:r>
        <w:rPr>
          <w:rFonts w:ascii="Times New Roman;sans-serif" w:hAnsi="Times New Roman;sans-serif"/>
          <w:b w:val="false"/>
          <w:color w:val="000000"/>
          <w:sz w:val="13"/>
        </w:rPr>
        <w:t>2</w:t>
      </w:r>
      <w:r>
        <w:rPr>
          <w:rFonts w:ascii="Times New Roman;sans-serif" w:hAnsi="Times New Roman;sans-serif"/>
          <w:b w:val="false"/>
          <w:color w:val="000000"/>
          <w:sz w:val="20"/>
        </w:rPr>
        <w:t>, an improvement of 70% year-over-year and 45% sequentially.</w:t>
      </w:r>
    </w:p>
    <w:p>
      <w:pPr>
        <w:pStyle w:val="TextBody"/>
        <w:bidi w:val="0"/>
        <w:spacing w:lineRule="auto" w:line="288" w:before="0" w:after="0"/>
        <w:ind w:left="0" w:right="0" w:hanging="360"/>
        <w:jc w:val="both"/>
        <w:rPr/>
      </w:pPr>
      <w:r>
        <w:rPr>
          <w:color w:val="000000"/>
        </w:rPr>
        <w:t>•</w:t>
      </w:r>
      <w:r>
        <w:rPr>
          <w:rFonts w:ascii="Times New Roman;sans-serif" w:hAnsi="Times New Roman;sans-serif"/>
          <w:b/>
          <w:color w:val="000000"/>
          <w:sz w:val="20"/>
        </w:rPr>
        <w:t>Revenue</w:t>
      </w:r>
      <w:r>
        <w:rPr>
          <w:rFonts w:ascii="Times New Roman;sans-serif" w:hAnsi="Times New Roman;sans-serif"/>
          <w:b/>
          <w:color w:val="000000"/>
          <w:sz w:val="13"/>
        </w:rPr>
        <w:t>1</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Revenue for the third quarter of 2023 was $53.3 million, compared to $83.2 million in the third quarter of 2022.</w:t>
      </w:r>
    </w:p>
    <w:p>
      <w:pPr>
        <w:pStyle w:val="TextBody"/>
        <w:bidi w:val="0"/>
        <w:spacing w:lineRule="auto" w:line="288" w:before="0" w:after="200"/>
        <w:ind w:left="0" w:right="0" w:hanging="360"/>
        <w:jc w:val="both"/>
        <w:rPr/>
      </w:pPr>
      <w:r>
        <w:rPr>
          <w:color w:val="000000"/>
        </w:rPr>
        <w:t>•</w:t>
      </w:r>
      <w:r>
        <w:rPr>
          <w:rFonts w:ascii="Times New Roman;sans-serif" w:hAnsi="Times New Roman;sans-serif"/>
          <w:b/>
          <w:color w:val="000000"/>
          <w:sz w:val="20"/>
        </w:rPr>
        <w:t>Gross Margin</w:t>
      </w:r>
      <w:r>
        <w:rPr>
          <w:rFonts w:ascii="Times New Roman;sans-serif" w:hAnsi="Times New Roman;sans-serif"/>
          <w:b/>
          <w:color w:val="000000"/>
          <w:sz w:val="13"/>
        </w:rPr>
        <w:t>1</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Gross margin for the third quarter of 2023 was 47%. Adjusted gross margin for the third quarter of 2023 was 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10"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Updated GeneDx Full Year 2023 Guidance</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GeneDx has updated its full year 2023 guidance. The continuing operations of GeneDx, excluding the financial impacts from the discontinued Legacy Sema4 diagnostic testing business, are expected to:</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Drive full year 2023 revenues of $187-$192 million (updated from previous guidance of $205-$220 million);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Expand gross margin profile in 2023 and beyond (unchanged);</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Use $75 to $79 million of net cash for the second half of 2023 (updated from previous guidance of $75-$85 million), inclusive of servicing obligations of the exited business activities (unchanged);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Turn profitable in 2025 (unchanged)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Recent Business Highlights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Commercial Updates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Appointed Melanie Duquette as Chief Growth Officer to drive commercial excellence.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Surpassed the milestone of more than 500,000 clinical exomes sequenced by GeneDx. Approximately two thirds of all GeneDx exome cases since inception have been parent-child-trios. With each case we enhance the robustness of our proprietary dataset in order to enable more definitive diagnoses for more patients.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Continued to expand data solution partnerships by signing three recent agreements with companies focused on developing targeted therapies for patients with rare diseases. </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&amp; Corporate Growth</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October 27, 2023, entered into a new, five-year senior secured credit facility with Perceptive Advisors. The agreement provides access of up to $75 million, consisting of an initial tranche of $50 million, subject to closing conditions, and, a subsequent tranche for an additional $25 million, subject to certain timelines and other defined criteria.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Interest is payable in cash on the outstanding principal amount at a rate per annum equal to the sum of the applicable secured overnight financing rate (SOFR), plus 7.5%.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Under the terms of the agreement, Perceptive will be issued warrants to purchase 800,000 Class A shares of the Company’s stock on the Closing Date, with an exercise price equal to the 10-day VWAP immediately preceding the Closing Date; which is $3.17. Upon borrowing of the subsequent tranche, Perceptive will be issued warrants to purchase an additional 400,000 Class A shares. GeneDx intends to use the proceeds primarily for general corporate purposes, including additions to working capital and strategic commercial investment opportunities.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On October 30, 2023, enacted a plan remove approximately $40 million in annual operating expense, including but not limited to, a work force reduction of approximately 10%.</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Scientific Updates</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Contributed to 20 posters to be presented at the upcoming American Society of Human Genetics (ASHG) Annual Meeting 2023 taking place in Washington, D.C. from November 1 through 5, 2023. The presentations highlight GeneDx’s capabilities in genetic analysis to generate clinical insights that can lead to improved and faster diagnoses and improved outcomes for patients.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0"/>
        </w:rPr>
        <w:t xml:space="preserve">Announced that </w:t>
      </w:r>
      <w:r>
        <w:rPr>
          <w:rFonts w:ascii="Times New Roman;sans-serif" w:hAnsi="Times New Roman;sans-serif"/>
          <w:b w:val="false"/>
          <w:i/>
          <w:color w:val="000000"/>
          <w:sz w:val="20"/>
        </w:rPr>
        <w:t xml:space="preserve">Genetics in Medicine </w:t>
      </w:r>
      <w:r>
        <w:rPr>
          <w:rFonts w:ascii="Times New Roman;sans-serif" w:hAnsi="Times New Roman;sans-serif"/>
          <w:b w:val="false"/>
          <w:color w:val="000000"/>
          <w:sz w:val="20"/>
        </w:rPr>
        <w:t>has published a peer-reviewed research analysis resulting from a multi-lab collaboration involving GeneDx. The study, “The landscape of reported VUS in multi-gene panel and genomic testing: Time for a change,” evaluated the rate of inconclusive genetic variants, or variants of uncertain significance (VUS). Study findings concluded that VUS are reported more frequently on multi-gene panels (32.6%) than exome and genome sequencing (22.5%).</w:t>
      </w:r>
    </w:p>
    <w:p>
      <w:pPr>
        <w:pStyle w:val="TextBody"/>
        <w:bidi w:val="0"/>
        <w:spacing w:lineRule="auto" w:line="288" w:before="0" w:after="120"/>
        <w:jc w:val="both"/>
        <w:rPr/>
      </w:pPr>
      <w:r>
        <w:rPr>
          <w:rFonts w:ascii="Times New Roman;sans-serif" w:hAnsi="Times New Roman;sans-serif"/>
          <w:b/>
          <w:color w:val="000000"/>
          <w:sz w:val="10"/>
        </w:rPr>
        <w:t>1</w:t>
      </w:r>
      <w:r>
        <w:rPr>
          <w:color w:val="000000"/>
        </w:rPr>
        <w:t xml:space="preserve"> </w:t>
      </w:r>
      <w:r>
        <w:rPr>
          <w:rFonts w:ascii="Times New Roman;sans-serif" w:hAnsi="Times New Roman;sans-serif"/>
          <w:b w:val="false"/>
          <w:color w:val="000000"/>
          <w:sz w:val="16"/>
        </w:rPr>
        <w:t>The unadjusted and adjusted results from continuing operations for the applicable quarters include the combination of results from the Legacy GeneDx diagnostic business with the data and information business of Legacy Sema4, and exclude the results of the discontinued Legacy Sema4 diagnostic testing business. Actual results include GeneDx’s continuing operations and the financial impacts of exited Legacy Sema4 business activities.</w:t>
      </w:r>
    </w:p>
    <w:p>
      <w:pPr>
        <w:pStyle w:val="TextBody"/>
        <w:bidi w:val="0"/>
        <w:spacing w:lineRule="auto" w:line="288" w:before="0" w:after="200"/>
        <w:jc w:val="both"/>
        <w:rPr/>
      </w:pPr>
      <w:r>
        <w:rPr>
          <w:rFonts w:ascii="Times New Roman;sans-serif" w:hAnsi="Times New Roman;sans-serif"/>
          <w:b/>
          <w:color w:val="000000"/>
          <w:sz w:val="10"/>
        </w:rPr>
        <w:t>2</w:t>
      </w:r>
      <w:r>
        <w:rPr>
          <w:color w:val="000000"/>
        </w:rPr>
        <w:t xml:space="preserve"> </w:t>
      </w:r>
      <w:r>
        <w:rPr>
          <w:rFonts w:ascii="Times New Roman;sans-serif" w:hAnsi="Times New Roman;sans-serif"/>
          <w:b w:val="false"/>
          <w:color w:val="000000"/>
          <w:sz w:val="16"/>
        </w:rPr>
        <w:t>Adjusted gross margin and adjusted net loss are non-GAAP financial measures. See appendix for a reconciliation of GAAP to Non-GAAP figures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11"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Webcast and Conference Call Details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GeneDx will host a conference call today, October 30, 2023, at 4:30 p.m. Eastern Time. Investors interested in listening to the conference call are required to register online. A live and archived webcast of the event will be available on the “Events” section of the GeneDx investor relations website at https://ir.genedx.com/.</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This press release contains certain forward-looking statements within the meaning of the federal securities laws, including statements regarding our future performance and our market opportunity, including our expected full year 2023 reported revenue guidance, our expectations regarding our gross margin profile in 2023 and beyond, our use of cash and our cash burn in 2023 and our turning profitable in 2025, our expectations for our growth and future investment in our business, our expectations regarding our plans to pursue new strategic direction, improve our operational efficiency and reduce our cash burn and our ability to scale to profitability, the associated cost savings of our business exits and impact on our gross margins.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our ability to implement business plans, goals and forecasts, and identify and realize additional opportunities, (ii) the risk of downturns and a changing regulatory landscape in the highly competitive healthcare industry, (iii) the size and growth of the market in which we operate, (iv) our ability to pursue our new strategic direction, and (vi) our ability to enhance our artificial intelligence tools that we use in our clinical interpretation platform. The foregoing list of factors is not exhaustive. You should carefully consider the foregoing factors and the other risks and uncertainties described in the “Risk Factors” section of our Annual Report on Form 10-K for the fiscal year ended December 31, 2022, filed with the U.S. Securities and Exchange Commission (the “SEC”) on March 16, 2023,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About GeneDx</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GeneDx (Nasdaq: WGS) delivers personalized and actionable health insights to inform diagnosis, direct treatment and improve drug discovery. The company is uniquely positioned to accelerate the use of genomic and large-scale clinical information to enable precision medicine as the standard of care. GeneDx is at the forefront of transforming healthcare through its industry-leading exome and genome testing and interpretation, fueled by one of the world’s largest rare disease data sets. For more information, please visit genedx.com and connect with us on LinkedIn, Facebook, Twitter and Instagram.</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Investor Relations Contact: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Investors@GeneDx.com</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Media Contact:</w: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Press@GeneDx.com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2"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Volume and revenue from Continuing Operations in the table below include the combination of the Legacy GeneDx diagnostic business with the data and information business of Legacy Sema4. These select metrics are presented for illustrative purposes only and are not necessarily indicative of results that may occur in the future.</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Volume &amp; Revenue from Continuing Operations</w:t>
      </w:r>
    </w:p>
    <w:tbl>
      <w:tblPr>
        <w:tblW w:w="10205" w:type="dxa"/>
        <w:jc w:val="left"/>
        <w:tblInd w:w="0" w:type="dxa"/>
        <w:tblLayout w:type="fixed"/>
        <w:tblCellMar>
          <w:top w:w="28" w:type="dxa"/>
          <w:left w:w="28" w:type="dxa"/>
          <w:bottom w:w="28" w:type="dxa"/>
          <w:right w:w="28" w:type="dxa"/>
        </w:tblCellMar>
      </w:tblPr>
      <w:tblGrid>
        <w:gridCol w:w="1704"/>
        <w:gridCol w:w="1490"/>
        <w:gridCol w:w="1501"/>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1704"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1Q23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4Q22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3Q22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Volumes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Exome based Panels</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2,983</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individual gene tests and multi-gene disease panels</w:t>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28,764</w:t>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44,914</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 ($ millions)</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Whole Exome, Whole Genome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Exome based Panels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Hereditary Cancer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individual gene tests and multi-gene disease panels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 information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Unaudited select financial information is calculated based on the combination of the Legacy GeneDx diagnostic business with the data and information business of Legacy Sema4. This unaudited financial information is presented for illustrative purposes only and is not necessarily indicative of results that may occur in the future.</w:t>
      </w:r>
    </w:p>
    <w:tbl>
      <w:tblPr>
        <w:tblW w:w="10205" w:type="dxa"/>
        <w:jc w:val="left"/>
        <w:tblInd w:w="0" w:type="dxa"/>
        <w:tblLayout w:type="fixed"/>
        <w:tblCellMar>
          <w:top w:w="28" w:type="dxa"/>
          <w:left w:w="28" w:type="dxa"/>
          <w:bottom w:w="28" w:type="dxa"/>
          <w:right w:w="28" w:type="dxa"/>
        </w:tblCellMar>
      </w:tblPr>
      <w:tblGrid>
        <w:gridCol w:w="342"/>
        <w:gridCol w:w="301"/>
        <w:gridCol w:w="304"/>
        <w:gridCol w:w="225"/>
        <w:gridCol w:w="769"/>
        <w:gridCol w:w="289"/>
        <w:gridCol w:w="109"/>
        <w:gridCol w:w="109"/>
        <w:gridCol w:w="109"/>
        <w:gridCol w:w="235"/>
        <w:gridCol w:w="687"/>
        <w:gridCol w:w="302"/>
        <w:gridCol w:w="109"/>
        <w:gridCol w:w="109"/>
        <w:gridCol w:w="109"/>
        <w:gridCol w:w="224"/>
        <w:gridCol w:w="766"/>
        <w:gridCol w:w="287"/>
        <w:gridCol w:w="109"/>
        <w:gridCol w:w="109"/>
        <w:gridCol w:w="109"/>
        <w:gridCol w:w="225"/>
        <w:gridCol w:w="769"/>
        <w:gridCol w:w="289"/>
        <w:gridCol w:w="109"/>
        <w:gridCol w:w="109"/>
        <w:gridCol w:w="109"/>
        <w:gridCol w:w="235"/>
        <w:gridCol w:w="687"/>
        <w:gridCol w:w="302"/>
        <w:gridCol w:w="109"/>
        <w:gridCol w:w="109"/>
        <w:gridCol w:w="109"/>
        <w:gridCol w:w="223"/>
        <w:gridCol w:w="764"/>
        <w:gridCol w:w="345"/>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Unaudited Select Financial Information (in thousands)</w:t>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 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Combined GeneDx and Sema4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GeneDx Continuing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Legacy Sema4 Discontinued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Combined GeneDx and Sema4</w:t>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50,350 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45,226 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Cost of Services</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26,079 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28,452 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16,774 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Gross Margin %</w:t>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13"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038" w:type="dxa"/>
        <w:jc w:val="left"/>
        <w:tblInd w:w="0" w:type="dxa"/>
        <w:tblLayout w:type="fixed"/>
        <w:tblCellMar>
          <w:top w:w="28" w:type="dxa"/>
          <w:left w:w="28" w:type="dxa"/>
          <w:bottom w:w="28" w:type="dxa"/>
          <w:right w:w="28" w:type="dxa"/>
        </w:tblCellMar>
      </w:tblPr>
      <w:tblGrid>
        <w:gridCol w:w="1180"/>
        <w:gridCol w:w="1039"/>
        <w:gridCol w:w="1050"/>
        <w:gridCol w:w="211"/>
        <w:gridCol w:w="721"/>
        <w:gridCol w:w="271"/>
        <w:gridCol w:w="109"/>
        <w:gridCol w:w="109"/>
        <w:gridCol w:w="109"/>
        <w:gridCol w:w="211"/>
        <w:gridCol w:w="826"/>
        <w:gridCol w:w="271"/>
        <w:gridCol w:w="109"/>
        <w:gridCol w:w="109"/>
        <w:gridCol w:w="109"/>
        <w:gridCol w:w="271"/>
        <w:gridCol w:w="927"/>
        <w:gridCol w:w="406"/>
      </w:tblGrid>
      <w:tr>
        <w:trPr/>
        <w:tc>
          <w:tcPr>
            <w:tcW w:w="1180"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48,706 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18,757 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profit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20,254 </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gross margin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Research &amp;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Research &amp;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18,183 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12,342 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Selling &amp;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Selling &amp; Marketing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29,402 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13,774 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37,341 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3,218 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Adjusted 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32,965 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Impairment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70,379 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(9,099)</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(1,624)</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49,379 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91,774 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60,133 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both"/>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14"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59"/>
        <w:gridCol w:w="1809"/>
        <w:gridCol w:w="1799"/>
        <w:gridCol w:w="219"/>
        <w:gridCol w:w="824"/>
        <w:gridCol w:w="113"/>
        <w:gridCol w:w="113"/>
        <w:gridCol w:w="113"/>
        <w:gridCol w:w="113"/>
        <w:gridCol w:w="219"/>
        <w:gridCol w:w="824"/>
        <w:gridCol w:w="113"/>
        <w:gridCol w:w="109"/>
        <w:gridCol w:w="109"/>
        <w:gridCol w:w="109"/>
        <w:gridCol w:w="282"/>
        <w:gridCol w:w="1063"/>
        <w:gridCol w:w="215"/>
      </w:tblGrid>
      <w:tr>
        <w:trPr/>
        <w:tc>
          <w:tcPr>
            <w:tcW w:w="2059" w:type="dxa"/>
            <w:tcBorders/>
            <w:vAlign w:val="center"/>
          </w:tcPr>
          <w:p>
            <w:pPr>
              <w:pStyle w:val="TableContents"/>
              <w:bidi w:val="0"/>
              <w:spacing w:before="0" w:after="283"/>
              <w:jc w:val="left"/>
              <w:rPr>
                <w:sz w:val="4"/>
                <w:szCs w:val="4"/>
              </w:rPr>
            </w:pPr>
            <w:r>
              <w:rPr>
                <w:sz w:val="4"/>
                <w:szCs w:val="4"/>
              </w:rPr>
            </w:r>
          </w:p>
        </w:tc>
        <w:tc>
          <w:tcPr>
            <w:tcW w:w="1809" w:type="dxa"/>
            <w:tcBorders/>
            <w:vAlign w:val="center"/>
          </w:tcPr>
          <w:p>
            <w:pPr>
              <w:pStyle w:val="TableContents"/>
              <w:bidi w:val="0"/>
              <w:spacing w:before="0" w:after="283"/>
              <w:jc w:val="left"/>
              <w:rPr>
                <w:sz w:val="4"/>
                <w:szCs w:val="4"/>
              </w:rPr>
            </w:pPr>
            <w:r>
              <w:rPr>
                <w:sz w:val="4"/>
                <w:szCs w:val="4"/>
              </w:rPr>
            </w:r>
          </w:p>
        </w:tc>
        <w:tc>
          <w:tcPr>
            <w:tcW w:w="179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2023</w:t>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(77,581)</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(46,719)</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10,332 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market value of warrant and earn-out contingent liabilities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excess and obsolete inventory associated with Legacy Sema4</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net loss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(21,153)</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(69,791)</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(38,609)</w:t>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(22,378)</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(70,046)</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(39,879)</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15"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center"/>
        <w:rPr/>
      </w:pPr>
      <w:r>
        <w:rPr/>
      </w:r>
    </w:p>
    <w:tbl>
      <w:tblPr>
        <w:tblW w:w="6631" w:type="dxa"/>
        <w:jc w:val="left"/>
        <w:tblInd w:w="0" w:type="dxa"/>
        <w:tblLayout w:type="fixed"/>
        <w:tblCellMar>
          <w:top w:w="28" w:type="dxa"/>
          <w:left w:w="28" w:type="dxa"/>
          <w:bottom w:w="28" w:type="dxa"/>
          <w:right w:w="28" w:type="dxa"/>
        </w:tblCellMar>
      </w:tblPr>
      <w:tblGrid>
        <w:gridCol w:w="1297"/>
        <w:gridCol w:w="1145"/>
        <w:gridCol w:w="1158"/>
        <w:gridCol w:w="213"/>
        <w:gridCol w:w="837"/>
        <w:gridCol w:w="109"/>
        <w:gridCol w:w="109"/>
        <w:gridCol w:w="109"/>
        <w:gridCol w:w="109"/>
        <w:gridCol w:w="230"/>
        <w:gridCol w:w="1147"/>
        <w:gridCol w:w="168"/>
      </w:tblGrid>
      <w:tr>
        <w:trPr/>
        <w:tc>
          <w:tcPr>
            <w:tcW w:w="129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42,634 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from related parties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31,682 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212,622 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Other assets</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Liabilities and Stockholders’ Equity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84,878 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portion</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60,013 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2,659 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237,237 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equity: </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1,528,671 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1,378,125 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(1,274,415)</w:t>
            </w:r>
          </w:p>
        </w:tc>
        <w:tc>
          <w:tcPr>
            <w:tcW w:w="10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(1,124,421)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490,942 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1</w:t>
      </w:r>
      <w:r>
        <w:rPr>
          <w:color w:val="000000"/>
        </w:rPr>
        <w:t xml:space="preserve"> </w:t>
      </w:r>
      <w:r>
        <w:rPr>
          <w:rFonts w:ascii="Times New Roman;sans-serif" w:hAnsi="Times New Roman;sans-serif"/>
          <w:b w:val="false"/>
          <w:color w:val="000000"/>
          <w:sz w:val="18"/>
        </w:rPr>
        <w:t>Other assets includes $900 thousand in restricted cash.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16"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amounts)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09"/>
        <w:gridCol w:w="1404"/>
        <w:gridCol w:w="1418"/>
        <w:gridCol w:w="215"/>
        <w:gridCol w:w="793"/>
        <w:gridCol w:w="111"/>
        <w:gridCol w:w="111"/>
        <w:gridCol w:w="111"/>
        <w:gridCol w:w="111"/>
        <w:gridCol w:w="215"/>
        <w:gridCol w:w="793"/>
        <w:gridCol w:w="111"/>
        <w:gridCol w:w="109"/>
        <w:gridCol w:w="109"/>
        <w:gridCol w:w="109"/>
        <w:gridCol w:w="211"/>
        <w:gridCol w:w="881"/>
        <w:gridCol w:w="109"/>
        <w:gridCol w:w="109"/>
        <w:gridCol w:w="109"/>
        <w:gridCol w:w="109"/>
        <w:gridCol w:w="211"/>
        <w:gridCol w:w="881"/>
        <w:gridCol w:w="156"/>
      </w:tblGrid>
      <w:tr>
        <w:trPr/>
        <w:tc>
          <w:tcPr>
            <w:tcW w:w="170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Diagnostic test revenue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167,989 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83,234 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173,344 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services    </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69,685 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183,768 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54,931 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(42,967)</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(90,816)</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(154,953)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(342,770)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income (expenses), net</w:t>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market value of warrant and earn-out contingent liabilities </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non-operating income, net</w:t>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(42,458)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(77,646)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(289,361)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and comprehensive loss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(77,581)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of Class A common stock</w:t>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25,788,747</w:t>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11,538,308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23,777,327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9,741,250</w:t>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4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Class A common stock</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1"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17"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GeneDx Holdings Corp.</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left"/>
        <w:rPr/>
      </w:pPr>
      <w:r>
        <w:rPr/>
      </w:r>
    </w:p>
    <w:tbl>
      <w:tblPr>
        <w:tblW w:w="8843" w:type="dxa"/>
        <w:jc w:val="left"/>
        <w:tblInd w:w="0" w:type="dxa"/>
        <w:tblLayout w:type="fixed"/>
        <w:tblCellMar>
          <w:top w:w="28" w:type="dxa"/>
          <w:left w:w="28" w:type="dxa"/>
          <w:bottom w:w="28" w:type="dxa"/>
          <w:right w:w="28" w:type="dxa"/>
        </w:tblCellMar>
      </w:tblPr>
      <w:tblGrid>
        <w:gridCol w:w="2184"/>
        <w:gridCol w:w="1916"/>
        <w:gridCol w:w="1929"/>
        <w:gridCol w:w="211"/>
        <w:gridCol w:w="901"/>
        <w:gridCol w:w="109"/>
        <w:gridCol w:w="109"/>
        <w:gridCol w:w="109"/>
        <w:gridCol w:w="109"/>
        <w:gridCol w:w="211"/>
        <w:gridCol w:w="901"/>
        <w:gridCol w:w="154"/>
      </w:tblGrid>
      <w:tr>
        <w:trPr/>
        <w:tc>
          <w:tcPr>
            <w:tcW w:w="2184"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used in operating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loss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Gain on debt forgiveness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Change in fair value of warrant and earn-out contingent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Deferred tax benefit</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left"/>
              <w:rPr>
                <w:rFonts w:ascii="Times New Roman;sans-serif" w:hAnsi="Times New Roman;sans-serif"/>
                <w:b w:val="false"/>
                <w:color w:val="2B2A29"/>
                <w:sz w:val="20"/>
              </w:rPr>
            </w:pPr>
            <w:r>
              <w:rPr>
                <w:rFonts w:ascii="Times New Roman;sans-serif" w:hAnsi="Times New Roman;sans-serif"/>
                <w:b w:val="false"/>
                <w:color w:val="2B2A29"/>
                <w:sz w:val="20"/>
              </w:rPr>
              <w:t>Provision for excess and obsolete 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 party payor reserve release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debt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Inventory</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liabilities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(254,501)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on escrow paid for GeneDx acquisition</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assets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marketable securities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internal-use software assets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(138,488)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PIPE issuance, net of issuance costs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offerings, net of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payoff and principal payments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 payments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stock options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197,250 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increase (decrease) in cash, cash equivalents and restricted cash </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beginning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Cash, cash equivalents and restricted cash, at end of period</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Cash, cash equivalents and restricted cash at September 30, 2023 excludes marketable securities of $26.9 million.</w:t>
      </w:r>
    </w:p>
    <w:p>
      <w:pPr>
        <w:pStyle w:val="TextBody"/>
        <w:bidi w:val="0"/>
        <w:spacing w:before="0" w:after="0"/>
        <w:jc w:val="center"/>
        <w:rPr/>
      </w:pPr>
      <w:bookmarkStart w:id="0" w:name="wgsq32023earningsslidesf.htm"/>
      <w:bookmarkStart w:id="1" w:name="kswgsq32023earningsslidesf"/>
      <w:bookmarkEnd w:id="0"/>
      <w:bookmarkEnd w:id="1"/>
      <w:r>
        <w:rPr/>
        <w:drawing>
          <wp:inline distT="0" distB="0" distL="0" distR="0">
            <wp:extent cx="9753600" cy="5486400"/>
            <wp:effectExtent l="0" t="0" r="0" b="0"/>
            <wp:docPr id="2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19"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1 Confidential and Proprietary; Do Not Distribute October 30, 2023 GeneDx NASDAQ: WGS One Test: Miss Less. Discover More.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Disclaimer This presentation contains forward-looking statements under the meaning of the Private Securities Litigation Reform Act of 1995. Forward-looking statements are statements that do not relate to historical facts and events and such statements and opinions pertaining to the future that, for example, contain wording such as “may,” “might,” “will,” “could,” “would,” “should,” “expect,” “intend,” “plan,” “objective,” “anticipate,” “believe,” “estimate,” “predict,” “potential,” “continue,” “ongoing,” or the negative of these terms, or other comparable terminology intended to identify statements about the future. Forward-looking statements contained in this presentation may include, but are not limited to, statements about: our future performance and our market opportunity, our expected full year 2023 reported revenue guidance, our expectations regarding our gross margin profile in 2023 and beyond, our use of cash for continuing operations and our cash burn in the second half of 2023 and our turning profitable in 2025, our expectations for our growth and future investment in our business, our expectations regarding our plans to pursue a new strategic direction, improve our operational efficiency and reduce our cash burn (including our plan to remove approximately $40 million in annual operating expense), our ability to scale to profitability, the associated cost savings of our business exits and impact on our gross margins, and our expected use of the proceeds from the new Perceptive debt facility. We cannot assure that the forward-looking statements in this presentation will prove to be accurate. Furthermore, if our forward-looking statements prove to be inaccurate, the inaccuracy may be material. These statements involve known and unknown risks, uncertainties and other important factors that may cause our actual results, levels of activity, performance or achievements to be materially different from the information expressed or implied by these forward-looking statements. The forward-looking statements and opinions contained in this presentation are based on our management’s beliefs and assumptions and are based upon information currently available to our management as of the date of this presentation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Many factors could cause actual future events to differ materially from the forward-looking statements in this presentation, including but not limited to: (i) the ability to implement business plans, goals and forecasts, and identify and realize additional opportunities, (ii) the risk of downturns and a changing regulatory landscape in the highly competitive healthcare industry, (iii) the size and growth of the market in which we operate, and (iv) our ability to pursue our new strategic direction. The information, opinions and forward- looking statements contained in this announcement speak only as of its date and are subject to change without notice. Use of Non-GAAP Financial Measures This presentation includes non-GAAP financial measures, such as Adjusted Gross Profit (Loss), Adjusted Gross Margin and Adjusted EBITDA. We define Adjusted Gross Profit (Loss) as revenue less cost of services, excluding stock-based compensation expense and restructuring costs, and we define Adjusted Gross Margin as our Adjusted Gross Profit (Loss) divided by our revenue. We define Adjusted EBITDA as our net loss adjusted for interest expense, net, income tax expense, depreciation and amortization, stock-based compensation expense, transaction, acquisition and business integration costs, restructuring costs, change in fair market value of financial liabilities and other income. Management believes that these non-GAAP measures of financial results are useful in evaluating the GeneDx's operating performance compared to that of other companies in its industry, as these metrics generally eliminate the effects of certain items that may vary from company to company for reasons unrelated to overall operating performance. Please refer to our earnings release for a reconciliation of GAAP to non-GAAP financial measures. This presentation contains estimates, projections and other information concerning our industry, our business, and the markets for our products and services.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believe our internal company research as to such matters is reliable and the market definitions are appropriate, neither such research nor these definitions have been verified by any independent source. We discuss these and other risks and uncertainties in greater detail in the sections entitled “Risk Factors” and "Management's Discussion and Analysis of Financial Condition and Results of Operations" in our periodic reports and other filings we make with the SEC from time to time. Given these uncertainties, you should not place undue reliance on the forward-looking statements. Moreover, we operate in a very competitive and rapidly changing environment. New risks emerge from time to time. Except as required by law, we undertake no obligation to update publicly any forward-looking statements for any reason after the date of this presentation to conform these statements to actual results or to changes in our expectations. We file reports, proxy statements, and other information with the SEC. Such reports, proxy statements, and other information concerning us are available www.sec.gov. Requests for copies of such documents should be directed to our Investor Relations department at GeneDx Holdings Corp. 333 Ludlow Street, North Tower, Stamford, Connecticut, 06902. Our telephone number is 800-298-6470.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Our Mission: Deliver personalized and actionable health insights to inform diagnosis, direct treatment and improve drug discovery.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3Q 2023 and Recent Highlights 4 Grew whole exome and genome test volume by 71% year-over-year $164M in pro forma cash, cash​ equivalents, marketable securities and restricted cash as of 9/30/23; after $48.8M net financing proceeds received on October 27, 2023 Expanded adjusted gross margins to 48% in the third quarter of 2023 Delivered total revenue of $53M in Q3, which included 42% year-over-year whole exome and genome test revenue growth Narrowed adjusted net loss for the third quarter of 2023 to $21.1 million, an improvement of 70% year-over-year; expecting turn to profitability in 2025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Test Mix Continues to Shift with Growth in WES/WGS Volume 5 WES/WGS tests grew to 13,216 +71% year-over year and +11% vs Q2 $171.0M 2022 total revenue 39% adj gross margin The unadjusted and adjusted results from continuing operations for the applicable quarters include the combination of results from the Legacy GeneDx diagnostic business with the data and information business of Legacy Sema4, and exclude the results of the discontinued Legacy Sema4 diagnostic testing business. Actual results include GeneDx’s continuing operations and the financial impacts of exited Legacy Sema4 business activities.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 Growth driven by WES/WGS 6 $171.0M 2022 total revenue 39% adj gross margin The unadjusted and adjusted results from continuing operations for the applicable quarters include the combination of results from the Legacy GeneDx diagnostic business with the data and information business of Legacy Sema4, and exclude the results of the discontinued Legacy Sema4 diagnostic testing business. Actual results include GeneDx’s continuing operations and the financial impacts of exited Legacy Sema4 business activities. $34M Q3 WES/WGS revenue +42% year-over year; +62% excluding a one-time benefit in Q3 2022 and +28% QoQ &gt;60% exome adjusted gross margin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Our path to profitability Rationalizing Operating Expense ▪ Removing $40 million in specifically identified operating costs, with all remaining investments focused on exome volume and revenue growth Revenue Growth ▪ Revenue growth driven by whole exome/genome testing ▪ Exome revenues, adjusted for a one-time benefit in Q3 2022, grew 62% year-over-year during Q3 2023 ▪ Revenue breakeven level by end of 2025 is achievable with growth rates well below recent exome volume trends Expanding Gross Margins ▪ Exome gross margin is &gt; 60% today; as exome continues to grow as a percent of overall testing, total margin trends to &gt;60% ▪ Scaling back lower margin tests, reducing COGS per test, and increasing collection rates each represent upside to current margin levels Three drivers to sustainable profit $202M Revenue 48% Gross Margin $200M OPEX $25M Net Loss Current Run rate – Q3 ‘23 2024 2025 Break even point For illustrative purposes, not formal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Revenues between $187-192 million for full year 2023 Expanded adjusted gross margin profile 2023 and beyond Expects to use $75 to $79 million of net cash for the second half of 2023, inclusive of servicing obligations of the previously exited business activities Expected to turn profitable in 2025 2023 Guidance Updated October 30, 2023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mbri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3.png"/><Relationship Id="rId6" Type="http://schemas.openxmlformats.org/officeDocument/2006/relationships/image" Target="media/image4.png"/><Relationship Id="rId7" Type="http://schemas.openxmlformats.org/officeDocument/2006/relationships/image" Target="media/image4.pn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209</Pages>
  <Words>87590</Words>
  <Characters>473340</Characters>
  <CharactersWithSpaces>562210</CharactersWithSpaces>
  <Paragraphs>2928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wgsq32023earningsslidesf</dc:title>
</cp:coreProperties>
</file>