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spacing w:after="0"/>
        <w:rPr>
          <w:sz w:val="20"/>
          <w:szCs w:val="20"/>
          <w:color w:val="auto"/>
        </w:rPr>
      </w:pPr>
      <w:r>
        <w:rPr>
          <w:rFonts w:ascii="Arial" w:cs="Arial" w:eastAsia="Arial" w:hAnsi="Arial"/>
          <w:sz w:val="22"/>
          <w:szCs w:val="22"/>
          <w:b w:val="1"/>
          <w:bCs w:val="1"/>
          <w:u w:val="single" w:color="auto"/>
          <w:color w:val="auto"/>
        </w:rPr>
        <w:t>EXPLANATORY NOTE</w:t>
      </w:r>
    </w:p>
    <w:p>
      <w:pPr>
        <w:spacing w:after="0" w:line="14" w:lineRule="exact"/>
        <w:rPr>
          <w:sz w:val="24"/>
          <w:szCs w:val="24"/>
          <w:color w:val="auto"/>
        </w:rPr>
      </w:pPr>
    </w:p>
    <w:p>
      <w:pPr>
        <w:jc w:val="center"/>
        <w:spacing w:after="0" w:line="224" w:lineRule="auto"/>
        <w:rPr>
          <w:sz w:val="20"/>
          <w:szCs w:val="20"/>
          <w:color w:val="auto"/>
        </w:rPr>
      </w:pPr>
      <w:r>
        <w:rPr>
          <w:rFonts w:ascii="Arial" w:cs="Arial" w:eastAsia="Arial" w:hAnsi="Arial"/>
          <w:sz w:val="22"/>
          <w:szCs w:val="22"/>
          <w:color w:val="auto"/>
        </w:rPr>
        <w:t>THIS FILING ON FORM 424(B)(3) IS BEING MADE TO CORRECT THE FILE NUMBER REFERRED TO IN THE PRIOR PROSPECTUS SUPPLEMENT NO. 2 SUBMITTED UNDER RULE 424(B)(3) AND FILED ON OCTOBER 14, 2021, WHICH CONTAINED AN INCORRECT FILE NUMBER WHEN FILED. THIS FILING DOES NOT AMEND, MODIFY OR ALTER SUCH PREVIOUS FILING IN ANY OTHER RESPECT.</w:t>
      </w:r>
    </w:p>
    <w:p>
      <w:pPr>
        <w:spacing w:after="0" w:line="200" w:lineRule="exact"/>
        <w:rPr>
          <w:sz w:val="24"/>
          <w:szCs w:val="24"/>
          <w:color w:val="auto"/>
        </w:rPr>
      </w:pPr>
    </w:p>
    <w:p>
      <w:pPr>
        <w:spacing w:after="0" w:line="24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333-258467</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2</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12, 2021, as supplemented by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 dated August 16,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5715</wp:posOffset>
            </wp:positionV>
            <wp:extent cx="2357120" cy="6089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57120" cy="608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Sema4 Holdings Corp.</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236,223,401 Shares of Common Stock</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7,236,667 Warrants to Purchase Shares of Common Stock</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21,995,000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156845</wp:posOffset>
            </wp:positionV>
            <wp:extent cx="1517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right="240" w:firstLine="324"/>
        <w:spacing w:after="0" w:line="257" w:lineRule="auto"/>
        <w:rPr>
          <w:sz w:val="20"/>
          <w:szCs w:val="20"/>
          <w:color w:val="auto"/>
        </w:rPr>
      </w:pPr>
      <w:r>
        <w:rPr>
          <w:rFonts w:ascii="Arial" w:cs="Arial" w:eastAsia="Arial" w:hAnsi="Arial"/>
          <w:sz w:val="18"/>
          <w:szCs w:val="18"/>
          <w:color w:val="auto"/>
        </w:rPr>
        <w:t>This prospectus supplement supplements the prospectus dated August 12, 2021, as supplemented by Prospectus Supplement No. 1 dated August 16, 2021 (the “Prospectus”), which forms a part of our registration statement on Form S-1 (No. 333-258467). This prospectus supplement is being filed to update and supplement the information in the Prospectus with the information contained in our current report on Form 8-K, filed with the Securities and Exchange Commission (the “SEC”) on October 14, 2021 (the “Current Report”). Accordingly, we have attached the Current Report to this prospectus supplement.</w:t>
      </w:r>
    </w:p>
    <w:p>
      <w:pPr>
        <w:spacing w:after="0" w:line="80" w:lineRule="exact"/>
        <w:rPr>
          <w:sz w:val="24"/>
          <w:szCs w:val="24"/>
          <w:color w:val="auto"/>
        </w:rPr>
      </w:pPr>
    </w:p>
    <w:p>
      <w:pPr>
        <w:ind w:firstLine="324"/>
        <w:spacing w:after="0" w:line="287" w:lineRule="auto"/>
        <w:rPr>
          <w:sz w:val="20"/>
          <w:szCs w:val="20"/>
          <w:color w:val="auto"/>
        </w:rPr>
      </w:pPr>
      <w:r>
        <w:rPr>
          <w:rFonts w:ascii="Arial" w:cs="Arial" w:eastAsia="Arial" w:hAnsi="Arial"/>
          <w:sz w:val="16"/>
          <w:szCs w:val="16"/>
          <w:color w:val="auto"/>
        </w:rPr>
        <w:t>The Prospectus and this prospectus supplement relate to the offer and sale from time to time by the selling securityholders named in the Prospectus (the “Selling Securityholders”) of (A) up to 236,223,401 shares of our Class A common stock, par value $0.0001 per share (“Class A common stock” or “common stock”), consisting of (i) up to 35,000,000 shares of our Class A common stock issued in a private placement pursuant to subscription agreements each entered into on February 9, 2021; (ii) up to 11,068,750 shares of our Class A common stock issued in connection with the consummation of the Business Combination (as defined in the Prospectus), in exchange for shares of our Class B common stock originally issued in a private placement to CMLS Holdings LLC (the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Sponsor and certain of the other Initial Stockholders (as defined in the Prospectus).</w:t>
      </w:r>
    </w:p>
    <w:p>
      <w:pPr>
        <w:spacing w:after="0" w:line="168" w:lineRule="exact"/>
        <w:rPr>
          <w:sz w:val="24"/>
          <w:szCs w:val="24"/>
          <w:color w:val="auto"/>
        </w:rPr>
      </w:pPr>
    </w:p>
    <w:p>
      <w:pPr>
        <w:ind w:right="60" w:firstLine="324"/>
        <w:spacing w:after="0" w:line="279" w:lineRule="auto"/>
        <w:rPr>
          <w:sz w:val="20"/>
          <w:szCs w:val="20"/>
          <w:color w:val="auto"/>
        </w:rPr>
      </w:pPr>
      <w:r>
        <w:rPr>
          <w:rFonts w:ascii="Arial" w:cs="Arial" w:eastAsia="Arial" w:hAnsi="Arial"/>
          <w:sz w:val="17"/>
          <w:szCs w:val="17"/>
          <w:color w:val="auto"/>
        </w:rPr>
        <w:t>In addition, the Prospectus and this prospectus supplement relate to the offer and sale of: (i) up to 14,758,333 shares of our Class A common stock that are issuable by us upon the exercise of 14,758,333 warrants (the “public warrants”) originally issued in our initial public offering ; and (ii) up to 7,236,667 shares of our Class A common stock that are issuable by us upon the exercise of the private placement warrants following the public resale of the private placement warrants by the Selling Securityholders pursuant to the Prospectus and this prospectus supplement.</w:t>
      </w:r>
    </w:p>
    <w:p>
      <w:pPr>
        <w:spacing w:after="0" w:line="171" w:lineRule="exact"/>
        <w:rPr>
          <w:sz w:val="24"/>
          <w:szCs w:val="24"/>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Our common stock and public warrants are listed on the Nasdaq Global Select Market (the “Nasdaq”) under the symbols “SMFR” and “SMFRW,” respectively. On October 12, 2021, the last reported sales price of our common stock was $8.15 per share and the last reported sales price of our public warrants was $2.76 per warrant.</w:t>
      </w:r>
    </w:p>
    <w:p>
      <w:pPr>
        <w:spacing w:after="0" w:line="184" w:lineRule="exact"/>
        <w:rPr>
          <w:sz w:val="24"/>
          <w:szCs w:val="24"/>
          <w:color w:val="auto"/>
        </w:rPr>
      </w:pPr>
    </w:p>
    <w:p>
      <w:pPr>
        <w:ind w:right="300" w:firstLine="324"/>
        <w:spacing w:after="0" w:line="259"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7" w:lineRule="exact"/>
        <w:rPr>
          <w:sz w:val="24"/>
          <w:szCs w:val="24"/>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Investing in our securities involves risks. See the section entitled “Risk Factors” beginning on page 10 of the Prospectus to read about factors you should consider before buying our securities.</w:t>
      </w:r>
    </w:p>
    <w:p>
      <w:pPr>
        <w:spacing w:after="0" w:line="166" w:lineRule="exact"/>
        <w:rPr>
          <w:sz w:val="24"/>
          <w:szCs w:val="24"/>
          <w:color w:val="auto"/>
        </w:rPr>
      </w:pPr>
    </w:p>
    <w:p>
      <w:pPr>
        <w:ind w:right="720" w:firstLine="324"/>
        <w:spacing w:after="0" w:line="312"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determined if this prospectus supplement or the Prospectus is truthful or complete. Any representation to the contrary is a criminal offense.</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October 14, 2021</w:t>
      </w:r>
    </w:p>
    <w:p>
      <w:pPr>
        <w:sectPr>
          <w:pgSz w:w="11900" w:h="16838" w:orient="portrait"/>
          <w:cols w:equalWidth="0" w:num="1">
            <w:col w:w="11240"/>
          </w:cols>
          <w:pgMar w:left="320" w:top="882" w:right="339" w:bottom="825"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October 14, 2021 (October 8, 2021)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Sema4 Holdings Corp.</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70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001-39482</w:t>
            </w:r>
          </w:p>
        </w:tc>
        <w:tc>
          <w:tcPr>
            <w:tcW w:w="100" w:type="dxa"/>
            <w:vAlign w:val="bottom"/>
          </w:tcPr>
          <w:p>
            <w:pPr>
              <w:spacing w:after="0"/>
              <w:rPr>
                <w:sz w:val="20"/>
                <w:szCs w:val="20"/>
                <w:color w:val="auto"/>
              </w:rPr>
            </w:pPr>
          </w:p>
        </w:tc>
        <w:tc>
          <w:tcPr>
            <w:tcW w:w="4180" w:type="dxa"/>
            <w:vAlign w:val="bottom"/>
          </w:tcPr>
          <w:p>
            <w:pPr>
              <w:jc w:val="right"/>
              <w:ind w:right="1570"/>
              <w:spacing w:after="0"/>
              <w:rPr>
                <w:sz w:val="20"/>
                <w:szCs w:val="20"/>
                <w:color w:val="auto"/>
              </w:rPr>
            </w:pPr>
            <w:r>
              <w:rPr>
                <w:rFonts w:ascii="Arial" w:cs="Arial" w:eastAsia="Arial" w:hAnsi="Arial"/>
                <w:sz w:val="18"/>
                <w:szCs w:val="18"/>
                <w:b w:val="1"/>
                <w:bCs w:val="1"/>
                <w:color w:val="auto"/>
              </w:rPr>
              <w:t>85-1966622</w:t>
            </w:r>
          </w:p>
        </w:tc>
      </w:tr>
      <w:tr>
        <w:trPr>
          <w:trHeight w:val="41"/>
        </w:trPr>
        <w:tc>
          <w:tcPr>
            <w:tcW w:w="4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180" w:type="dxa"/>
            <w:vAlign w:val="bottom"/>
            <w:tcBorders>
              <w:bottom w:val="single" w:sz="8" w:color="auto"/>
            </w:tcBorders>
          </w:tcPr>
          <w:p>
            <w:pPr>
              <w:spacing w:after="0"/>
              <w:rPr>
                <w:sz w:val="3"/>
                <w:szCs w:val="3"/>
                <w:color w:val="auto"/>
              </w:rPr>
            </w:pPr>
          </w:p>
        </w:tc>
      </w:tr>
      <w:tr>
        <w:trPr>
          <w:trHeight w:val="222"/>
        </w:trPr>
        <w:tc>
          <w:tcPr>
            <w:tcW w:w="422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9"/>
                <w:szCs w:val="19"/>
                <w:color w:val="auto"/>
              </w:rPr>
            </w:pPr>
          </w:p>
        </w:tc>
        <w:tc>
          <w:tcPr>
            <w:tcW w:w="27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(Commission File Number)</w:t>
            </w: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22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38"/>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83"/>
        </w:trPr>
        <w:tc>
          <w:tcPr>
            <w:tcW w:w="4220" w:type="dxa"/>
            <w:vAlign w:val="bottom"/>
          </w:tcPr>
          <w:p>
            <w:pPr>
              <w:ind w:left="130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jc w:val="right"/>
              <w:ind w:right="1770"/>
              <w:spacing w:after="0"/>
              <w:rPr>
                <w:sz w:val="20"/>
                <w:szCs w:val="20"/>
                <w:color w:val="auto"/>
              </w:rPr>
            </w:pPr>
            <w:r>
              <w:rPr>
                <w:rFonts w:ascii="Arial" w:cs="Arial" w:eastAsia="Arial" w:hAnsi="Arial"/>
                <w:sz w:val="18"/>
                <w:szCs w:val="18"/>
                <w:b w:val="1"/>
                <w:bCs w:val="1"/>
                <w:color w:val="auto"/>
              </w:rPr>
              <w:t>06902</w:t>
            </w:r>
          </w:p>
        </w:tc>
      </w:tr>
      <w:tr>
        <w:trPr>
          <w:trHeight w:val="27"/>
        </w:trPr>
        <w:tc>
          <w:tcPr>
            <w:tcW w:w="4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(800) 298-6470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4" w:lineRule="exact"/>
        <w:rPr>
          <w:sz w:val="20"/>
          <w:szCs w:val="20"/>
          <w:color w:val="auto"/>
        </w:rPr>
      </w:pPr>
    </w:p>
    <w:p>
      <w:pPr>
        <w:ind w:left="260" w:hanging="212"/>
        <w:spacing w:after="0"/>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90" w:lineRule="exact"/>
        <w:rPr>
          <w:rFonts w:ascii="MS PGothic" w:cs="MS PGothic" w:eastAsia="MS PGothic" w:hAnsi="MS PGothic"/>
          <w:sz w:val="17"/>
          <w:szCs w:val="17"/>
          <w:color w:val="auto"/>
        </w:rPr>
      </w:pPr>
    </w:p>
    <w:p>
      <w:pPr>
        <w:ind w:left="260" w:hanging="212"/>
        <w:spacing w:after="0"/>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231F20"/>
        </w:rPr>
        <w:t>Soliciting material pursuant to Rule 14a-12 under the Exchange Act (17 CFR 240.14a-12)</w:t>
      </w:r>
    </w:p>
    <w:p>
      <w:pPr>
        <w:spacing w:after="0" w:line="263" w:lineRule="exact"/>
        <w:rPr>
          <w:rFonts w:ascii="MS PGothic" w:cs="MS PGothic" w:eastAsia="MS PGothic" w:hAnsi="MS PGothic"/>
          <w:sz w:val="17"/>
          <w:szCs w:val="17"/>
          <w:color w:val="auto"/>
        </w:rPr>
      </w:pPr>
    </w:p>
    <w:p>
      <w:pPr>
        <w:ind w:left="260" w:hanging="212"/>
        <w:spacing w:after="0"/>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231F20"/>
        </w:rPr>
        <w:t>Pre-commencement communications pursuant to Rule 14d-2(b) under the Exchange Act (17 CFR 240.14d-2(b))</w:t>
      </w:r>
    </w:p>
    <w:p>
      <w:pPr>
        <w:spacing w:after="0" w:line="277" w:lineRule="exact"/>
        <w:rPr>
          <w:rFonts w:ascii="MS PGothic" w:cs="MS PGothic" w:eastAsia="MS PGothic" w:hAnsi="MS PGothic"/>
          <w:sz w:val="17"/>
          <w:szCs w:val="17"/>
          <w:color w:val="auto"/>
        </w:rPr>
      </w:pPr>
    </w:p>
    <w:p>
      <w:pPr>
        <w:ind w:left="260" w:hanging="212"/>
        <w:spacing w:after="0"/>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231F20"/>
        </w:rPr>
        <w:t>Pre-commencement communications pursuant to Rule 13e-4(c) under the Exchange Act (17 CFR 240.13e-4(c))</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Title of each class</w:t>
            </w:r>
          </w:p>
        </w:tc>
        <w:tc>
          <w:tcPr>
            <w:tcW w:w="2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Class A common stock, par value $0.0001 per share</w:t>
            </w:r>
          </w:p>
        </w:tc>
        <w:tc>
          <w:tcPr>
            <w:tcW w:w="21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SMFR</w:t>
            </w:r>
          </w:p>
        </w:tc>
        <w:tc>
          <w:tcPr>
            <w:tcW w:w="4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229"/>
        </w:trPr>
        <w:tc>
          <w:tcPr>
            <w:tcW w:w="48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Warrants to purchase one share of Class A common stock, each</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SMFRW</w:t>
            </w:r>
          </w:p>
        </w:tc>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22"/>
        </w:trPr>
        <w:tc>
          <w:tcPr>
            <w:tcW w:w="48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at an exercise price of $11.50 per share</w:t>
            </w:r>
          </w:p>
        </w:tc>
        <w:tc>
          <w:tcPr>
            <w:tcW w:w="2100" w:type="dxa"/>
            <w:vAlign w:val="bottom"/>
            <w:gridSpan w:val="2"/>
            <w:vMerge w:val="continue"/>
          </w:tcPr>
          <w:p>
            <w:pPr>
              <w:spacing w:after="0"/>
              <w:rPr>
                <w:sz w:val="10"/>
                <w:szCs w:val="10"/>
                <w:color w:val="auto"/>
              </w:rPr>
            </w:pPr>
          </w:p>
        </w:tc>
        <w:tc>
          <w:tcPr>
            <w:tcW w:w="4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60" w:type="dxa"/>
            <w:vAlign w:val="bottom"/>
            <w:gridSpan w:val="2"/>
            <w:vMerge w:val="continue"/>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0"/>
          <w:szCs w:val="20"/>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150"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11240"/>
          </w:cols>
          <w:pgMar w:left="320" w:top="1003" w:right="339" w:bottom="1440" w:gutter="0" w:footer="0" w:header="0"/>
        </w:sectPr>
      </w:pPr>
    </w:p>
    <w:bookmarkStart w:id="2" w:name="page3"/>
    <w:bookmarkEnd w:id="2"/>
    <w:p>
      <w:pPr>
        <w:ind w:right="200"/>
        <w:spacing w:after="0" w:line="309"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Sema4 Holdings Corp. (“Sema4 Holdings” or the “Company”) has received confirmation that James Coffin, Ph.D. the Company’s Treasurer from January 2021 to March 2021, and President and Chief Operating Officer since 2017, expects to be on short-term disability leave for medical reasons for approximately 90 days, commencing sometime in October 2021 (the “Leave”).</w:t>
      </w:r>
    </w:p>
    <w:p>
      <w:pPr>
        <w:spacing w:after="0" w:line="19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During the Leave, the Company’s Chief Financial Officer, Isaac Ro, and Chief Business Officer, Kareem Saad, will each perform functions previously performed by Dr. Coffin.</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does not anticipate that the Leave will adversely impact the Company’s financial performance and timelines for its corporate objectives, research and development progress, or strategic partnerships and collaborations.</w:t>
      </w:r>
    </w:p>
    <w:p>
      <w:pPr>
        <w:spacing w:after="0" w:line="20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Except for historical information, this report contains certain forward-looking statements that involve known and unknown risk and uncertainties. These forward-looking statements relate to the Company’s expectations regarding the Leave. These risks and uncertainties are further qualified by important factors that could cause actual results to differ materially from future results, performance or achievements expressed or implied by those in the forward-looking statements made in this release. These factors include, without limitation, Dr. Coffin’s medical condition, and other risks and uncertainties identified in Sema4 Holdings Corp.’s filings with the Securities and Exchange Commission.</w:t>
      </w:r>
    </w:p>
    <w:p>
      <w:pPr>
        <w:sectPr>
          <w:pgSz w:w="11900" w:h="16838" w:orient="portrait"/>
          <w:cols w:equalWidth="0" w:num="1">
            <w:col w:w="11240"/>
          </w:cols>
          <w:pgMar w:left="320" w:top="1440" w:right="339" w:bottom="1440" w:gutter="0" w:footer="0" w:header="0"/>
        </w:sectPr>
      </w:pPr>
    </w:p>
    <w:bookmarkStart w:id="3" w:name="page4"/>
    <w:bookmarkEnd w:id="3"/>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08" w:lineRule="exact"/>
        <w:rPr>
          <w:sz w:val="20"/>
          <w:szCs w:val="20"/>
          <w:color w:val="auto"/>
        </w:rPr>
      </w:pPr>
    </w:p>
    <w:p>
      <w:pPr>
        <w:ind w:firstLine="324"/>
        <w:spacing w:after="0" w:line="303"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96" w:lineRule="exact"/>
        <w:rPr>
          <w:sz w:val="20"/>
          <w:szCs w:val="20"/>
          <w:color w:val="auto"/>
        </w:rPr>
      </w:pPr>
    </w:p>
    <w:tbl>
      <w:tblPr>
        <w:tblLayout w:type="fixed"/>
        <w:tblInd w:w="320" w:type="dxa"/>
        <w:tblCellMar>
          <w:top w:w="0" w:type="dxa"/>
          <w:left w:w="0" w:type="dxa"/>
          <w:bottom w:w="0" w:type="dxa"/>
          <w:right w:w="0" w:type="dxa"/>
        </w:tblCellMar>
      </w:tblPr>
      <w:tr>
        <w:trPr>
          <w:trHeight w:val="256"/>
        </w:trPr>
        <w:tc>
          <w:tcPr>
            <w:tcW w:w="6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6900" w:type="dxa"/>
            <w:vAlign w:val="bottom"/>
            <w:gridSpan w:val="2"/>
          </w:tcPr>
          <w:p>
            <w:pPr>
              <w:ind w:left="1320"/>
              <w:spacing w:after="0"/>
              <w:rPr>
                <w:sz w:val="20"/>
                <w:szCs w:val="20"/>
                <w:color w:val="auto"/>
              </w:rPr>
            </w:pPr>
            <w:r>
              <w:rPr>
                <w:rFonts w:ascii="Arial" w:cs="Arial" w:eastAsia="Arial" w:hAnsi="Arial"/>
                <w:sz w:val="20"/>
                <w:szCs w:val="20"/>
                <w:b w:val="1"/>
                <w:bCs w:val="1"/>
                <w:color w:val="auto"/>
              </w:rPr>
              <w:t>Sema4 Holdings Corp.</w:t>
            </w:r>
          </w:p>
        </w:tc>
      </w:tr>
      <w:tr>
        <w:trPr>
          <w:trHeight w:val="621"/>
        </w:trPr>
        <w:tc>
          <w:tcPr>
            <w:tcW w:w="640" w:type="dxa"/>
            <w:vAlign w:val="bottom"/>
          </w:tcPr>
          <w:p>
            <w:pPr>
              <w:spacing w:after="0"/>
              <w:rPr>
                <w:sz w:val="20"/>
                <w:szCs w:val="20"/>
                <w:color w:val="auto"/>
              </w:rPr>
            </w:pPr>
            <w:r>
              <w:rPr>
                <w:rFonts w:ascii="Arial" w:cs="Arial" w:eastAsia="Arial" w:hAnsi="Arial"/>
                <w:sz w:val="20"/>
                <w:szCs w:val="20"/>
                <w:color w:val="auto"/>
              </w:rPr>
              <w:t>Date:</w:t>
            </w:r>
          </w:p>
        </w:tc>
        <w:tc>
          <w:tcPr>
            <w:tcW w:w="2900" w:type="dxa"/>
            <w:vAlign w:val="bottom"/>
          </w:tcPr>
          <w:p>
            <w:pPr>
              <w:ind w:left="220"/>
              <w:spacing w:after="0"/>
              <w:rPr>
                <w:sz w:val="20"/>
                <w:szCs w:val="20"/>
                <w:color w:val="auto"/>
              </w:rPr>
            </w:pPr>
            <w:r>
              <w:rPr>
                <w:rFonts w:ascii="Arial" w:cs="Arial" w:eastAsia="Arial" w:hAnsi="Arial"/>
                <w:sz w:val="20"/>
                <w:szCs w:val="20"/>
                <w:color w:val="auto"/>
              </w:rPr>
              <w:t>October 14, 2021</w:t>
            </w:r>
          </w:p>
        </w:tc>
        <w:tc>
          <w:tcPr>
            <w:tcW w:w="2200" w:type="dxa"/>
            <w:vAlign w:val="bottom"/>
          </w:tcPr>
          <w:p>
            <w:pPr>
              <w:ind w:left="1320"/>
              <w:spacing w:after="0"/>
              <w:rPr>
                <w:sz w:val="20"/>
                <w:szCs w:val="20"/>
                <w:color w:val="auto"/>
              </w:rPr>
            </w:pPr>
            <w:r>
              <w:rPr>
                <w:rFonts w:ascii="Arial" w:cs="Arial" w:eastAsia="Arial" w:hAnsi="Arial"/>
                <w:sz w:val="20"/>
                <w:szCs w:val="20"/>
                <w:color w:val="auto"/>
              </w:rPr>
              <w:t>By:</w:t>
            </w:r>
          </w:p>
        </w:tc>
        <w:tc>
          <w:tcPr>
            <w:tcW w:w="4700" w:type="dxa"/>
            <w:vAlign w:val="bottom"/>
          </w:tcPr>
          <w:p>
            <w:pPr>
              <w:ind w:left="40"/>
              <w:spacing w:after="0"/>
              <w:rPr>
                <w:sz w:val="20"/>
                <w:szCs w:val="20"/>
                <w:color w:val="auto"/>
              </w:rPr>
            </w:pPr>
            <w:r>
              <w:rPr>
                <w:rFonts w:ascii="Arial" w:cs="Arial" w:eastAsia="Arial" w:hAnsi="Arial"/>
                <w:sz w:val="20"/>
                <w:szCs w:val="20"/>
                <w:color w:val="auto"/>
              </w:rPr>
              <w:t>/s/ Eric Schadt</w:t>
            </w:r>
          </w:p>
        </w:tc>
      </w:tr>
      <w:tr>
        <w:trPr>
          <w:trHeight w:val="23"/>
        </w:trPr>
        <w:tc>
          <w:tcPr>
            <w:tcW w:w="6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254"/>
        </w:trPr>
        <w:tc>
          <w:tcPr>
            <w:tcW w:w="6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200" w:type="dxa"/>
            <w:vAlign w:val="bottom"/>
          </w:tcPr>
          <w:p>
            <w:pPr>
              <w:ind w:left="1320"/>
              <w:spacing w:after="0"/>
              <w:rPr>
                <w:sz w:val="20"/>
                <w:szCs w:val="20"/>
                <w:color w:val="auto"/>
              </w:rPr>
            </w:pPr>
            <w:r>
              <w:rPr>
                <w:rFonts w:ascii="Arial" w:cs="Arial" w:eastAsia="Arial" w:hAnsi="Arial"/>
                <w:sz w:val="20"/>
                <w:szCs w:val="20"/>
                <w:color w:val="auto"/>
              </w:rPr>
              <w:t>Name:</w:t>
            </w:r>
          </w:p>
        </w:tc>
        <w:tc>
          <w:tcPr>
            <w:tcW w:w="4700" w:type="dxa"/>
            <w:vAlign w:val="bottom"/>
          </w:tcPr>
          <w:p>
            <w:pPr>
              <w:ind w:left="40"/>
              <w:spacing w:after="0"/>
              <w:rPr>
                <w:sz w:val="20"/>
                <w:szCs w:val="20"/>
                <w:color w:val="auto"/>
              </w:rPr>
            </w:pPr>
            <w:r>
              <w:rPr>
                <w:rFonts w:ascii="Arial" w:cs="Arial" w:eastAsia="Arial" w:hAnsi="Arial"/>
                <w:sz w:val="20"/>
                <w:szCs w:val="20"/>
                <w:color w:val="auto"/>
              </w:rPr>
              <w:t>Eric Schadt</w:t>
            </w:r>
          </w:p>
        </w:tc>
      </w:tr>
      <w:tr>
        <w:trPr>
          <w:trHeight w:val="283"/>
        </w:trPr>
        <w:tc>
          <w:tcPr>
            <w:tcW w:w="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0" w:type="dxa"/>
            <w:vAlign w:val="bottom"/>
          </w:tcPr>
          <w:p>
            <w:pPr>
              <w:ind w:left="1320"/>
              <w:spacing w:after="0"/>
              <w:rPr>
                <w:sz w:val="20"/>
                <w:szCs w:val="20"/>
                <w:color w:val="auto"/>
              </w:rPr>
            </w:pPr>
            <w:r>
              <w:rPr>
                <w:rFonts w:ascii="Arial" w:cs="Arial" w:eastAsia="Arial" w:hAnsi="Arial"/>
                <w:sz w:val="20"/>
                <w:szCs w:val="20"/>
                <w:color w:val="auto"/>
              </w:rPr>
              <w:t>Title:</w:t>
            </w:r>
          </w:p>
        </w:tc>
        <w:tc>
          <w:tcPr>
            <w:tcW w:w="4700" w:type="dxa"/>
            <w:vAlign w:val="bottom"/>
          </w:tcPr>
          <w:p>
            <w:pPr>
              <w:ind w:left="40"/>
              <w:spacing w:after="0"/>
              <w:rPr>
                <w:sz w:val="20"/>
                <w:szCs w:val="20"/>
                <w:color w:val="auto"/>
              </w:rPr>
            </w:pPr>
            <w:r>
              <w:rPr>
                <w:rFonts w:ascii="Arial" w:cs="Arial" w:eastAsia="Arial" w:hAnsi="Arial"/>
                <w:sz w:val="20"/>
                <w:szCs w:val="20"/>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2021-10-15T05:39:34Z</dcterms:created>
  <dcterms:modified xsi:type="dcterms:W3CDTF">2021-10-15T05:39:34Z</dcterms:modified>
</cp:coreProperties>
</file>