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83"/>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Sema4 Holdings Corp.</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81663L101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ind w:left="4944"/>
        <w:spacing w:after="0"/>
        <w:rPr>
          <w:sz w:val="20"/>
          <w:szCs w:val="20"/>
          <w:color w:val="auto"/>
        </w:rPr>
      </w:pPr>
      <w:r>
        <w:rPr>
          <w:rFonts w:ascii="Arial" w:cs="Arial" w:eastAsia="Arial" w:hAnsi="Arial"/>
          <w:sz w:val="18"/>
          <w:szCs w:val="18"/>
          <w:b w:val="1"/>
          <w:bCs w:val="1"/>
          <w:color w:val="auto"/>
        </w:rPr>
        <w:t>John G. Finley</w:t>
      </w:r>
    </w:p>
    <w:p>
      <w:pPr>
        <w:spacing w:after="0" w:line="27" w:lineRule="exact"/>
        <w:rPr>
          <w:sz w:val="24"/>
          <w:szCs w:val="24"/>
          <w:color w:val="auto"/>
        </w:rPr>
      </w:pPr>
    </w:p>
    <w:p>
      <w:pPr>
        <w:ind w:left="4924"/>
        <w:spacing w:after="0"/>
        <w:rPr>
          <w:sz w:val="20"/>
          <w:szCs w:val="20"/>
          <w:color w:val="auto"/>
        </w:rPr>
      </w:pPr>
      <w:r>
        <w:rPr>
          <w:rFonts w:ascii="Arial" w:cs="Arial" w:eastAsia="Arial" w:hAnsi="Arial"/>
          <w:sz w:val="18"/>
          <w:szCs w:val="18"/>
          <w:b w:val="1"/>
          <w:bCs w:val="1"/>
          <w:color w:val="auto"/>
        </w:rPr>
        <w:t>Blackstone Inc.</w:t>
      </w:r>
    </w:p>
    <w:p>
      <w:pPr>
        <w:spacing w:after="0" w:line="9" w:lineRule="exact"/>
        <w:rPr>
          <w:sz w:val="24"/>
          <w:szCs w:val="24"/>
          <w:color w:val="auto"/>
        </w:rPr>
      </w:pPr>
    </w:p>
    <w:p>
      <w:pPr>
        <w:ind w:left="4444" w:right="4380" w:firstLine="416"/>
        <w:spacing w:after="0" w:line="281" w:lineRule="auto"/>
        <w:tabs>
          <w:tab w:leader="none" w:pos="5168"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Park Avenue New York, New York 10154</w:t>
      </w:r>
    </w:p>
    <w:p>
      <w:pPr>
        <w:spacing w:after="0" w:line="1" w:lineRule="exact"/>
        <w:rPr>
          <w:rFonts w:ascii="Arial" w:cs="Arial" w:eastAsia="Arial" w:hAnsi="Arial"/>
          <w:sz w:val="16"/>
          <w:szCs w:val="16"/>
          <w:b w:val="1"/>
          <w:bCs w:val="1"/>
          <w:color w:val="auto"/>
        </w:rPr>
      </w:pPr>
    </w:p>
    <w:p>
      <w:pPr>
        <w:ind w:left="4784"/>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Tel: (212) 583-5000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July 22,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Sema4 Holdings L.P.</w:t>
      </w:r>
    </w:p>
    <w:p>
      <w:pPr>
        <w:spacing w:after="0" w:line="36"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24,404,324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Holdings Manager L.L.C.</w:t>
      </w:r>
    </w:p>
    <w:p>
      <w:pPr>
        <w:spacing w:after="0" w:line="36"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24,404,324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Tactical Opportunities Associates L.L.C.</w:t>
      </w:r>
    </w:p>
    <w:p>
      <w:pPr>
        <w:spacing w:after="0" w:line="36"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24,404,324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BTOA L.L.C.</w:t>
      </w:r>
    </w:p>
    <w:p>
      <w:pPr>
        <w:spacing w:after="0" w:line="36" w:lineRule="exact"/>
        <w:rPr>
          <w:sz w:val="20"/>
          <w:szCs w:val="20"/>
          <w:color w:val="auto"/>
        </w:rPr>
      </w:pPr>
    </w:p>
    <w:p>
      <w:pPr>
        <w:ind w:left="620" w:hanging="377"/>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24,404,324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Family Tactical Opportunities Investment Partnership III ESC L.P.</w:t>
      </w:r>
    </w:p>
    <w:p>
      <w:pPr>
        <w:spacing w:after="0" w:line="36" w:lineRule="exact"/>
        <w:rPr>
          <w:sz w:val="20"/>
          <w:szCs w:val="20"/>
          <w:color w:val="auto"/>
        </w:rPr>
      </w:pPr>
    </w:p>
    <w:p>
      <w:pPr>
        <w:ind w:left="620" w:hanging="377"/>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147,574</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147,574</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147,574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Side-by-Side GP L.L.C.</w:t>
      </w:r>
    </w:p>
    <w:p>
      <w:pPr>
        <w:spacing w:after="0" w:line="36" w:lineRule="exact"/>
        <w:rPr>
          <w:sz w:val="20"/>
          <w:szCs w:val="20"/>
          <w:color w:val="auto"/>
        </w:rPr>
      </w:pPr>
    </w:p>
    <w:p>
      <w:pPr>
        <w:ind w:left="620" w:hanging="377"/>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147,574</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147,574</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147,574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L.P.</w:t>
      </w:r>
    </w:p>
    <w:p>
      <w:pPr>
        <w:spacing w:after="0" w:line="36" w:lineRule="exact"/>
        <w:rPr>
          <w:sz w:val="20"/>
          <w:szCs w:val="20"/>
          <w:color w:val="auto"/>
        </w:rPr>
      </w:pPr>
    </w:p>
    <w:p>
      <w:pPr>
        <w:ind w:left="620" w:hanging="377"/>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24,551,898</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GP L.P.</w:t>
      </w:r>
    </w:p>
    <w:p>
      <w:pPr>
        <w:spacing w:after="0" w:line="36" w:lineRule="exact"/>
        <w:rPr>
          <w:sz w:val="20"/>
          <w:szCs w:val="20"/>
          <w:color w:val="auto"/>
        </w:rPr>
      </w:pPr>
    </w:p>
    <w:p>
      <w:pPr>
        <w:ind w:left="620" w:hanging="377"/>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24,551,898</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GP Management L.L.C.</w:t>
      </w:r>
    </w:p>
    <w:p>
      <w:pPr>
        <w:spacing w:after="0" w:line="36" w:lineRule="exact"/>
        <w:rPr>
          <w:sz w:val="20"/>
          <w:szCs w:val="20"/>
          <w:color w:val="auto"/>
        </w:rPr>
      </w:pPr>
    </w:p>
    <w:p>
      <w:pPr>
        <w:ind w:left="620" w:hanging="377"/>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24,551,898</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Tactical Opportunities Fund - FD L.P.</w:t>
      </w:r>
    </w:p>
    <w:p>
      <w:pPr>
        <w:spacing w:after="0" w:line="36" w:lineRule="exact"/>
        <w:rPr>
          <w:sz w:val="20"/>
          <w:szCs w:val="20"/>
          <w:color w:val="auto"/>
        </w:rPr>
      </w:pPr>
    </w:p>
    <w:p>
      <w:pPr>
        <w:ind w:left="620" w:hanging="377"/>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67"/>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505,095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Tactical Opportunities Associates III - NQ L.P.</w:t>
      </w:r>
    </w:p>
    <w:p>
      <w:pPr>
        <w:spacing w:after="0" w:line="36" w:lineRule="exact"/>
        <w:rPr>
          <w:sz w:val="20"/>
          <w:szCs w:val="20"/>
          <w:color w:val="auto"/>
        </w:rPr>
      </w:pPr>
    </w:p>
    <w:p>
      <w:pPr>
        <w:ind w:left="620" w:hanging="377"/>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505,095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DE GP - NQ L.L.C.</w:t>
      </w:r>
    </w:p>
    <w:p>
      <w:pPr>
        <w:spacing w:after="0" w:line="36" w:lineRule="exact"/>
        <w:rPr>
          <w:sz w:val="20"/>
          <w:szCs w:val="20"/>
          <w:color w:val="auto"/>
        </w:rPr>
      </w:pPr>
    </w:p>
    <w:p>
      <w:pPr>
        <w:ind w:left="620" w:hanging="377"/>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505,095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 L.P.</w:t>
      </w:r>
    </w:p>
    <w:p>
      <w:pPr>
        <w:spacing w:after="0" w:line="36" w:lineRule="exact"/>
        <w:rPr>
          <w:sz w:val="20"/>
          <w:szCs w:val="20"/>
          <w:color w:val="auto"/>
        </w:rPr>
      </w:pPr>
    </w:p>
    <w:p>
      <w:pPr>
        <w:ind w:left="620" w:hanging="377"/>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505,095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Aqua Master Sub-Fund, a sub-fund of Blackstone Global Master Fund ICAV</w:t>
      </w:r>
    </w:p>
    <w:p>
      <w:pPr>
        <w:spacing w:after="0" w:line="36" w:lineRule="exact"/>
        <w:rPr>
          <w:sz w:val="20"/>
          <w:szCs w:val="20"/>
          <w:color w:val="auto"/>
        </w:rPr>
      </w:pPr>
    </w:p>
    <w:p>
      <w:pPr>
        <w:ind w:left="620" w:hanging="377"/>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77"/>
        <w:spacing w:after="0"/>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Ireland</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809,509</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ectPr>
          <w:pgSz w:w="11900" w:h="16838" w:orient="portrait"/>
          <w:cols w:equalWidth="0" w:num="1">
            <w:col w:w="11020"/>
          </w:cols>
          <w:pgMar w:left="440" w:top="274"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2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Alternative Solutions L.L.C.</w:t>
      </w:r>
    </w:p>
    <w:p>
      <w:pPr>
        <w:spacing w:after="0" w:line="36" w:lineRule="exact"/>
        <w:rPr>
          <w:sz w:val="20"/>
          <w:szCs w:val="20"/>
          <w:color w:val="auto"/>
        </w:rPr>
      </w:pPr>
    </w:p>
    <w:p>
      <w:pPr>
        <w:ind w:left="620" w:hanging="377"/>
        <w:spacing w:after="0"/>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809,509</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sectPr>
          <w:pgSz w:w="11900" w:h="16838" w:orient="portrait"/>
          <w:cols w:equalWidth="0" w:num="1">
            <w:col w:w="11020"/>
          </w:cols>
          <w:pgMar w:left="440" w:top="274"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 L.P.</w:t>
      </w:r>
    </w:p>
    <w:p>
      <w:pPr>
        <w:spacing w:after="0" w:line="36" w:lineRule="exact"/>
        <w:rPr>
          <w:sz w:val="20"/>
          <w:szCs w:val="20"/>
          <w:color w:val="auto"/>
        </w:rPr>
      </w:pPr>
    </w:p>
    <w:p>
      <w:pPr>
        <w:ind w:left="620" w:hanging="377"/>
        <w:spacing w:after="0"/>
        <w:tabs>
          <w:tab w:leader="none" w:pos="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809,509</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2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GP L.L.C.</w:t>
      </w:r>
    </w:p>
    <w:p>
      <w:pPr>
        <w:spacing w:after="0" w:line="36" w:lineRule="exact"/>
        <w:rPr>
          <w:sz w:val="20"/>
          <w:szCs w:val="20"/>
          <w:color w:val="auto"/>
        </w:rPr>
      </w:pPr>
    </w:p>
    <w:p>
      <w:pPr>
        <w:ind w:left="620" w:hanging="377"/>
        <w:spacing w:after="0"/>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1,314,604</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1,314,604</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1,314,604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0.5%</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Inc.</w:t>
      </w:r>
    </w:p>
    <w:p>
      <w:pPr>
        <w:spacing w:after="0" w:line="36" w:lineRule="exact"/>
        <w:rPr>
          <w:sz w:val="20"/>
          <w:szCs w:val="20"/>
          <w:color w:val="auto"/>
        </w:rPr>
      </w:pPr>
    </w:p>
    <w:p>
      <w:pPr>
        <w:ind w:left="620" w:hanging="377"/>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25,156,993</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25,156,993</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25,156,993</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10.7%</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ectPr>
          <w:pgSz w:w="11900" w:h="16838" w:orient="portrait"/>
          <w:cols w:equalWidth="0" w:num="1">
            <w:col w:w="11020"/>
          </w:cols>
          <w:pgMar w:left="440" w:top="274"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2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Group Management L.L.C.</w:t>
      </w:r>
    </w:p>
    <w:p>
      <w:pPr>
        <w:spacing w:after="0" w:line="36" w:lineRule="exact"/>
        <w:rPr>
          <w:sz w:val="20"/>
          <w:szCs w:val="20"/>
          <w:color w:val="auto"/>
        </w:rPr>
      </w:pPr>
    </w:p>
    <w:p>
      <w:pPr>
        <w:ind w:left="620" w:hanging="377"/>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25,156,993</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25,156,993</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25,156,993</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10.7%</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SCHWARZMAN STEPHEN A</w:t>
      </w:r>
    </w:p>
    <w:p>
      <w:pPr>
        <w:spacing w:after="0" w:line="36" w:lineRule="exact"/>
        <w:rPr>
          <w:sz w:val="20"/>
          <w:szCs w:val="20"/>
          <w:color w:val="auto"/>
        </w:rPr>
      </w:pPr>
    </w:p>
    <w:p>
      <w:pPr>
        <w:ind w:left="620" w:hanging="377"/>
        <w:spacing w:after="0"/>
        <w:tabs>
          <w:tab w:leader="none" w:pos="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25,156,993</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25,156,993</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25,156,993</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10.7%</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20"/>
          </w:cols>
          <w:pgMar w:left="440" w:top="274" w:right="439" w:bottom="1440" w:gutter="0" w:footer="0" w:header="0"/>
        </w:sectPr>
      </w:pPr>
    </w:p>
    <w:bookmarkStart w:id="21" w:name="page22"/>
    <w:bookmarkEnd w:id="21"/>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Security and Issuer</w:t>
      </w:r>
    </w:p>
    <w:p>
      <w:pPr>
        <w:spacing w:after="0" w:line="121"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This Schedule 13D relates to the Class A common stock, par value $0.0001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of Sema4 Holdings Corp. (formerly known as CM Life 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address of the principal executive office of the Issuer is 333 Ludlow Street, North Tower, 8</w:t>
      </w:r>
      <w:r>
        <w:rPr>
          <w:rFonts w:ascii="Arial" w:cs="Arial" w:eastAsia="Arial" w:hAnsi="Arial"/>
          <w:sz w:val="15"/>
          <w:szCs w:val="15"/>
          <w:color w:val="auto"/>
        </w:rPr>
        <w:t>th</w:t>
      </w:r>
      <w:r>
        <w:rPr>
          <w:rFonts w:ascii="Arial" w:cs="Arial" w:eastAsia="Arial" w:hAnsi="Arial"/>
          <w:sz w:val="18"/>
          <w:szCs w:val="18"/>
          <w:color w:val="auto"/>
        </w:rPr>
        <w:t xml:space="preserve"> Floor, Stamford, Connecticut 06902.</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(a)-(b) Each of the following is hereinafter individually referred to as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This statement is filed on behalf of:</w:t>
      </w:r>
    </w:p>
    <w:p>
      <w:pPr>
        <w:spacing w:after="0" w:line="76" w:lineRule="exact"/>
        <w:rPr>
          <w:sz w:val="20"/>
          <w:szCs w:val="20"/>
          <w:color w:val="auto"/>
        </w:rPr>
      </w:pPr>
    </w:p>
    <w:p>
      <w:pPr>
        <w:ind w:left="964" w:hanging="424"/>
        <w:spacing w:after="0"/>
        <w:tabs>
          <w:tab w:leader="none" w:pos="96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 BTO Sema4 Holdings L.P., a Delaware limited partnership, (ii) BTO Holdings Manager L.L.C., a Delaware limited liability company,</w:t>
      </w:r>
    </w:p>
    <w:p>
      <w:pPr>
        <w:spacing w:after="0" w:line="34" w:lineRule="exact"/>
        <w:rPr>
          <w:rFonts w:ascii="Arial" w:cs="Arial" w:eastAsia="Arial" w:hAnsi="Arial"/>
          <w:sz w:val="17"/>
          <w:szCs w:val="17"/>
          <w:color w:val="auto"/>
        </w:rPr>
      </w:pPr>
    </w:p>
    <w:p>
      <w:pPr>
        <w:ind w:left="964" w:right="320" w:firstLine="8"/>
        <w:spacing w:after="0" w:line="281" w:lineRule="auto"/>
        <w:tabs>
          <w:tab w:leader="none" w:pos="1279" w:val="left"/>
        </w:tabs>
        <w:numPr>
          <w:ilvl w:val="1"/>
          <w:numId w:val="143"/>
        </w:numPr>
        <w:rPr>
          <w:rFonts w:ascii="Arial" w:cs="Arial" w:eastAsia="Arial" w:hAnsi="Arial"/>
          <w:sz w:val="16"/>
          <w:szCs w:val="16"/>
          <w:color w:val="auto"/>
        </w:rPr>
      </w:pPr>
      <w:r>
        <w:rPr>
          <w:rFonts w:ascii="Arial" w:cs="Arial" w:eastAsia="Arial" w:hAnsi="Arial"/>
          <w:sz w:val="16"/>
          <w:szCs w:val="16"/>
          <w:color w:val="auto"/>
        </w:rPr>
        <w:t>Blackstone Tactical Opportunities Associates L.L.C., a Delaware limited liability company, (iv) BTOA L.L.C., a Delaware limited liability company, (v) Blackstone Family Tactical Opportunities Investment Partnership III ESC L.P., a Delaware limited partnership,</w:t>
      </w:r>
    </w:p>
    <w:p>
      <w:pPr>
        <w:spacing w:after="0" w:line="1" w:lineRule="exact"/>
        <w:rPr>
          <w:rFonts w:ascii="Arial" w:cs="Arial" w:eastAsia="Arial" w:hAnsi="Arial"/>
          <w:sz w:val="16"/>
          <w:szCs w:val="16"/>
          <w:color w:val="auto"/>
        </w:rPr>
      </w:pPr>
    </w:p>
    <w:p>
      <w:pPr>
        <w:ind w:left="964" w:right="20" w:firstLine="8"/>
        <w:spacing w:after="0" w:line="268" w:lineRule="auto"/>
        <w:tabs>
          <w:tab w:leader="none" w:pos="1269" w:val="left"/>
        </w:tabs>
        <w:numPr>
          <w:ilvl w:val="1"/>
          <w:numId w:val="144"/>
        </w:numPr>
        <w:rPr>
          <w:rFonts w:ascii="Arial" w:cs="Arial" w:eastAsia="Arial" w:hAnsi="Arial"/>
          <w:sz w:val="17"/>
          <w:szCs w:val="17"/>
          <w:color w:val="auto"/>
        </w:rPr>
      </w:pPr>
      <w:r>
        <w:rPr>
          <w:rFonts w:ascii="Arial" w:cs="Arial" w:eastAsia="Arial" w:hAnsi="Arial"/>
          <w:sz w:val="17"/>
          <w:szCs w:val="17"/>
          <w:color w:val="auto"/>
        </w:rPr>
        <w:t>BTO Side-by-Side GP L.L.C., a Delaware limited liability company, (vii) Blackstone Holdings III L.P., a Delaware limited partnership, (viii) Blackstone Holdings III GP L.P., a Delaware limited partnership, (ix) Blackstone Holdings III GP Management L.L.C., a Delaware limited liability company, (x) Blackstone Tactical Opportunities Fund – FD L.P., a Delaware limited partnership, (xi) Blackstone Tactical Opportunities Associates III – NQ L.P., a Delaware limited partnership, (xii) BTO DE GP – NQ L.L.C., a Delaware limited liability company, (xiii) Blackstone Holdings II L.P., a Delaware limited partnership, (xiv) Blackstone Aqua Master Sub-Fund, a sub-fund of Blackstone Global Master Fund ICAV, an Irish collective asset-management vehicle, (xv) Blackstone Alternative Solutions L.L.C., a Delaware limited liability company, (xvi) Blackstone Holdings I L.P., a Delaware limited partnership, (xvii) Blackstone Holdings I/II GP L.L.C., a Delaware limited liability company, (xviii) Blackstone Inc., a Delaware corporation (“</w:t>
      </w:r>
      <w:r>
        <w:rPr>
          <w:rFonts w:ascii="Arial" w:cs="Arial" w:eastAsia="Arial" w:hAnsi="Arial"/>
          <w:sz w:val="17"/>
          <w:szCs w:val="17"/>
          <w:u w:val="single" w:color="auto"/>
          <w:color w:val="auto"/>
        </w:rPr>
        <w:t>Blackstone</w:t>
      </w:r>
      <w:r>
        <w:rPr>
          <w:rFonts w:ascii="Arial" w:cs="Arial" w:eastAsia="Arial" w:hAnsi="Arial"/>
          <w:sz w:val="17"/>
          <w:szCs w:val="17"/>
          <w:color w:val="auto"/>
        </w:rPr>
        <w:t>”), and (xix) Blackstone Group Management L.L.C., a Delaware limited liability company; and</w:t>
      </w:r>
    </w:p>
    <w:p>
      <w:pPr>
        <w:spacing w:after="0" w:line="86" w:lineRule="exact"/>
        <w:rPr>
          <w:rFonts w:ascii="Arial" w:cs="Arial" w:eastAsia="Arial" w:hAnsi="Arial"/>
          <w:sz w:val="17"/>
          <w:szCs w:val="17"/>
          <w:color w:val="auto"/>
        </w:rPr>
      </w:pPr>
    </w:p>
    <w:p>
      <w:pPr>
        <w:ind w:left="964" w:hanging="424"/>
        <w:spacing w:after="0"/>
        <w:tabs>
          <w:tab w:leader="none" w:pos="96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Stephen A. Schwarzman, a United States citizen.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address of the principal business office of each of the Reporting Persons is c/o Blackstone Inc., 345 Park Avenue, New York, NY 10154.</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Information regarding each director and executive officer of Blackstone Inc. is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225" w:lineRule="exact"/>
        <w:rPr>
          <w:sz w:val="20"/>
          <w:szCs w:val="20"/>
          <w:color w:val="auto"/>
        </w:rPr>
      </w:pPr>
    </w:p>
    <w:p>
      <w:pPr>
        <w:jc w:val="both"/>
        <w:ind w:left="4" w:right="640" w:hanging="4"/>
        <w:spacing w:after="0" w:line="263" w:lineRule="auto"/>
        <w:tabs>
          <w:tab w:leader="none" w:pos="24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principal business of each of BTO Sema4 Holdings LP., Blackstone Family Tactical Opportunities Investment Partnership III ESC L.P., Blackstone Tactical Opportunities Fund-FD L.P. and Blackstone Aqua Master Sub-Fund, a sub-fund of Blackstone Global Master Fund ICAV is investing in securities.</w:t>
      </w:r>
    </w:p>
    <w:p>
      <w:pPr>
        <w:spacing w:after="0" w:line="184"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The principal business of BTO Holdings Manager L.L.C. is performing the functions of, and serving as, a general partner (or similar position) of BTO Sema4 Holdings L.P. and of other affiliated Blackstone entities. The principal business of Blackstone Tactical Opportunities Associates L.L.C. is performing the functions of, and serving as, the managing member (or similar position) of BTO Holdings Manager L.L.C. and of other affiliated Blackstone entities. The principal business of BTOA L.L.C. is performing the functions of, and serving as, the managing member (or similar position) of Blackstone Tactical Opportunities Associates L.L.C. and of other affiliated Blackstone entities.</w:t>
      </w:r>
    </w:p>
    <w:p>
      <w:pPr>
        <w:sectPr>
          <w:pgSz w:w="11900" w:h="16838" w:orient="portrait"/>
          <w:cols w:equalWidth="0" w:num="1">
            <w:col w:w="11004"/>
          </w:cols>
          <w:pgMar w:left="436" w:top="270" w:right="459" w:bottom="1440" w:gutter="0" w:footer="0" w:header="0"/>
        </w:sectPr>
      </w:pPr>
    </w:p>
    <w:bookmarkStart w:id="22" w:name="page23"/>
    <w:bookmarkEnd w:id="22"/>
    <w:p>
      <w:pPr>
        <w:ind w:left="4" w:right="5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principal business of BTO Side-by-Side GP L.L.C. is performing the functions of, and serving as, the general partner (or similar position) of Blackstone Family Tactical Opportunities Investment Partnership III ESC L.P. and of other affiliated Blackstone entities.</w:t>
      </w:r>
    </w:p>
    <w:p>
      <w:pPr>
        <w:spacing w:after="0" w:line="146" w:lineRule="exact"/>
        <w:rPr>
          <w:sz w:val="20"/>
          <w:szCs w:val="20"/>
          <w:color w:val="auto"/>
        </w:rPr>
      </w:pPr>
    </w:p>
    <w:p>
      <w:pPr>
        <w:ind w:left="4" w:right="100"/>
        <w:spacing w:after="0" w:line="275" w:lineRule="auto"/>
        <w:rPr>
          <w:sz w:val="20"/>
          <w:szCs w:val="20"/>
          <w:color w:val="auto"/>
        </w:rPr>
      </w:pPr>
      <w:r>
        <w:rPr>
          <w:rFonts w:ascii="Arial" w:cs="Arial" w:eastAsia="Arial" w:hAnsi="Arial"/>
          <w:sz w:val="17"/>
          <w:szCs w:val="17"/>
          <w:color w:val="auto"/>
        </w:rPr>
        <w:t>The principal business of Blackstone Holdings III L.P. is performing the functions of, and serving as, the sole member (or similar position) of and member or equity holder of BTO Side-by-Side GP L.L.C. and as managing member of BTOA L.L.C., and other affiliated Blackstone entities. The principal business of Blackstone Holdings III GP L.P. is performing the functions of, and serving as, the general partner of Blackstone Holdings III L.P. and other affiliated Blackstone entities. The principal business of Blackstone Holdings III GP Management L.L.C. is performing the functions of, and serving as, the general partner of Blackstone Holdings III GP L.P. and other affiliated Blackstone entities.</w:t>
      </w:r>
    </w:p>
    <w:p>
      <w:pPr>
        <w:spacing w:after="0" w:line="176"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principal business of Blackstone Tactical Opportunities Associates III – NQ L.P. is performing the functions of, and serving as, a general partner (or similar position) of Blackstone Tactical Opportunities Fund – FD L.P. The principal business of BTO DE GP – NQ L.L.C. is performing the functions of, and serving as, a general partner (or similar position) of Blackstone Tactical Opportunities Associates III – NQ L.P. The principal business of Blackstone Holdings II L.P. is performing the functions of, and serving as, the managing member (or similar position) of and member or equity holder of BTO DE GP – NQ L.L.C. and other affiliated Blackstone entities.</w:t>
      </w:r>
    </w:p>
    <w:p>
      <w:pPr>
        <w:spacing w:after="0" w:line="188"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The principal business of Blackstone Alternative Solutions L.L.C. is serving as the investment manager of Blackstone Aqua Master Sub-Fund, a sub-fund of Blackstone Global Master Fund ICAV and other affiliated Blackstone entities.</w:t>
      </w:r>
    </w:p>
    <w:p>
      <w:pPr>
        <w:spacing w:after="0" w:line="170"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principal business of Blackstone Holdings I/II GP L.L.C. is performing the functions of, and serving as, the general partner (or similar position) of Blackstone Holdings I L.P., Blackstone Holdings II L.P. and other affiliated Blackstone entities.</w:t>
      </w:r>
    </w:p>
    <w:p>
      <w:pPr>
        <w:spacing w:after="0" w:line="170"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The principal business of Blackstone Inc. is performing the functions of, and serving as, the sole member of each of Blackstone Holdings I/II GP L.L.C. and Blackstone Holdings III GP Management L.L.C., and in a similar capacity for other affiliated Blackstone entities. The principal business of Blackstone Group Management L.L.C. is performing the functions of, and serving as, the sole holder of the Series II preferred stock of Blackstone Inc. The principal occupation of Mr. Schwarzman is serving as an executive of Blackstone Inc. and Blackstone Group Management L.L.C.</w:t>
      </w:r>
    </w:p>
    <w:p>
      <w:pPr>
        <w:spacing w:after="0" w:line="157" w:lineRule="exact"/>
        <w:rPr>
          <w:sz w:val="20"/>
          <w:szCs w:val="20"/>
          <w:color w:val="auto"/>
        </w:rPr>
      </w:pPr>
    </w:p>
    <w:p>
      <w:pPr>
        <w:ind w:left="4" w:right="300" w:hanging="4"/>
        <w:spacing w:after="0" w:line="308" w:lineRule="auto"/>
        <w:tabs>
          <w:tab w:leader="none" w:pos="25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During the last five years, none of the Reporting Persons or, to the best knowledge of the Reporting Persons, any of the other persons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has been convicted in a criminal proceeding (excluding traffic violations or similar misdemeanors).</w:t>
      </w:r>
    </w:p>
    <w:p>
      <w:pPr>
        <w:spacing w:after="0" w:line="146" w:lineRule="exact"/>
        <w:rPr>
          <w:rFonts w:ascii="Arial" w:cs="Arial" w:eastAsia="Arial" w:hAnsi="Arial"/>
          <w:sz w:val="17"/>
          <w:szCs w:val="17"/>
          <w:color w:val="auto"/>
        </w:rPr>
      </w:pPr>
    </w:p>
    <w:p>
      <w:pPr>
        <w:ind w:left="4" w:right="80" w:hanging="4"/>
        <w:spacing w:after="0" w:line="259" w:lineRule="auto"/>
        <w:tabs>
          <w:tab w:leader="none" w:pos="24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During the last five years, none of the Reporting Persons or, to the best knowledge of the Reporting Persons, any of the other persons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left="224" w:hanging="224"/>
        <w:spacing w:after="0"/>
        <w:tabs>
          <w:tab w:leader="none" w:pos="2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See Item 2(a)-(b) above for citizenship or place of organization, as applicable, of each of the Reporting Persons.</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color w:val="auto"/>
        </w:rPr>
        <w:t>The securities reported herein as beneficially owned by each of BTO Sema4 Holdings L.P., Blackstone Family Tactical Opportunities Investment Partnership III ESC L.P. and Blackstone Tactical Opportunities Fund – FD L.P. were acquired in connection with the consummation of the transactions contemplated by the Agreement and Plan of Merger, dated February 9, 2021, by and among CM Life Sciences, Inc. (“</w:t>
      </w:r>
      <w:r>
        <w:rPr>
          <w:rFonts w:ascii="Arial" w:cs="Arial" w:eastAsia="Arial" w:hAnsi="Arial"/>
          <w:sz w:val="18"/>
          <w:szCs w:val="18"/>
          <w:u w:val="single" w:color="auto"/>
          <w:color w:val="auto"/>
        </w:rPr>
        <w:t>CMLS</w:t>
      </w:r>
      <w:r>
        <w:rPr>
          <w:rFonts w:ascii="Arial" w:cs="Arial" w:eastAsia="Arial" w:hAnsi="Arial"/>
          <w:sz w:val="18"/>
          <w:szCs w:val="18"/>
          <w:color w:val="auto"/>
        </w:rPr>
        <w:t>”), S-IV Sub, Inc.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w:t>
      </w:r>
      <w:r>
        <w:rPr>
          <w:rFonts w:ascii="Arial" w:cs="Arial" w:eastAsia="Arial" w:hAnsi="Arial"/>
          <w:sz w:val="18"/>
          <w:szCs w:val="18"/>
          <w:color w:val="auto"/>
        </w:rPr>
        <w:t>”) and Mount Sinai Genomics, Inc. d/b/a Sema4 (“</w:t>
      </w:r>
      <w:r>
        <w:rPr>
          <w:rFonts w:ascii="Arial" w:cs="Arial" w:eastAsia="Arial" w:hAnsi="Arial"/>
          <w:sz w:val="18"/>
          <w:szCs w:val="18"/>
          <w:u w:val="single" w:color="auto"/>
          <w:color w:val="auto"/>
        </w:rPr>
        <w:t>Sema4</w:t>
      </w:r>
      <w:r>
        <w:rPr>
          <w:rFonts w:ascii="Arial" w:cs="Arial" w:eastAsia="Arial" w:hAnsi="Arial"/>
          <w:sz w:val="18"/>
          <w:szCs w:val="18"/>
          <w:color w:val="auto"/>
        </w:rPr>
        <w:t>”) (as amended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the terms of the Merger Agreement, Merger Sub merged with and into Sema4 with Sema4 surviving the merger as a wholly owned subsidiary of CMLS, which was renamed “Sema4 Holdings Corp” (the “</w:t>
      </w:r>
      <w:r>
        <w:rPr>
          <w:rFonts w:ascii="Arial" w:cs="Arial" w:eastAsia="Arial" w:hAnsi="Arial"/>
          <w:sz w:val="18"/>
          <w:szCs w:val="18"/>
          <w:u w:val="single" w:color="auto"/>
          <w:color w:val="auto"/>
        </w:rPr>
        <w:t>Merger</w:t>
      </w:r>
      <w:r>
        <w:rPr>
          <w:rFonts w:ascii="Arial" w:cs="Arial" w:eastAsia="Arial" w:hAnsi="Arial"/>
          <w:sz w:val="18"/>
          <w:szCs w:val="18"/>
          <w:color w:val="auto"/>
        </w:rPr>
        <w:t>” and together with the other transactions contemplated by the Merger Agreement, the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w:t>
      </w: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23" w:name="page24"/>
    <w:bookmarkEnd w:id="23"/>
    <w:p>
      <w:pPr>
        <w:ind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the terms of the Merger Agreement, the owners of Sema4 (the “</w:t>
      </w:r>
      <w:r>
        <w:rPr>
          <w:rFonts w:ascii="Arial" w:cs="Arial" w:eastAsia="Arial" w:hAnsi="Arial"/>
          <w:sz w:val="16"/>
          <w:szCs w:val="16"/>
          <w:u w:val="single" w:color="auto"/>
          <w:color w:val="auto"/>
        </w:rPr>
        <w:t>Sema4 Stockholders</w:t>
      </w:r>
      <w:r>
        <w:rPr>
          <w:rFonts w:ascii="Arial" w:cs="Arial" w:eastAsia="Arial" w:hAnsi="Arial"/>
          <w:sz w:val="16"/>
          <w:szCs w:val="16"/>
          <w:color w:val="auto"/>
        </w:rPr>
        <w:t>”) prior to the closing of the Business Combination (the “</w:t>
      </w:r>
      <w:r>
        <w:rPr>
          <w:rFonts w:ascii="Arial" w:cs="Arial" w:eastAsia="Arial" w:hAnsi="Arial"/>
          <w:sz w:val="16"/>
          <w:szCs w:val="16"/>
          <w:u w:val="single" w:color="auto"/>
          <w:color w:val="auto"/>
        </w:rPr>
        <w:t>Closing</w:t>
      </w:r>
      <w:r>
        <w:rPr>
          <w:rFonts w:ascii="Arial" w:cs="Arial" w:eastAsia="Arial" w:hAnsi="Arial"/>
          <w:sz w:val="16"/>
          <w:szCs w:val="16"/>
          <w:color w:val="auto"/>
        </w:rPr>
        <w:t>,” and such date of the consummation of the Business Combination, the “</w:t>
      </w:r>
      <w:r>
        <w:rPr>
          <w:rFonts w:ascii="Arial" w:cs="Arial" w:eastAsia="Arial" w:hAnsi="Arial"/>
          <w:sz w:val="16"/>
          <w:szCs w:val="16"/>
          <w:u w:val="single" w:color="auto"/>
          <w:color w:val="auto"/>
        </w:rPr>
        <w:t>Closing Date</w:t>
      </w:r>
      <w:r>
        <w:rPr>
          <w:rFonts w:ascii="Arial" w:cs="Arial" w:eastAsia="Arial" w:hAnsi="Arial"/>
          <w:sz w:val="16"/>
          <w:szCs w:val="16"/>
          <w:color w:val="auto"/>
        </w:rPr>
        <w:t>”) received 123.83 shares of Class A Common Stock for each share of Sema4 capital stock held by them immediately prior to the Closing and certain rights to receive additional shares of Class A Common Stock upon the achievement of certain milestones as described in the Merger Agreement (the “</w:t>
      </w:r>
      <w:r>
        <w:rPr>
          <w:rFonts w:ascii="Arial" w:cs="Arial" w:eastAsia="Arial" w:hAnsi="Arial"/>
          <w:sz w:val="16"/>
          <w:szCs w:val="16"/>
          <w:u w:val="single" w:color="auto"/>
          <w:color w:val="auto"/>
        </w:rPr>
        <w:t>Earnout Rights</w:t>
      </w:r>
      <w:r>
        <w:rPr>
          <w:rFonts w:ascii="Arial" w:cs="Arial" w:eastAsia="Arial" w:hAnsi="Arial"/>
          <w:sz w:val="16"/>
          <w:szCs w:val="16"/>
          <w:color w:val="auto"/>
        </w:rPr>
        <w:t>”).</w:t>
      </w:r>
    </w:p>
    <w:p>
      <w:pPr>
        <w:spacing w:after="0" w:line="15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Merger, BTO Sema4 Holdings L.P. received 24,404,324 shares of Class A Common Stock and Earnout Rights with respect to up to 2,750,264 shares of Class A Common Stock, Blackstone Tactical Opportunities Fund – FD L.P. received 505,095 shares of Class A Common Stock and Earnout Rights with respect to up to 56,922 shares of Class A Common Stock and Blackstone Family Tactical Opportunities Investment Partnership III ESC L.P. received 147,574 shares of Class A Common Stock and Earnout Rights with respect to up to 16,632 shares of Class A Common Stock. Pursuant to the terms of the Merger Agreement, the Earnout Rights entitle the holder to receive additional shares of Class A Common Stock if, from the Closing until the second anniversary thereof, the volume-weighted average price of the Class A Common Stock exceeds certain thresholds as discussed below. Of these Earnout Rights, one-third will be issued if the volume-weighted average price of the Class A Common Stock equals or exceeds $13.00 for any 20 trading days within any 30 trading day period, one-third will be issued if the volume-weighted average price of the Class A Common Stock equals or exceeds $15.00 for any 20 trading days within any 30 trading day period and one-third will be issued if the volume-weighted average price of the Class A Common Stock equals or exceeds $18.00 for any 20 trading days within any 30 trading day period. The issuance of such shares are subject to certain adjustments, including pro rata adjustments, pursuant to the terms set forth in the Merger Agreement.</w:t>
      </w:r>
    </w:p>
    <w:p>
      <w:pPr>
        <w:spacing w:after="0" w:line="17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description of the Merger Agreement contained in this Item 3 is not intended to be complete and is qualified in its entirety by reference to such agreement, which is filed as an exhibit hereto and incorporated by reference herein.</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securities reported herein for investment purposes, subject to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6 of this Schedule 13D is incorporated herein by reference.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Reporting Persons intend to review their investment in the Issuer on an ongoing basis and, in the course of their review, may take actions (including through their affiliates) with respect to their investment or the Issuer, including communicating with the board of directors of the Issuer (the “</w:t>
      </w:r>
      <w:r>
        <w:rPr>
          <w:rFonts w:ascii="Arial" w:cs="Arial" w:eastAsia="Arial" w:hAnsi="Arial"/>
          <w:sz w:val="16"/>
          <w:szCs w:val="16"/>
          <w:u w:val="single" w:color="auto"/>
          <w:color w:val="auto"/>
        </w:rPr>
        <w:t>Board</w:t>
      </w:r>
      <w:r>
        <w:rPr>
          <w:rFonts w:ascii="Arial" w:cs="Arial" w:eastAsia="Arial" w:hAnsi="Arial"/>
          <w:sz w:val="16"/>
          <w:szCs w:val="16"/>
          <w:color w:val="auto"/>
        </w:rPr>
        <w:t>”), members of management or other security-holders of the Issuer, or other third parties from time to time, taking steps to implement a course of action, including, without limitation, engaging advisors, including legal, financial, regulatory, technical and/or industry advisors, to assist in any review, and evaluating strategic alternatives as they may become available. Such discussions and other actions may relate to, subject to the terms and conditions of the documents described herein to which the Reporting Persons are a party,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any of its subsidiaries, a sale or transfer of a material amount of assets of the Issuer or any of its subsidiaries; material asset purchases; the formation of joint ventures with the Issuer or any of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any of its subsidiaries, changes to the capitalization, ownership structure, dividend policy, business or corporate structure or governance documents of the Issuer; de-listing or de-registration of the Issuer’s securities, or any action similar to those enumerated above.</w:t>
      </w:r>
    </w:p>
    <w:p>
      <w:pPr>
        <w:sectPr>
          <w:pgSz w:w="11900" w:h="16838" w:orient="portrait"/>
          <w:cols w:equalWidth="0" w:num="1">
            <w:col w:w="11000"/>
          </w:cols>
          <w:pgMar w:left="440" w:top="274" w:right="459" w:bottom="1440" w:gutter="0" w:footer="0" w:header="0"/>
        </w:sectPr>
      </w:pPr>
    </w:p>
    <w:bookmarkStart w:id="24" w:name="page25"/>
    <w:bookmarkEnd w:id="24"/>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discussions and actions may be preliminary and exploratory in nature, and not rise to the level of a plan or proposal. Subject to the terms and conditions of the documents described herein to which the Reporting Persons are a party, the Reporting Persons or their affiliates may seek to acquire securities of the Issuer, including Class A Common Stock and/or other equity, debt, notes or other financial instruments related to the Issuer or the Class A Common Stock (which may include rights or securities exercisable or convertible into securities of the Issuer), and/or sell or otherwise dispose of some or all of such Issuer securities or financial instruments (which may include distributing some or all of such securities to such Reporting Person’s respective partners or beneficiaries, as applicable) from time to time, in each case, in open market or private transactions, block sales or otherwise. Any transaction that any of the Reporting Persons or their affiliates may pursue, subject to the terms and conditions of the documents described herein to which the Reporting Persons are a party, may be made at any time and from time to time without prior notice and will depend on a variety of factors, including, without limitation, the price and availability of the Issuer’s securities or other financial instruments, the Reporting Persons’ or such affiliates’ trading and investment strategies, subsequent developments affecting the Issuer, the Issuer’s business and the Issuer’s prospects, other investment and business opportunities available to such Reporting Persons and their affiliates, general industry and economic conditions, the securities markets in general, tax considerations and other factors deemed relevant by such Reporting Persons and such affiliates.</w:t>
      </w:r>
    </w:p>
    <w:p>
      <w:pPr>
        <w:spacing w:after="0" w:line="168"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w:t>
      </w:r>
    </w:p>
    <w:p>
      <w:pPr>
        <w:spacing w:after="0" w:line="32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jc w:val="both"/>
        <w:ind w:left="4" w:right="140" w:hanging="4"/>
        <w:spacing w:after="0" w:line="259" w:lineRule="auto"/>
        <w:tabs>
          <w:tab w:leader="none" w:pos="24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and (b) Calculations of the percentage of the shares of Class A Common Stock beneficially owned assumes that there were 240,190,402 shares of Class A Common Stock outstanding as of July 28, 2021, as set forth in the prospectus dated August 12, 2021,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August 12, 2021, and takes into account shares of Class A Common Stock underlying warrants beneficially owned by the Reporting Persons, as applicable.</w:t>
      </w:r>
    </w:p>
    <w:p>
      <w:pPr>
        <w:spacing w:after="0" w:line="187"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The aggregate number and percentage of the Class A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of the date hereof,</w:t>
      </w:r>
    </w:p>
    <w:p>
      <w:pPr>
        <w:spacing w:after="0" w:line="117" w:lineRule="exact"/>
        <w:rPr>
          <w:sz w:val="20"/>
          <w:szCs w:val="20"/>
          <w:color w:val="auto"/>
        </w:rPr>
      </w:pPr>
    </w:p>
    <w:p>
      <w:pPr>
        <w:ind w:left="4" w:right="100" w:hanging="4"/>
        <w:spacing w:after="0" w:line="277" w:lineRule="auto"/>
        <w:tabs>
          <w:tab w:leader="none" w:pos="21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BTO Sema4 Holdings L.P. directly holds 24,404,324 shares of Class A Common Stock and Earnout Rights with respect to up to 2,750,264 shares of Class A Common Stock;</w:t>
      </w:r>
    </w:p>
    <w:p>
      <w:pPr>
        <w:spacing w:after="0" w:line="62" w:lineRule="exact"/>
        <w:rPr>
          <w:rFonts w:ascii="Arial" w:cs="Arial" w:eastAsia="Arial" w:hAnsi="Arial"/>
          <w:sz w:val="18"/>
          <w:szCs w:val="18"/>
          <w:color w:val="auto"/>
        </w:rPr>
      </w:pPr>
    </w:p>
    <w:p>
      <w:pPr>
        <w:ind w:left="4" w:right="60" w:hanging="4"/>
        <w:spacing w:after="0" w:line="277" w:lineRule="auto"/>
        <w:tabs>
          <w:tab w:leader="none" w:pos="26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Blackstone Tactical Opportunities Fund – FD L.P. directly holds 505,095 shares of Class A Common Stock and Earnout Rights with respect to up to 56,922 shares of Class A Common Stock;</w:t>
      </w:r>
    </w:p>
    <w:p>
      <w:pPr>
        <w:spacing w:after="0" w:line="62" w:lineRule="exact"/>
        <w:rPr>
          <w:rFonts w:ascii="Arial" w:cs="Arial" w:eastAsia="Arial" w:hAnsi="Arial"/>
          <w:sz w:val="18"/>
          <w:szCs w:val="18"/>
          <w:color w:val="auto"/>
        </w:rPr>
      </w:pPr>
    </w:p>
    <w:p>
      <w:pPr>
        <w:ind w:left="4" w:hanging="4"/>
        <w:spacing w:after="0" w:line="277" w:lineRule="auto"/>
        <w:tabs>
          <w:tab w:leader="none" w:pos="31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Blackstone Family Tactical Opportunities Investment Partnership III ESC L.P. directly holds 147,574 shares of Class A Common Stock and Earnout Rights with respect to up to 16,632 shares of Class A Common Stock; and</w:t>
      </w:r>
    </w:p>
    <w:p>
      <w:pPr>
        <w:spacing w:after="0" w:line="62" w:lineRule="exact"/>
        <w:rPr>
          <w:rFonts w:ascii="Arial" w:cs="Arial" w:eastAsia="Arial" w:hAnsi="Arial"/>
          <w:sz w:val="18"/>
          <w:szCs w:val="18"/>
          <w:color w:val="auto"/>
        </w:rPr>
      </w:pPr>
    </w:p>
    <w:p>
      <w:pPr>
        <w:jc w:val="both"/>
        <w:ind w:left="4" w:right="160" w:hanging="4"/>
        <w:spacing w:after="0" w:line="311" w:lineRule="auto"/>
        <w:tabs>
          <w:tab w:leader="none" w:pos="30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Blackstone Aqua Master Sub-Fund, a sub-fund of Blackstone Global Master Fund ICAV, directly holds 100,000 shares of Class A Common Stock and warrants to purchase 709,509 shares of Class A Common Stock which are exercisable within 60 days. Each warrant is exercisable to purchase one share of Class A Common Stock at a price of $11.50 per share, subject to adjustment, and becomes exercisable September 3, 2021.</w:t>
      </w:r>
    </w:p>
    <w:p>
      <w:pPr>
        <w:sectPr>
          <w:pgSz w:w="11900" w:h="16838" w:orient="portrait"/>
          <w:cols w:equalWidth="0" w:num="1">
            <w:col w:w="10984"/>
          </w:cols>
          <w:pgMar w:left="436" w:top="274" w:right="479" w:bottom="1440" w:gutter="0" w:footer="0" w:header="0"/>
        </w:sectPr>
      </w:pPr>
    </w:p>
    <w:bookmarkStart w:id="25" w:name="page26"/>
    <w:bookmarkEnd w:id="25"/>
    <w:p>
      <w:pPr>
        <w:ind w:left="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BTO Holdings Manager L.L.C. is the general partner of BTO Sema4 Holdings L.P. Blackstone Tactical Opportunities Associates L.L.C. is the managing member of BTO Holdings Manager L.L.C. BTOA L.L.C. is the sole member of Blackstone Tactical Opportunities Associates L.L.C.</w:t>
      </w:r>
    </w:p>
    <w:p>
      <w:pPr>
        <w:spacing w:after="0" w:line="146"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BTO Side-by-Side GP L.L.C. is the general partner of Blackstone Family Tactical Opportunities Investment Partnership III ESC L.P. Blackstone Holdings III L.P. is the sole member of BTO Side-by-Side GP L.L.C. and the managing member of BTOA L.L.C.</w:t>
      </w:r>
    </w:p>
    <w:p>
      <w:pPr>
        <w:spacing w:after="0" w:line="170"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Blackstone Holdings III GP L.P. is the general partner of Blackstone Holdings III L.P. Blackstone Holdings III GP Management L.L.C. is the general partner of Blackstone Holdings III GP L.P.</w:t>
      </w:r>
    </w:p>
    <w:p>
      <w:pPr>
        <w:spacing w:after="0" w:line="170"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w:t>
      </w:r>
    </w:p>
    <w:p>
      <w:pPr>
        <w:spacing w:after="0" w:line="184"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Blackstone Holdings I/II L.L.C. is the general partner of each of Blackstone Holdings I L.P. and Blackstone Holdings II L.P.</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Blackstone Inc. is the sole member of each Blackstone Holdings I/II GP L.L.C. and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184"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Neither the filing of this Schedule 13D nor any of its contents shall be deemed to constitute an admission that any Reporting Person is the beneficial owner of the Class A Common Stock referred to herein for purposes of Section 13(d)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for any other purpose and each of the Reporting Persons expressly disclaims beneficial ownership of such shares of Class A Common Stock.</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Any beneficial ownership of Class A Common Stock by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117" w:lineRule="exact"/>
        <w:rPr>
          <w:sz w:val="20"/>
          <w:szCs w:val="20"/>
          <w:color w:val="auto"/>
        </w:rPr>
      </w:pPr>
    </w:p>
    <w:p>
      <w:pPr>
        <w:ind w:left="4" w:right="380" w:hanging="4"/>
        <w:spacing w:after="0" w:line="277" w:lineRule="auto"/>
        <w:tabs>
          <w:tab w:leader="none" w:pos="24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Except as set forth in this Schedule 13D and below, none of the Reporting Persons or, to the best knowledge of the Reporting Persons, any other person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has effected any transaction in Class A Common Stock in the past 60 days.</w:t>
      </w:r>
    </w:p>
    <w:p>
      <w:pPr>
        <w:spacing w:after="0" w:line="62" w:lineRule="exact"/>
        <w:rPr>
          <w:rFonts w:ascii="Arial" w:cs="Arial" w:eastAsia="Arial" w:hAnsi="Arial"/>
          <w:sz w:val="18"/>
          <w:szCs w:val="18"/>
          <w:color w:val="auto"/>
        </w:rPr>
      </w:pPr>
    </w:p>
    <w:p>
      <w:pPr>
        <w:ind w:left="4" w:right="120" w:hanging="4"/>
        <w:spacing w:after="0" w:line="263" w:lineRule="auto"/>
        <w:tabs>
          <w:tab w:leader="none" w:pos="25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the best knowledge of the Reporting Persons, no one other than the Reporting Persons, or the partners, members, affiliates or shareholders of the Reporting Persons, has the right to receive or the power to direct the receipt of dividends from, or the proceeds from the sale of, the Class A Common Stock reported herein as beneficially owned by the Reporting Persons.</w:t>
      </w:r>
    </w:p>
    <w:p>
      <w:pPr>
        <w:spacing w:after="0" w:line="75" w:lineRule="exact"/>
        <w:rPr>
          <w:rFonts w:ascii="Arial" w:cs="Arial" w:eastAsia="Arial" w:hAnsi="Arial"/>
          <w:sz w:val="18"/>
          <w:szCs w:val="18"/>
          <w:color w:val="auto"/>
        </w:rPr>
      </w:pPr>
    </w:p>
    <w:p>
      <w:pPr>
        <w:ind w:left="244" w:hanging="244"/>
        <w:spacing w:after="0"/>
        <w:tabs>
          <w:tab w:leader="none" w:pos="24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provided or incorporated by reference in Items 3, 4 and 5 is hereby incorporated by reference herein.</w:t>
      </w:r>
    </w:p>
    <w:p>
      <w:pPr>
        <w:sectPr>
          <w:pgSz w:w="11900" w:h="16838" w:orient="portrait"/>
          <w:cols w:equalWidth="0" w:num="1">
            <w:col w:w="11004"/>
          </w:cols>
          <w:pgMar w:left="436" w:top="274" w:right="45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Lock-up Agreement</w:t>
      </w:r>
    </w:p>
    <w:p>
      <w:pPr>
        <w:spacing w:after="0" w:line="117"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In connection with the execution of the Merger Agreement, each Sema4 Stockholder holding more than 1% of the outstanding common stock of Sema4 as of the date thereof, entered into a Stockholder Lock-up Agreement whereby such stockholder agreed, subject to certain exceptions, not to</w:t>
      </w:r>
    </w:p>
    <w:p>
      <w:pPr>
        <w:ind w:left="4" w:right="20" w:hanging="4"/>
        <w:spacing w:after="0" w:line="285" w:lineRule="auto"/>
        <w:tabs>
          <w:tab w:leader="none" w:pos="21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Class A Common Stock issued to such stockholder pursuant to the Merger Agreement (such shares of Class A Common Stock, the “</w:t>
      </w:r>
      <w:r>
        <w:rPr>
          <w:rFonts w:ascii="Arial" w:cs="Arial" w:eastAsia="Arial" w:hAnsi="Arial"/>
          <w:sz w:val="16"/>
          <w:szCs w:val="16"/>
          <w:u w:val="single" w:color="auto"/>
          <w:color w:val="auto"/>
        </w:rPr>
        <w:t>Lock-up Shares</w:t>
      </w:r>
      <w:r>
        <w:rPr>
          <w:rFonts w:ascii="Arial" w:cs="Arial" w:eastAsia="Arial" w:hAnsi="Arial"/>
          <w:sz w:val="16"/>
          <w:szCs w:val="16"/>
          <w:color w:val="auto"/>
        </w:rPr>
        <w:t>”), (ii) enter into any swap or other arrangement that transfers to another, in whole or in part, any of the economic consequences of ownership of any of the Lock-up Shares, in cash or otherwise, or (iii) publicly announce any intention to effect any transaction specified in clause (i) or (ii), until the earliest of (a) the date that is 180 calendar days from the Closing Date, and (b) the date following the Closing Date on which the Issuer completes a liquidation, merger, stock exchange or other similar transaction that results in all of the Issuer’s stockholders having the right to exchange their shares of Issuer capital stock for cash, securities or other property. Notwithstanding the foregoing, the stockholder may take any of the actions specified in clauses (i), (ii) and (iii) above at any time after the first date on which the closing price of Class A Common Stock has equaled or exceeded $12.00 per share (as adjusted for stock splits, stock dividends, reorganizations, recapitalizations and the like) for any 20 trading days within any 30-trading day period commencing at least 150 days after the closing date of the Merger.</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4" w:right="20" w:firstLine="440"/>
        <w:spacing w:after="0" w:line="288" w:lineRule="auto"/>
        <w:rPr>
          <w:sz w:val="20"/>
          <w:szCs w:val="20"/>
          <w:color w:val="auto"/>
        </w:rPr>
      </w:pPr>
      <w:r>
        <w:rPr>
          <w:rFonts w:ascii="Arial" w:cs="Arial" w:eastAsia="Arial" w:hAnsi="Arial"/>
          <w:sz w:val="16"/>
          <w:szCs w:val="16"/>
          <w:color w:val="auto"/>
        </w:rPr>
        <w:t>In connection with the execution of the Merger Agreement, the Issuer, CMLS Holdings LLC and certain other parties thereto, including certain of the Reporting Persons (collectively, the “</w:t>
      </w:r>
      <w:r>
        <w:rPr>
          <w:rFonts w:ascii="Arial" w:cs="Arial" w:eastAsia="Arial" w:hAnsi="Arial"/>
          <w:sz w:val="16"/>
          <w:szCs w:val="16"/>
          <w:u w:val="single" w:color="auto"/>
          <w:color w:val="auto"/>
        </w:rPr>
        <w:t>rights holders</w:t>
      </w:r>
      <w:r>
        <w:rPr>
          <w:rFonts w:ascii="Arial" w:cs="Arial" w:eastAsia="Arial" w:hAnsi="Arial"/>
          <w:sz w:val="16"/>
          <w:szCs w:val="16"/>
          <w:color w:val="auto"/>
        </w:rPr>
        <w:t>”) entered into the Amended and Restated Registration Rights Agreement (the “</w:t>
      </w:r>
      <w:r>
        <w:rPr>
          <w:rFonts w:ascii="Arial" w:cs="Arial" w:eastAsia="Arial" w:hAnsi="Arial"/>
          <w:sz w:val="16"/>
          <w:szCs w:val="16"/>
          <w:u w:val="single" w:color="auto"/>
          <w:color w:val="auto"/>
        </w:rPr>
        <w:t>Amended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Restated Registration Rights Agreement</w:t>
      </w:r>
      <w:r>
        <w:rPr>
          <w:rFonts w:ascii="Arial" w:cs="Arial" w:eastAsia="Arial" w:hAnsi="Arial"/>
          <w:sz w:val="16"/>
          <w:szCs w:val="16"/>
          <w:color w:val="auto"/>
        </w:rPr>
        <w:t>”) which amends and restates in its entirety the existing registration rights agreement, dated September 1, 2020, by and between the Issuer and the parties thereto. Pursuant to the terms of the Amended and Restated Registration Rights Agreement, the Issuer is to prepare and file with the SEC, no later than 30 days after the Closing Date, a shelf registration statement for an offering to be made on a continuous basis from time to time with respect to the resale of the registrable shares under the Amended and Restated Registration Rights Agreement. The Issuer is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the Issuer that it will not review such registration statement, subject to extension in the event that the registration is subject comments from the SEC. The Issuer filed such shelf registration statement on August 4, 2021, and such shelf registration statement was declared effective by the SEC on August 12, 2021.</w:t>
      </w:r>
    </w:p>
    <w:p>
      <w:pPr>
        <w:spacing w:after="0" w:line="168"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the Issuer file a registration statement on Form S-1 or Form S-3 to register certain shares of the Class A Common Stock held by such rights holders. The Amended and Restated Registration Rights Agreement also provides the rights holders with “piggy-back” registration rights, subject to certain requirements and customary conditions. The Issuer will bear the expenses incurred in connection with the filing of any such registration statement.</w:t>
      </w:r>
    </w:p>
    <w:p>
      <w:pPr>
        <w:spacing w:after="0" w:line="161" w:lineRule="exact"/>
        <w:rPr>
          <w:sz w:val="20"/>
          <w:szCs w:val="20"/>
          <w:color w:val="auto"/>
        </w:rPr>
      </w:pPr>
    </w:p>
    <w:p>
      <w:pPr>
        <w:ind w:left="4" w:right="480"/>
        <w:spacing w:after="0" w:line="263" w:lineRule="auto"/>
        <w:rPr>
          <w:sz w:val="20"/>
          <w:szCs w:val="20"/>
          <w:color w:val="auto"/>
        </w:rPr>
      </w:pPr>
      <w:r>
        <w:rPr>
          <w:rFonts w:ascii="Arial" w:cs="Arial" w:eastAsia="Arial" w:hAnsi="Arial"/>
          <w:sz w:val="18"/>
          <w:szCs w:val="18"/>
          <w:color w:val="auto"/>
        </w:rPr>
        <w:t>The description of the Stockholder Lockup Agreement and Amended and Restated Registration Rights Agreement contained in this Item 6 are not intended to be complete and are qualified in their entirety by reference to such documents, which are filed as exhibits hereto and incorporated by reference herein.</w:t>
      </w:r>
    </w:p>
    <w:p>
      <w:pPr>
        <w:spacing w:after="0" w:line="207"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u w:val="single" w:color="auto"/>
          <w:color w:val="auto"/>
        </w:rPr>
        <w:t>Exhibit A</w:t>
      </w:r>
      <w:r>
        <w:rPr>
          <w:sz w:val="20"/>
          <w:szCs w:val="20"/>
          <w:color w:val="auto"/>
        </w:rPr>
        <w:tab/>
      </w:r>
      <w:r>
        <w:rPr>
          <w:rFonts w:ascii="Arial" w:cs="Arial" w:eastAsia="Arial" w:hAnsi="Arial"/>
          <w:sz w:val="16"/>
          <w:szCs w:val="16"/>
          <w:color w:val="auto"/>
        </w:rPr>
        <w:t>Joint Filing Agreement, by and among the Reporting Persons (filed herewith).</w:t>
      </w:r>
    </w:p>
    <w:p>
      <w:pPr>
        <w:spacing w:after="0" w:line="117" w:lineRule="exact"/>
        <w:rPr>
          <w:sz w:val="20"/>
          <w:szCs w:val="20"/>
          <w:color w:val="auto"/>
        </w:rPr>
      </w:pPr>
    </w:p>
    <w:p>
      <w:pPr>
        <w:ind w:left="884" w:right="80" w:hanging="890"/>
        <w:spacing w:after="0" w:line="263" w:lineRule="auto"/>
        <w:tabs>
          <w:tab w:leader="none" w:pos="864" w:val="left"/>
        </w:tabs>
        <w:rPr>
          <w:sz w:val="20"/>
          <w:szCs w:val="20"/>
          <w:color w:val="auto"/>
        </w:rPr>
      </w:pPr>
      <w:r>
        <w:rPr>
          <w:rFonts w:ascii="Arial" w:cs="Arial" w:eastAsia="Arial" w:hAnsi="Arial"/>
          <w:sz w:val="18"/>
          <w:szCs w:val="18"/>
          <w:u w:val="single" w:color="auto"/>
          <w:color w:val="auto"/>
        </w:rPr>
        <w:t>Exhibit B</w:t>
      </w:r>
      <w:r>
        <w:rPr>
          <w:sz w:val="20"/>
          <w:szCs w:val="20"/>
          <w:color w:val="auto"/>
        </w:rPr>
        <w:tab/>
      </w:r>
      <w:r>
        <w:rPr>
          <w:rFonts w:ascii="Arial" w:cs="Arial" w:eastAsia="Arial" w:hAnsi="Arial"/>
          <w:sz w:val="18"/>
          <w:szCs w:val="18"/>
          <w:color w:val="auto"/>
        </w:rPr>
        <w:t>Agreement and Plan of Merger, dated February 9, 2021, by and among CMLS, Merger Sub and Sema4, as amended by Amendment to Agreement and Plan of Merger dated May 3, 2021 (incorporated by reference to Annex A of Form DEFM14A filed by the Issuer on July 2, 2021).</w:t>
      </w:r>
    </w:p>
    <w:p>
      <w:pPr>
        <w:sectPr>
          <w:pgSz w:w="11900" w:h="16838" w:orient="portrait"/>
          <w:cols w:equalWidth="0" w:num="1">
            <w:col w:w="11004"/>
          </w:cols>
          <w:pgMar w:left="436" w:top="274" w:right="459" w:bottom="1440" w:gutter="0" w:footer="0" w:header="0"/>
        </w:sectPr>
      </w:pPr>
    </w:p>
    <w:bookmarkStart w:id="27" w:name="page28"/>
    <w:bookmarkEnd w:id="27"/>
    <w:p>
      <w:pPr>
        <w:ind w:hanging="89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r>
        <w:rPr>
          <w:sz w:val="20"/>
          <w:szCs w:val="20"/>
          <w:color w:val="auto"/>
        </w:rPr>
        <w:t xml:space="preserve"> </w:t>
      </w:r>
      <w:r>
        <w:rPr>
          <w:rFonts w:ascii="Arial" w:cs="Arial" w:eastAsia="Arial" w:hAnsi="Arial"/>
          <w:sz w:val="18"/>
          <w:szCs w:val="18"/>
          <w:color w:val="auto"/>
        </w:rPr>
        <w:t>Form of Lockup Agreement (incorporated by reference to Exhibit 10.2 to the Issuer’s Current Report on Form 8-K filed on February 11, 2021).</w:t>
      </w:r>
    </w:p>
    <w:p>
      <w:pPr>
        <w:spacing w:after="0" w:line="62" w:lineRule="exact"/>
        <w:rPr>
          <w:sz w:val="20"/>
          <w:szCs w:val="20"/>
          <w:color w:val="auto"/>
        </w:rPr>
      </w:pPr>
    </w:p>
    <w:p>
      <w:pPr>
        <w:ind w:right="160" w:hanging="890"/>
        <w:spacing w:after="0" w:line="342" w:lineRule="auto"/>
        <w:rPr>
          <w:sz w:val="20"/>
          <w:szCs w:val="20"/>
          <w:color w:val="auto"/>
        </w:rPr>
      </w:pPr>
      <w:r>
        <w:rPr>
          <w:rFonts w:ascii="Arial" w:cs="Arial" w:eastAsia="Arial" w:hAnsi="Arial"/>
          <w:sz w:val="18"/>
          <w:szCs w:val="18"/>
          <w:u w:val="single" w:color="auto"/>
          <w:color w:val="auto"/>
        </w:rPr>
        <w:t>Exhibit D</w:t>
      </w:r>
      <w:r>
        <w:rPr>
          <w:sz w:val="20"/>
          <w:szCs w:val="20"/>
          <w:color w:val="auto"/>
        </w:rPr>
        <w:t xml:space="preserve"> </w:t>
      </w:r>
      <w:r>
        <w:rPr>
          <w:rFonts w:ascii="Arial" w:cs="Arial" w:eastAsia="Arial" w:hAnsi="Arial"/>
          <w:sz w:val="16"/>
          <w:szCs w:val="16"/>
          <w:color w:val="auto"/>
        </w:rPr>
        <w:t>Amended and Restated Registration Rights Agreement, dated as of July 22, 2021, by and among the Issuer, CMLS Holdings LLC and certain other parties (incorporated by reference as Exhibit 10.2 of the Issuer’s Form 8-K, filed with the SEC on July 28, 2021).</w:t>
      </w:r>
    </w:p>
    <w:p>
      <w:pPr>
        <w:sectPr>
          <w:pgSz w:w="11900" w:h="16838" w:orient="portrait"/>
          <w:cols w:equalWidth="0" w:num="1">
            <w:col w:w="9820"/>
          </w:cols>
          <w:pgMar w:left="1320" w:top="382" w:right="7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BTO SEMA4 HOLDINGS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BTO Holdings Manager L.L.C.,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Blackstone Tactical Opportunities Associates L.L.C., its</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managing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BTOA L.L.C., its sole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Blackstone Holdings III L.P., its indirect managing</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BTO HOLDINGS MANAGER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Blackstone Tactical Opportunities Associates L.L.C., its</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managing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BTOA L.L.C., its sole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Blackstone Holdings III L.P., its managing member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BLACKSTONE TACTICAL OPPORTUNITIES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ASSOCIATES,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BTOA L.L.C., its sole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Blackstone Holdings III L.P., its managing member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Managing Director</w:t>
      </w:r>
    </w:p>
    <w:p>
      <w:pPr>
        <w:sectPr>
          <w:pgSz w:w="11900" w:h="16838" w:orient="portrait"/>
          <w:cols w:equalWidth="0" w:num="1">
            <w:col w:w="10960"/>
          </w:cols>
          <w:pgMar w:left="440" w:top="270" w:right="499" w:bottom="1440" w:gutter="0" w:footer="0" w:header="0"/>
        </w:sectPr>
      </w:pPr>
    </w:p>
    <w:bookmarkStart w:id="29" w:name="page30"/>
    <w:bookmarkEnd w:id="2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BTOA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L.P., its managing member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FAMILY TACTICAL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OPPORTUNITIES INVESTMENT PARTNERSHIP III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ESC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Side-by-Side GP L.L.C.,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III L.P., its sole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BTO SIDE-BY-SIDE GP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III L.P., its sole member By: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Blackstone Holdings III GP L.P.,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GP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ectPr>
          <w:pgSz w:w="11900" w:h="16838" w:orient="portrait"/>
          <w:cols w:equalWidth="0" w:num="1">
            <w:col w:w="9920"/>
          </w:cols>
          <w:pgMar w:left="1440" w:top="270" w:right="539" w:bottom="1440" w:gutter="0" w:footer="0" w:header="0"/>
        </w:sectPr>
      </w:pPr>
    </w:p>
    <w:bookmarkStart w:id="30" w:name="page31"/>
    <w:bookmarkEnd w:id="3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HOLDINGS III GP MANAGEMENT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TACTICAL OPPORTUNITIES FUND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FD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Tactical Opportunities Associates III - NQ</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DE GP - NQ L.L.C.,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 L.P., its managing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TACTICAL OPPORTUNITIES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ASSOCIATES III - NQ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DE GP - NQ L.L.C.,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 L.P., its managing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BTO DE GP - NQ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 L.P., its managing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GLOBAL MASTER FUND ICAV</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Acting solely on behalf of its sub-fund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AQUA MASTER SUB-FUND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Alternative Solutions L.L.C., its investment</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Koffler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Peter Koffler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ectPr>
          <w:pgSz w:w="11900" w:h="16838" w:orient="portrait"/>
          <w:cols w:equalWidth="0" w:num="1">
            <w:col w:w="9920"/>
          </w:cols>
          <w:pgMar w:left="1440" w:top="270" w:right="539" w:bottom="1440" w:gutter="0" w:footer="0" w:header="0"/>
        </w:sectPr>
      </w:pPr>
    </w:p>
    <w:bookmarkStart w:id="31" w:name="page32"/>
    <w:bookmarkEnd w:id="3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ALTERNATIVE SOLUTIONS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Koffler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Peter Koffler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GP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GROUP MANAGEMENT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Stephen A. Schwarzman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Stephen A. Schwarzman</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[Sema4 Holdings Corp. – Schedule 13D]</w:t>
      </w:r>
    </w:p>
    <w:p>
      <w:pPr>
        <w:sectPr>
          <w:pgSz w:w="11900" w:h="16838" w:orient="portrait"/>
          <w:cols w:equalWidth="0" w:num="1">
            <w:col w:w="9880"/>
          </w:cols>
          <w:pgMar w:left="1440" w:top="270" w:right="5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and Directors of Blackstone Inc.</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name and principal occupation of each director and executive officer of Blackstone Inc. are set forth below. The address for each person listed below is c/o Blackstone Inc., 345 Park Avenue, New York, New York 10154. All executive officers and directors listed are United States citizens other than The Honourable Brian Mulroney, who is a citizen of Canada, and Sir John Antony Hood, who is a citizen of New Zealand.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180" w:type="dxa"/>
            <w:vAlign w:val="bottom"/>
            <w:gridSpan w:val="2"/>
          </w:tcPr>
          <w:p>
            <w:pPr>
              <w:spacing w:after="0"/>
              <w:rPr>
                <w:sz w:val="16"/>
                <w:szCs w:val="16"/>
                <w:color w:val="auto"/>
              </w:rPr>
            </w:pPr>
          </w:p>
        </w:tc>
        <w:tc>
          <w:tcPr>
            <w:tcW w:w="8480" w:type="dxa"/>
            <w:vAlign w:val="bottom"/>
            <w:tcBorders>
              <w:bottom w:val="single" w:sz="8" w:color="auto"/>
            </w:tcBorders>
          </w:tcPr>
          <w:p>
            <w:pPr>
              <w:ind w:left="282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217"/>
        </w:trPr>
        <w:tc>
          <w:tcPr>
            <w:tcW w:w="2540" w:type="dxa"/>
            <w:vAlign w:val="bottom"/>
            <w:gridSpan w:val="3"/>
          </w:tcPr>
          <w:p>
            <w:pPr>
              <w:spacing w:after="0"/>
              <w:rPr>
                <w:sz w:val="20"/>
                <w:szCs w:val="20"/>
                <w:color w:val="auto"/>
              </w:rPr>
            </w:pPr>
            <w:r>
              <w:rPr>
                <w:rFonts w:ascii="Arial" w:cs="Arial" w:eastAsia="Arial" w:hAnsi="Arial"/>
                <w:sz w:val="18"/>
                <w:szCs w:val="18"/>
                <w:color w:val="auto"/>
              </w:rPr>
              <w:t>Stephen A. Schwarzman</w:t>
            </w:r>
          </w:p>
        </w:tc>
        <w:tc>
          <w:tcPr>
            <w:tcW w:w="8480" w:type="dxa"/>
            <w:vAlign w:val="bottom"/>
          </w:tcPr>
          <w:p>
            <w:pPr>
              <w:spacing w:after="0"/>
              <w:rPr>
                <w:sz w:val="20"/>
                <w:szCs w:val="20"/>
                <w:color w:val="auto"/>
              </w:rPr>
            </w:pPr>
            <w:r>
              <w:rPr>
                <w:rFonts w:ascii="Arial" w:cs="Arial" w:eastAsia="Arial" w:hAnsi="Arial"/>
                <w:sz w:val="18"/>
                <w:szCs w:val="18"/>
                <w:color w:val="auto"/>
              </w:rPr>
              <w:t>Founder, Chairman and Chief Executive Officer of Blackstone Inc.</w:t>
            </w:r>
          </w:p>
        </w:tc>
      </w:tr>
      <w:tr>
        <w:trPr>
          <w:trHeight w:val="310"/>
        </w:trPr>
        <w:tc>
          <w:tcPr>
            <w:tcW w:w="2540" w:type="dxa"/>
            <w:vAlign w:val="bottom"/>
            <w:gridSpan w:val="3"/>
          </w:tcPr>
          <w:p>
            <w:pPr>
              <w:spacing w:after="0"/>
              <w:rPr>
                <w:sz w:val="20"/>
                <w:szCs w:val="20"/>
                <w:color w:val="auto"/>
              </w:rPr>
            </w:pPr>
            <w:r>
              <w:rPr>
                <w:rFonts w:ascii="Arial" w:cs="Arial" w:eastAsia="Arial" w:hAnsi="Arial"/>
                <w:sz w:val="18"/>
                <w:szCs w:val="18"/>
                <w:color w:val="auto"/>
              </w:rPr>
              <w:t>Jonathan D. Gray</w:t>
            </w:r>
          </w:p>
        </w:tc>
        <w:tc>
          <w:tcPr>
            <w:tcW w:w="8480" w:type="dxa"/>
            <w:vAlign w:val="bottom"/>
          </w:tcPr>
          <w:p>
            <w:pPr>
              <w:spacing w:after="0"/>
              <w:rPr>
                <w:sz w:val="20"/>
                <w:szCs w:val="20"/>
                <w:color w:val="auto"/>
              </w:rPr>
            </w:pPr>
            <w:r>
              <w:rPr>
                <w:rFonts w:ascii="Arial" w:cs="Arial" w:eastAsia="Arial" w:hAnsi="Arial"/>
                <w:sz w:val="18"/>
                <w:szCs w:val="18"/>
                <w:color w:val="auto"/>
              </w:rPr>
              <w:t>President, Chief Operating Officer of Blackstone Inc.</w:t>
            </w: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Hamilton E. James</w:t>
            </w:r>
          </w:p>
        </w:tc>
        <w:tc>
          <w:tcPr>
            <w:tcW w:w="8480" w:type="dxa"/>
            <w:vAlign w:val="bottom"/>
          </w:tcPr>
          <w:p>
            <w:pPr>
              <w:spacing w:after="0"/>
              <w:rPr>
                <w:sz w:val="20"/>
                <w:szCs w:val="20"/>
                <w:color w:val="auto"/>
              </w:rPr>
            </w:pPr>
            <w:r>
              <w:rPr>
                <w:rFonts w:ascii="Arial" w:cs="Arial" w:eastAsia="Arial" w:hAnsi="Arial"/>
                <w:sz w:val="18"/>
                <w:szCs w:val="18"/>
                <w:color w:val="auto"/>
              </w:rPr>
              <w:t>Executive Vice Chairman of Blackstone Inc.</w:t>
            </w: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Michael S. Chae</w:t>
            </w:r>
          </w:p>
        </w:tc>
        <w:tc>
          <w:tcPr>
            <w:tcW w:w="8480" w:type="dxa"/>
            <w:vAlign w:val="bottom"/>
          </w:tcPr>
          <w:p>
            <w:pPr>
              <w:spacing w:after="0"/>
              <w:rPr>
                <w:sz w:val="20"/>
                <w:szCs w:val="20"/>
                <w:color w:val="auto"/>
              </w:rPr>
            </w:pPr>
            <w:r>
              <w:rPr>
                <w:rFonts w:ascii="Arial" w:cs="Arial" w:eastAsia="Arial" w:hAnsi="Arial"/>
                <w:sz w:val="18"/>
                <w:szCs w:val="18"/>
                <w:color w:val="auto"/>
              </w:rPr>
              <w:t>Chief Financial Officer of Blackstone Inc.</w:t>
            </w: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John G. Finley</w:t>
            </w:r>
          </w:p>
        </w:tc>
        <w:tc>
          <w:tcPr>
            <w:tcW w:w="8480" w:type="dxa"/>
            <w:vAlign w:val="bottom"/>
          </w:tcPr>
          <w:p>
            <w:pPr>
              <w:spacing w:after="0"/>
              <w:rPr>
                <w:sz w:val="20"/>
                <w:szCs w:val="20"/>
                <w:color w:val="auto"/>
              </w:rPr>
            </w:pPr>
            <w:r>
              <w:rPr>
                <w:rFonts w:ascii="Arial" w:cs="Arial" w:eastAsia="Arial" w:hAnsi="Arial"/>
                <w:sz w:val="18"/>
                <w:szCs w:val="18"/>
                <w:color w:val="auto"/>
              </w:rPr>
              <w:t>Chief Legal Officer of Blackstone Inc.</w:t>
            </w:r>
          </w:p>
        </w:tc>
      </w:tr>
      <w:tr>
        <w:trPr>
          <w:trHeight w:val="499"/>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8480" w:type="dxa"/>
            <w:vAlign w:val="bottom"/>
          </w:tcPr>
          <w:p>
            <w:pPr>
              <w:spacing w:after="0"/>
              <w:rPr>
                <w:sz w:val="24"/>
                <w:szCs w:val="24"/>
                <w:color w:val="auto"/>
              </w:rPr>
            </w:pPr>
          </w:p>
        </w:tc>
      </w:tr>
      <w:tr>
        <w:trPr>
          <w:trHeight w:val="432"/>
        </w:trPr>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76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8480" w:type="dxa"/>
            <w:vAlign w:val="bottom"/>
            <w:tcBorders>
              <w:bottom w:val="single" w:sz="8" w:color="auto"/>
            </w:tcBorders>
          </w:tcPr>
          <w:p>
            <w:pPr>
              <w:ind w:left="282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217"/>
        </w:trPr>
        <w:tc>
          <w:tcPr>
            <w:tcW w:w="2540" w:type="dxa"/>
            <w:vAlign w:val="bottom"/>
            <w:gridSpan w:val="3"/>
          </w:tcPr>
          <w:p>
            <w:pPr>
              <w:spacing w:after="0"/>
              <w:rPr>
                <w:sz w:val="20"/>
                <w:szCs w:val="20"/>
                <w:color w:val="auto"/>
              </w:rPr>
            </w:pPr>
            <w:r>
              <w:rPr>
                <w:rFonts w:ascii="Arial" w:cs="Arial" w:eastAsia="Arial" w:hAnsi="Arial"/>
                <w:sz w:val="18"/>
                <w:szCs w:val="18"/>
                <w:color w:val="auto"/>
              </w:rPr>
              <w:t>Stephen A. Schwarzman</w:t>
            </w:r>
          </w:p>
        </w:tc>
        <w:tc>
          <w:tcPr>
            <w:tcW w:w="8480" w:type="dxa"/>
            <w:vAlign w:val="bottom"/>
          </w:tcPr>
          <w:p>
            <w:pPr>
              <w:spacing w:after="0"/>
              <w:rPr>
                <w:sz w:val="20"/>
                <w:szCs w:val="20"/>
                <w:color w:val="auto"/>
              </w:rPr>
            </w:pPr>
            <w:r>
              <w:rPr>
                <w:rFonts w:ascii="Arial" w:cs="Arial" w:eastAsia="Arial" w:hAnsi="Arial"/>
                <w:sz w:val="18"/>
                <w:szCs w:val="18"/>
                <w:color w:val="auto"/>
              </w:rPr>
              <w:t>Founder, Chairman and Chief Executive Officer of Blackstone Inc.</w:t>
            </w:r>
          </w:p>
        </w:tc>
      </w:tr>
      <w:tr>
        <w:trPr>
          <w:trHeight w:val="310"/>
        </w:trPr>
        <w:tc>
          <w:tcPr>
            <w:tcW w:w="2540" w:type="dxa"/>
            <w:vAlign w:val="bottom"/>
            <w:gridSpan w:val="3"/>
          </w:tcPr>
          <w:p>
            <w:pPr>
              <w:spacing w:after="0"/>
              <w:rPr>
                <w:sz w:val="20"/>
                <w:szCs w:val="20"/>
                <w:color w:val="auto"/>
              </w:rPr>
            </w:pPr>
            <w:r>
              <w:rPr>
                <w:rFonts w:ascii="Arial" w:cs="Arial" w:eastAsia="Arial" w:hAnsi="Arial"/>
                <w:sz w:val="18"/>
                <w:szCs w:val="18"/>
                <w:color w:val="auto"/>
              </w:rPr>
              <w:t>Jonathan D. Gray</w:t>
            </w:r>
          </w:p>
        </w:tc>
        <w:tc>
          <w:tcPr>
            <w:tcW w:w="8480" w:type="dxa"/>
            <w:vAlign w:val="bottom"/>
          </w:tcPr>
          <w:p>
            <w:pPr>
              <w:spacing w:after="0"/>
              <w:rPr>
                <w:sz w:val="20"/>
                <w:szCs w:val="20"/>
                <w:color w:val="auto"/>
              </w:rPr>
            </w:pPr>
            <w:r>
              <w:rPr>
                <w:rFonts w:ascii="Arial" w:cs="Arial" w:eastAsia="Arial" w:hAnsi="Arial"/>
                <w:sz w:val="18"/>
                <w:szCs w:val="18"/>
                <w:color w:val="auto"/>
              </w:rPr>
              <w:t>President, Chief Operating Officer of Blackstone Inc.</w:t>
            </w: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Hamilton E. James</w:t>
            </w:r>
          </w:p>
        </w:tc>
        <w:tc>
          <w:tcPr>
            <w:tcW w:w="8480" w:type="dxa"/>
            <w:vAlign w:val="bottom"/>
          </w:tcPr>
          <w:p>
            <w:pPr>
              <w:spacing w:after="0"/>
              <w:rPr>
                <w:sz w:val="20"/>
                <w:szCs w:val="20"/>
                <w:color w:val="auto"/>
              </w:rPr>
            </w:pPr>
            <w:r>
              <w:rPr>
                <w:rFonts w:ascii="Arial" w:cs="Arial" w:eastAsia="Arial" w:hAnsi="Arial"/>
                <w:sz w:val="18"/>
                <w:szCs w:val="18"/>
                <w:color w:val="auto"/>
              </w:rPr>
              <w:t>Executive Vice Chairman of Blackstone Inc.</w:t>
            </w: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Kelly A. Ayotte</w:t>
            </w:r>
          </w:p>
        </w:tc>
        <w:tc>
          <w:tcPr>
            <w:tcW w:w="8480" w:type="dxa"/>
            <w:vAlign w:val="bottom"/>
          </w:tcPr>
          <w:p>
            <w:pPr>
              <w:spacing w:after="0"/>
              <w:rPr>
                <w:sz w:val="20"/>
                <w:szCs w:val="20"/>
                <w:color w:val="auto"/>
              </w:rPr>
            </w:pPr>
            <w:r>
              <w:rPr>
                <w:rFonts w:ascii="Arial" w:cs="Arial" w:eastAsia="Arial" w:hAnsi="Arial"/>
                <w:sz w:val="18"/>
                <w:szCs w:val="18"/>
                <w:color w:val="auto"/>
              </w:rPr>
              <w:t>Former United States Senator from New Hampshire</w:t>
            </w: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Joseph P. Baratta</w:t>
            </w:r>
          </w:p>
        </w:tc>
        <w:tc>
          <w:tcPr>
            <w:tcW w:w="8480" w:type="dxa"/>
            <w:vAlign w:val="bottom"/>
          </w:tcPr>
          <w:p>
            <w:pPr>
              <w:spacing w:after="0"/>
              <w:rPr>
                <w:sz w:val="20"/>
                <w:szCs w:val="20"/>
                <w:color w:val="auto"/>
              </w:rPr>
            </w:pPr>
            <w:r>
              <w:rPr>
                <w:rFonts w:ascii="Arial" w:cs="Arial" w:eastAsia="Arial" w:hAnsi="Arial"/>
                <w:sz w:val="18"/>
                <w:szCs w:val="18"/>
                <w:color w:val="auto"/>
              </w:rPr>
              <w:t>Global Head of Private Equity at Blackstone Inc.</w:t>
            </w: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James W. Breyer</w:t>
            </w:r>
          </w:p>
        </w:tc>
        <w:tc>
          <w:tcPr>
            <w:tcW w:w="8480" w:type="dxa"/>
            <w:vAlign w:val="bottom"/>
          </w:tcPr>
          <w:p>
            <w:pPr>
              <w:spacing w:after="0"/>
              <w:rPr>
                <w:sz w:val="20"/>
                <w:szCs w:val="20"/>
                <w:color w:val="auto"/>
              </w:rPr>
            </w:pPr>
            <w:r>
              <w:rPr>
                <w:rFonts w:ascii="Arial" w:cs="Arial" w:eastAsia="Arial" w:hAnsi="Arial"/>
                <w:sz w:val="18"/>
                <w:szCs w:val="18"/>
                <w:color w:val="auto"/>
              </w:rPr>
              <w:t>Founder and Chief Executive Officer of Breyer Capital</w:t>
            </w: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Reginald J. Brown</w:t>
            </w:r>
          </w:p>
        </w:tc>
        <w:tc>
          <w:tcPr>
            <w:tcW w:w="8480" w:type="dxa"/>
            <w:vAlign w:val="bottom"/>
          </w:tcPr>
          <w:p>
            <w:pPr>
              <w:spacing w:after="0"/>
              <w:rPr>
                <w:sz w:val="20"/>
                <w:szCs w:val="20"/>
                <w:color w:val="auto"/>
              </w:rPr>
            </w:pPr>
            <w:r>
              <w:rPr>
                <w:rFonts w:ascii="Arial" w:cs="Arial" w:eastAsia="Arial" w:hAnsi="Arial"/>
                <w:sz w:val="18"/>
                <w:szCs w:val="18"/>
                <w:color w:val="auto"/>
              </w:rPr>
              <w:t>Partner for the law firm, Kirkland &amp; Ellis</w:t>
            </w: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Sir John Antony Hood</w:t>
            </w:r>
          </w:p>
        </w:tc>
        <w:tc>
          <w:tcPr>
            <w:tcW w:w="8480" w:type="dxa"/>
            <w:vAlign w:val="bottom"/>
          </w:tcPr>
          <w:p>
            <w:pPr>
              <w:spacing w:after="0"/>
              <w:rPr>
                <w:sz w:val="20"/>
                <w:szCs w:val="20"/>
                <w:color w:val="auto"/>
              </w:rPr>
            </w:pPr>
            <w:r>
              <w:rPr>
                <w:rFonts w:ascii="Arial" w:cs="Arial" w:eastAsia="Arial" w:hAnsi="Arial"/>
                <w:sz w:val="18"/>
                <w:szCs w:val="18"/>
                <w:color w:val="auto"/>
                <w:w w:val="93"/>
              </w:rPr>
              <w:t>Former President and Chief Executive Officer of the Robertson Foundation and Former Chair of the Rhodes Trust</w:t>
            </w: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Rochelle B. Lazarus</w:t>
            </w:r>
          </w:p>
        </w:tc>
        <w:tc>
          <w:tcPr>
            <w:tcW w:w="8480" w:type="dxa"/>
            <w:vAlign w:val="bottom"/>
          </w:tcPr>
          <w:p>
            <w:pPr>
              <w:spacing w:after="0"/>
              <w:rPr>
                <w:sz w:val="20"/>
                <w:szCs w:val="20"/>
                <w:color w:val="auto"/>
              </w:rPr>
            </w:pPr>
            <w:r>
              <w:rPr>
                <w:rFonts w:ascii="Arial" w:cs="Arial" w:eastAsia="Arial" w:hAnsi="Arial"/>
                <w:sz w:val="18"/>
                <w:szCs w:val="18"/>
                <w:color w:val="auto"/>
              </w:rPr>
              <w:t>Chairman Emeritus &amp; Former Chief Executive Officer, Ogilvy &amp; Mather Worldwide</w:t>
            </w: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Jay O. Light</w:t>
            </w:r>
          </w:p>
        </w:tc>
        <w:tc>
          <w:tcPr>
            <w:tcW w:w="8480" w:type="dxa"/>
            <w:vAlign w:val="bottom"/>
          </w:tcPr>
          <w:p>
            <w:pPr>
              <w:spacing w:after="0"/>
              <w:rPr>
                <w:sz w:val="20"/>
                <w:szCs w:val="20"/>
                <w:color w:val="auto"/>
              </w:rPr>
            </w:pPr>
            <w:r>
              <w:rPr>
                <w:rFonts w:ascii="Arial" w:cs="Arial" w:eastAsia="Arial" w:hAnsi="Arial"/>
                <w:sz w:val="18"/>
                <w:szCs w:val="18"/>
                <w:color w:val="auto"/>
              </w:rPr>
              <w:t>Dean Emeritus, Harvard Business School</w:t>
            </w:r>
          </w:p>
        </w:tc>
      </w:tr>
    </w:tbl>
    <w:p>
      <w:pPr>
        <w:sectPr>
          <w:pgSz w:w="11900" w:h="16838" w:orient="portrait"/>
          <w:cols w:equalWidth="0" w:num="1">
            <w:col w:w="11020"/>
          </w:cols>
          <w:pgMar w:left="440" w:top="274" w:right="4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The Right Honourable Brian Mulroney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Partner for the Montreal law firm, Norton Rose Fulbright Canada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-269875</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2060" w:space="480"/>
            <w:col w:w="8100"/>
          </w:cols>
          <w:pgMar w:left="440" w:top="382" w:right="819" w:bottom="1440" w:gutter="0" w:footer="0" w:header="0"/>
        </w:sectPr>
      </w:pPr>
    </w:p>
    <w:p>
      <w:pPr>
        <w:spacing w:after="0"/>
        <w:rPr>
          <w:sz w:val="20"/>
          <w:szCs w:val="20"/>
          <w:color w:val="auto"/>
        </w:rPr>
      </w:pPr>
      <w:r>
        <w:rPr>
          <w:rFonts w:ascii="Arial" w:cs="Arial" w:eastAsia="Arial" w:hAnsi="Arial"/>
          <w:sz w:val="16"/>
          <w:szCs w:val="16"/>
          <w:color w:val="auto"/>
        </w:rPr>
        <w:t>William G. Parrett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Retired CEO and Senior Partner, Deloitte (Deloitte Touche Tohmatsu)</w:t>
      </w:r>
    </w:p>
    <w:p>
      <w:pPr>
        <w:spacing w:after="0" w:line="140" w:lineRule="exact"/>
        <w:rPr>
          <w:sz w:val="20"/>
          <w:szCs w:val="20"/>
          <w:color w:val="auto"/>
        </w:rPr>
      </w:pPr>
    </w:p>
    <w:p>
      <w:pPr>
        <w:sectPr>
          <w:pgSz w:w="11900" w:h="16838" w:orient="portrait"/>
          <w:cols w:equalWidth="0" w:num="2">
            <w:col w:w="1820" w:space="720"/>
            <w:col w:w="8100"/>
          </w:cols>
          <w:pgMar w:left="440" w:top="382" w:right="819" w:bottom="1440" w:gutter="0" w:footer="0" w:header="0"/>
          <w:type w:val="continuous"/>
        </w:sectPr>
      </w:pPr>
    </w:p>
    <w:p>
      <w:pPr>
        <w:spacing w:after="0"/>
        <w:rPr>
          <w:sz w:val="20"/>
          <w:szCs w:val="20"/>
          <w:color w:val="auto"/>
        </w:rPr>
      </w:pPr>
      <w:r>
        <w:rPr>
          <w:rFonts w:ascii="Arial" w:cs="Arial" w:eastAsia="Arial" w:hAnsi="Arial"/>
          <w:sz w:val="16"/>
          <w:szCs w:val="16"/>
          <w:color w:val="auto"/>
        </w:rPr>
        <w:t>Ruth Porat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 of Alphabet Inc. and Google Inc.</w:t>
      </w:r>
    </w:p>
    <w:p>
      <w:pPr>
        <w:spacing w:after="0" w:line="200" w:lineRule="exact"/>
        <w:rPr>
          <w:sz w:val="20"/>
          <w:szCs w:val="20"/>
          <w:color w:val="auto"/>
        </w:rPr>
      </w:pPr>
    </w:p>
    <w:p>
      <w:pPr>
        <w:sectPr>
          <w:pgSz w:w="11900" w:h="16838" w:orient="portrait"/>
          <w:cols w:equalWidth="0" w:num="2">
            <w:col w:w="1820" w:space="720"/>
            <w:col w:w="8100"/>
          </w:cols>
          <w:pgMar w:left="440" w:top="382" w:right="819" w:bottom="1440" w:gutter="0" w:footer="0" w:header="0"/>
          <w:type w:val="continuous"/>
        </w:sectPr>
      </w:pP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set forth in this Schedule 13D, to the best knowledge of the Reporting Persons, none of the individuals listed above beneficially owns any shares of Class A Common Stock.</w:t>
      </w:r>
    </w:p>
    <w:p>
      <w:pPr>
        <w:sectPr>
          <w:pgSz w:w="11900" w:h="16838" w:orient="portrait"/>
          <w:cols w:equalWidth="0" w:num="1">
            <w:col w:w="10640"/>
          </w:cols>
          <w:pgMar w:left="440" w:top="382" w:right="81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and in accordance with the Securities Exchange Act of 1934, as amended, and the rules and regulations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Sema4 Holdings Corp., a Delaware corporation,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Dated: August 30,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BTO SEMA4 HOLDINGS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BTO Holdings Manager L.L.C.,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Blackstone Tactical Opportunities Associates L.L.C., its</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managing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BTOA L.L.C., its sole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Blackstone Holdings III L.P., its indirect managing</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Blackstone Holdings III GP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Blackstone Holdings III GP Management L.L.C., its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BTO HOLDINGS MANAGER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Blackstone Tactical Opportunities Associates L.L.C., its</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managing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BTOA L.L.C., its sole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Blackstone Holdings III L.P., its managing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Blackstone Holdings III GP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Blackstone Holdings III GP Management L.L.C., its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Managing Director</w:t>
      </w:r>
    </w:p>
    <w:p>
      <w:pPr>
        <w:sectPr>
          <w:pgSz w:w="11900" w:h="16838" w:orient="portrait"/>
          <w:cols w:equalWidth="0" w:num="1">
            <w:col w:w="11000"/>
          </w:cols>
          <w:pgMar w:left="440" w:top="121" w:right="459" w:bottom="1440" w:gutter="0" w:footer="0" w:header="0"/>
        </w:sectPr>
      </w:pPr>
    </w:p>
    <w:bookmarkStart w:id="35" w:name="page36"/>
    <w:bookmarkEnd w:id="3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TACTICAL OPPORTUNITIES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ASSOCIATES,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BTOA L.L.C., its sole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L.P., its managing member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BTOA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L.P., its managing member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FAMILY TACTICAL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OPPORTUNITIES INVESTMENT PARTNERSHIP III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ESC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Side-by-Side GP L.L.C.,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III L.P., its sole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BTO SIDE-BY-SIDE GP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III L.P., its sole member By: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Blackstone Holdings III GP L.P.,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ectPr>
          <w:pgSz w:w="11900" w:h="16838" w:orient="portrait"/>
          <w:cols w:equalWidth="0" w:num="1">
            <w:col w:w="9920"/>
          </w:cols>
          <w:pgMar w:left="1440" w:top="270" w:right="539" w:bottom="1440" w:gutter="0" w:footer="0" w:header="0"/>
        </w:sectPr>
      </w:pPr>
    </w:p>
    <w:bookmarkStart w:id="36" w:name="page37"/>
    <w:bookmarkEnd w:id="3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HOLDINGS III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GP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GP MANAGEMENT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TACTICAL OPPORTUNITIES FUND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FD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Tactical Opportunities Associates III - NQ</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DE GP - NQ L.L.C.,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 L.P., its managing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TACTICAL OPPORTUNITIES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ASSOCIATES III - NQ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DE GP - NQ L.L.C.,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 L.P., its managing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BTO DE GP - NQ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Blackstone Holdings II L.P., its managing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ectPr>
          <w:pgSz w:w="11900" w:h="16838" w:orient="portrait"/>
          <w:cols w:equalWidth="0" w:num="1">
            <w:col w:w="9920"/>
          </w:cols>
          <w:pgMar w:left="1440" w:top="270" w:right="539" w:bottom="1440" w:gutter="0" w:footer="0" w:header="0"/>
        </w:sectPr>
      </w:pPr>
    </w:p>
    <w:bookmarkStart w:id="37" w:name="page38"/>
    <w:bookmarkEnd w:id="3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HOLDINGS 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GLOBAL MASTER FUND ICAV</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Acting solely on behalf of its sub-fund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AQUA MASTER SUB-FUND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Alternative Solutions L.L.C., its investment</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Koffler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Peter Koffler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ALTERNATIVE SOLUTIONS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Koffler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Peter Koffler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GP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GROUP MANAGEMENT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Stephen A. Schwarzman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Stephen A. Schwarzman</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[Sema4 Holdings Corp. – Joint Filing Agreement]</w:t>
      </w:r>
    </w:p>
    <w:sectPr>
      <w:pgSz w:w="11900" w:h="16838" w:orient="portrait"/>
      <w:cols w:equalWidth="0" w:num="1">
        <w:col w:w="9900"/>
      </w:cols>
      <w:pgMar w:left="1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1"/>
      <w:numFmt w:val="decimal"/>
      <w:start w:val="345"/>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1"/>
      <w:numFmt w:val="bullet"/>
      <w:start w:val="1"/>
    </w:lvl>
  </w:abstractNum>
  <w:abstractNum w:abstractNumId="3">
    <w:nsid w:val="11447B73"/>
    <w:multiLevelType w:val="hybridMultilevel"/>
    <w:lvl w:ilvl="0">
      <w:lvlJc w:val="left"/>
      <w:lvlText w:val="2"/>
      <w:numFmt w:val="bullet"/>
      <w:start w:val="1"/>
    </w:lvl>
  </w:abstractNum>
  <w:abstractNum w:abstractNumId="4">
    <w:nsid w:val="42963E5A"/>
    <w:multiLevelType w:val="hybridMultilevel"/>
    <w:lvl w:ilvl="0">
      <w:lvlJc w:val="left"/>
      <w:lvlText w:val="3"/>
      <w:numFmt w:val="bullet"/>
      <w:start w:val="1"/>
    </w:lvl>
  </w:abstractNum>
  <w:abstractNum w:abstractNumId="5">
    <w:nsid w:val="A0382C5"/>
    <w:multiLevelType w:val="hybridMultilevel"/>
    <w:lvl w:ilvl="0">
      <w:lvlJc w:val="left"/>
      <w:lvlText w:val="4"/>
      <w:numFmt w:val="bullet"/>
      <w:start w:val="1"/>
    </w:lvl>
  </w:abstractNum>
  <w:abstractNum w:abstractNumId="6">
    <w:nsid w:val="8F2B15E"/>
    <w:multiLevelType w:val="hybridMultilevel"/>
    <w:lvl w:ilvl="0">
      <w:lvlJc w:val="left"/>
      <w:lvlText w:val="5"/>
      <w:numFmt w:val="bullet"/>
      <w:start w:val="1"/>
    </w:lvl>
  </w:abstractNum>
  <w:abstractNum w:abstractNumId="7">
    <w:nsid w:val="1A32234B"/>
    <w:multiLevelType w:val="hybridMultilevel"/>
    <w:lvl w:ilvl="0">
      <w:lvlJc w:val="left"/>
      <w:lvlText w:val="6"/>
      <w:numFmt w:val="bullet"/>
      <w:start w:val="1"/>
    </w:lvl>
  </w:abstractNum>
  <w:abstractNum w:abstractNumId="8">
    <w:nsid w:val="3B0FD379"/>
    <w:multiLevelType w:val="hybridMultilevel"/>
    <w:lvl w:ilvl="0">
      <w:lvlJc w:val="left"/>
      <w:lvlText w:val="%1"/>
      <w:numFmt w:val="decimal"/>
      <w:start w:val="11"/>
    </w:lvl>
  </w:abstractNum>
  <w:abstractNum w:abstractNumId="9">
    <w:nsid w:val="68EB2F63"/>
    <w:multiLevelType w:val="hybridMultilevel"/>
    <w:lvl w:ilvl="0">
      <w:lvlJc w:val="left"/>
      <w:lvlText w:val="1"/>
      <w:numFmt w:val="bullet"/>
      <w:start w:val="1"/>
    </w:lvl>
  </w:abstractNum>
  <w:abstractNum w:abstractNumId="10">
    <w:nsid w:val="4962813B"/>
    <w:multiLevelType w:val="hybridMultilevel"/>
    <w:lvl w:ilvl="0">
      <w:lvlJc w:val="left"/>
      <w:lvlText w:val="2"/>
      <w:numFmt w:val="bullet"/>
      <w:start w:val="1"/>
    </w:lvl>
  </w:abstractNum>
  <w:abstractNum w:abstractNumId="11">
    <w:nsid w:val="60B6DF70"/>
    <w:multiLevelType w:val="hybridMultilevel"/>
    <w:lvl w:ilvl="0">
      <w:lvlJc w:val="left"/>
      <w:lvlText w:val="3"/>
      <w:numFmt w:val="bullet"/>
      <w:start w:val="1"/>
    </w:lvl>
  </w:abstractNum>
  <w:abstractNum w:abstractNumId="12">
    <w:nsid w:val="6A5EE64"/>
    <w:multiLevelType w:val="hybridMultilevel"/>
    <w:lvl w:ilvl="0">
      <w:lvlJc w:val="left"/>
      <w:lvlText w:val="4"/>
      <w:numFmt w:val="bullet"/>
      <w:start w:val="1"/>
    </w:lvl>
  </w:abstractNum>
  <w:abstractNum w:abstractNumId="13">
    <w:nsid w:val="14330624"/>
    <w:multiLevelType w:val="hybridMultilevel"/>
    <w:lvl w:ilvl="0">
      <w:lvlJc w:val="left"/>
      <w:lvlText w:val="5"/>
      <w:numFmt w:val="bullet"/>
      <w:start w:val="1"/>
    </w:lvl>
  </w:abstractNum>
  <w:abstractNum w:abstractNumId="14">
    <w:nsid w:val="7FFFCA11"/>
    <w:multiLevelType w:val="hybridMultilevel"/>
    <w:lvl w:ilvl="0">
      <w:lvlJc w:val="left"/>
      <w:lvlText w:val="6"/>
      <w:numFmt w:val="bullet"/>
      <w:start w:val="1"/>
    </w:lvl>
  </w:abstractNum>
  <w:abstractNum w:abstractNumId="15">
    <w:nsid w:val="1A27709E"/>
    <w:multiLevelType w:val="hybridMultilevel"/>
    <w:lvl w:ilvl="0">
      <w:lvlJc w:val="left"/>
      <w:lvlText w:val="%1"/>
      <w:numFmt w:val="decimal"/>
      <w:start w:val="11"/>
    </w:lvl>
  </w:abstractNum>
  <w:abstractNum w:abstractNumId="16">
    <w:nsid w:val="71EA1109"/>
    <w:multiLevelType w:val="hybridMultilevel"/>
    <w:lvl w:ilvl="0">
      <w:lvlJc w:val="left"/>
      <w:lvlText w:val="1"/>
      <w:numFmt w:val="bullet"/>
      <w:start w:val="1"/>
    </w:lvl>
  </w:abstractNum>
  <w:abstractNum w:abstractNumId="17">
    <w:nsid w:val="100F59DC"/>
    <w:multiLevelType w:val="hybridMultilevel"/>
    <w:lvl w:ilvl="0">
      <w:lvlJc w:val="left"/>
      <w:lvlText w:val="2"/>
      <w:numFmt w:val="bullet"/>
      <w:start w:val="1"/>
    </w:lvl>
  </w:abstractNum>
  <w:abstractNum w:abstractNumId="18">
    <w:nsid w:val="7FB7E0AA"/>
    <w:multiLevelType w:val="hybridMultilevel"/>
    <w:lvl w:ilvl="0">
      <w:lvlJc w:val="left"/>
      <w:lvlText w:val="3"/>
      <w:numFmt w:val="bullet"/>
      <w:start w:val="1"/>
    </w:lvl>
  </w:abstractNum>
  <w:abstractNum w:abstractNumId="19">
    <w:nsid w:val="6EB5BD4"/>
    <w:multiLevelType w:val="hybridMultilevel"/>
    <w:lvl w:ilvl="0">
      <w:lvlJc w:val="left"/>
      <w:lvlText w:val="4"/>
      <w:numFmt w:val="bullet"/>
      <w:start w:val="1"/>
    </w:lvl>
  </w:abstractNum>
  <w:abstractNum w:abstractNumId="20">
    <w:nsid w:val="6F6DD9AC"/>
    <w:multiLevelType w:val="hybridMultilevel"/>
    <w:lvl w:ilvl="0">
      <w:lvlJc w:val="left"/>
      <w:lvlText w:val="5"/>
      <w:numFmt w:val="bullet"/>
      <w:start w:val="1"/>
    </w:lvl>
  </w:abstractNum>
  <w:abstractNum w:abstractNumId="21">
    <w:nsid w:val="94211F2"/>
    <w:multiLevelType w:val="hybridMultilevel"/>
    <w:lvl w:ilvl="0">
      <w:lvlJc w:val="left"/>
      <w:lvlText w:val="6"/>
      <w:numFmt w:val="bullet"/>
      <w:start w:val="1"/>
    </w:lvl>
  </w:abstractNum>
  <w:abstractNum w:abstractNumId="22">
    <w:nsid w:val="885E1B"/>
    <w:multiLevelType w:val="hybridMultilevel"/>
    <w:lvl w:ilvl="0">
      <w:lvlJc w:val="left"/>
      <w:lvlText w:val="%1"/>
      <w:numFmt w:val="decimal"/>
      <w:start w:val="11"/>
    </w:lvl>
  </w:abstractNum>
  <w:abstractNum w:abstractNumId="23">
    <w:nsid w:val="76272110"/>
    <w:multiLevelType w:val="hybridMultilevel"/>
    <w:lvl w:ilvl="0">
      <w:lvlJc w:val="left"/>
      <w:lvlText w:val="1"/>
      <w:numFmt w:val="bullet"/>
      <w:start w:val="1"/>
    </w:lvl>
  </w:abstractNum>
  <w:abstractNum w:abstractNumId="24">
    <w:nsid w:val="4C04A8AF"/>
    <w:multiLevelType w:val="hybridMultilevel"/>
    <w:lvl w:ilvl="0">
      <w:lvlJc w:val="left"/>
      <w:lvlText w:val="2"/>
      <w:numFmt w:val="bullet"/>
      <w:start w:val="1"/>
    </w:lvl>
  </w:abstractNum>
  <w:abstractNum w:abstractNumId="25">
    <w:nsid w:val="1716703B"/>
    <w:multiLevelType w:val="hybridMultilevel"/>
    <w:lvl w:ilvl="0">
      <w:lvlJc w:val="left"/>
      <w:lvlText w:val="3"/>
      <w:numFmt w:val="bullet"/>
      <w:start w:val="1"/>
    </w:lvl>
  </w:abstractNum>
  <w:abstractNum w:abstractNumId="26">
    <w:nsid w:val="14E17E33"/>
    <w:multiLevelType w:val="hybridMultilevel"/>
    <w:lvl w:ilvl="0">
      <w:lvlJc w:val="left"/>
      <w:lvlText w:val="4"/>
      <w:numFmt w:val="bullet"/>
      <w:start w:val="1"/>
    </w:lvl>
  </w:abstractNum>
  <w:abstractNum w:abstractNumId="27">
    <w:nsid w:val="3222E7CD"/>
    <w:multiLevelType w:val="hybridMultilevel"/>
    <w:lvl w:ilvl="0">
      <w:lvlJc w:val="left"/>
      <w:lvlText w:val="5"/>
      <w:numFmt w:val="bullet"/>
      <w:start w:val="1"/>
    </w:lvl>
  </w:abstractNum>
  <w:abstractNum w:abstractNumId="28">
    <w:nsid w:val="74DE0EE3"/>
    <w:multiLevelType w:val="hybridMultilevel"/>
    <w:lvl w:ilvl="0">
      <w:lvlJc w:val="left"/>
      <w:lvlText w:val="6"/>
      <w:numFmt w:val="bullet"/>
      <w:start w:val="1"/>
    </w:lvl>
  </w:abstractNum>
  <w:abstractNum w:abstractNumId="29">
    <w:nsid w:val="68EBC550"/>
    <w:multiLevelType w:val="hybridMultilevel"/>
    <w:lvl w:ilvl="0">
      <w:lvlJc w:val="left"/>
      <w:lvlText w:val="%1"/>
      <w:numFmt w:val="decimal"/>
      <w:start w:val="11"/>
    </w:lvl>
  </w:abstractNum>
  <w:abstractNum w:abstractNumId="30">
    <w:nsid w:val="2DF6D648"/>
    <w:multiLevelType w:val="hybridMultilevel"/>
    <w:lvl w:ilvl="0">
      <w:lvlJc w:val="left"/>
      <w:lvlText w:val="1"/>
      <w:numFmt w:val="bullet"/>
      <w:start w:val="1"/>
    </w:lvl>
  </w:abstractNum>
  <w:abstractNum w:abstractNumId="31">
    <w:nsid w:val="46B7D447"/>
    <w:multiLevelType w:val="hybridMultilevel"/>
    <w:lvl w:ilvl="0">
      <w:lvlJc w:val="left"/>
      <w:lvlText w:val="2"/>
      <w:numFmt w:val="bullet"/>
      <w:start w:val="1"/>
    </w:lvl>
  </w:abstractNum>
  <w:abstractNum w:abstractNumId="32">
    <w:nsid w:val="4A2AC315"/>
    <w:multiLevelType w:val="hybridMultilevel"/>
    <w:lvl w:ilvl="0">
      <w:lvlJc w:val="left"/>
      <w:lvlText w:val="3"/>
      <w:numFmt w:val="bullet"/>
      <w:start w:val="1"/>
    </w:lvl>
  </w:abstractNum>
  <w:abstractNum w:abstractNumId="33">
    <w:nsid w:val="39EE015C"/>
    <w:multiLevelType w:val="hybridMultilevel"/>
    <w:lvl w:ilvl="0">
      <w:lvlJc w:val="left"/>
      <w:lvlText w:val="4"/>
      <w:numFmt w:val="bullet"/>
      <w:start w:val="1"/>
    </w:lvl>
  </w:abstractNum>
  <w:abstractNum w:abstractNumId="34">
    <w:nsid w:val="57FC4FBB"/>
    <w:multiLevelType w:val="hybridMultilevel"/>
    <w:lvl w:ilvl="0">
      <w:lvlJc w:val="left"/>
      <w:lvlText w:val="5"/>
      <w:numFmt w:val="bullet"/>
      <w:start w:val="1"/>
    </w:lvl>
  </w:abstractNum>
  <w:abstractNum w:abstractNumId="35">
    <w:nsid w:val="CC1016F"/>
    <w:multiLevelType w:val="hybridMultilevel"/>
    <w:lvl w:ilvl="0">
      <w:lvlJc w:val="left"/>
      <w:lvlText w:val="6"/>
      <w:numFmt w:val="bullet"/>
      <w:start w:val="1"/>
    </w:lvl>
  </w:abstractNum>
  <w:abstractNum w:abstractNumId="36">
    <w:nsid w:val="43F18422"/>
    <w:multiLevelType w:val="hybridMultilevel"/>
    <w:lvl w:ilvl="0">
      <w:lvlJc w:val="left"/>
      <w:lvlText w:val="%1"/>
      <w:numFmt w:val="decimal"/>
      <w:start w:val="11"/>
    </w:lvl>
  </w:abstractNum>
  <w:abstractNum w:abstractNumId="37">
    <w:nsid w:val="60EF0119"/>
    <w:multiLevelType w:val="hybridMultilevel"/>
    <w:lvl w:ilvl="0">
      <w:lvlJc w:val="left"/>
      <w:lvlText w:val="1"/>
      <w:numFmt w:val="bullet"/>
      <w:start w:val="1"/>
    </w:lvl>
  </w:abstractNum>
  <w:abstractNum w:abstractNumId="38">
    <w:nsid w:val="26F324BA"/>
    <w:multiLevelType w:val="hybridMultilevel"/>
    <w:lvl w:ilvl="0">
      <w:lvlJc w:val="left"/>
      <w:lvlText w:val="2"/>
      <w:numFmt w:val="bullet"/>
      <w:start w:val="1"/>
    </w:lvl>
  </w:abstractNum>
  <w:abstractNum w:abstractNumId="39">
    <w:nsid w:val="7F01579B"/>
    <w:multiLevelType w:val="hybridMultilevel"/>
    <w:lvl w:ilvl="0">
      <w:lvlJc w:val="left"/>
      <w:lvlText w:val="3"/>
      <w:numFmt w:val="bullet"/>
      <w:start w:val="1"/>
    </w:lvl>
  </w:abstractNum>
  <w:abstractNum w:abstractNumId="40">
    <w:nsid w:val="49DA307D"/>
    <w:multiLevelType w:val="hybridMultilevel"/>
    <w:lvl w:ilvl="0">
      <w:lvlJc w:val="left"/>
      <w:lvlText w:val="4"/>
      <w:numFmt w:val="bullet"/>
      <w:start w:val="1"/>
    </w:lvl>
  </w:abstractNum>
  <w:abstractNum w:abstractNumId="41">
    <w:nsid w:val="7055A5F5"/>
    <w:multiLevelType w:val="hybridMultilevel"/>
    <w:lvl w:ilvl="0">
      <w:lvlJc w:val="left"/>
      <w:lvlText w:val="5"/>
      <w:numFmt w:val="bullet"/>
      <w:start w:val="1"/>
    </w:lvl>
  </w:abstractNum>
  <w:abstractNum w:abstractNumId="42">
    <w:nsid w:val="5FB8370B"/>
    <w:multiLevelType w:val="hybridMultilevel"/>
    <w:lvl w:ilvl="0">
      <w:lvlJc w:val="left"/>
      <w:lvlText w:val="6"/>
      <w:numFmt w:val="bullet"/>
      <w:start w:val="1"/>
    </w:lvl>
  </w:abstractNum>
  <w:abstractNum w:abstractNumId="43">
    <w:nsid w:val="50801EE1"/>
    <w:multiLevelType w:val="hybridMultilevel"/>
    <w:lvl w:ilvl="0">
      <w:lvlJc w:val="left"/>
      <w:lvlText w:val="%1"/>
      <w:numFmt w:val="decimal"/>
      <w:start w:val="11"/>
    </w:lvl>
  </w:abstractNum>
  <w:abstractNum w:abstractNumId="44">
    <w:nsid w:val="488AC1A"/>
    <w:multiLevelType w:val="hybridMultilevel"/>
    <w:lvl w:ilvl="0">
      <w:lvlJc w:val="left"/>
      <w:lvlText w:val="1"/>
      <w:numFmt w:val="bullet"/>
      <w:start w:val="1"/>
    </w:lvl>
  </w:abstractNum>
  <w:abstractNum w:abstractNumId="45">
    <w:nsid w:val="5FB8011C"/>
    <w:multiLevelType w:val="hybridMultilevel"/>
    <w:lvl w:ilvl="0">
      <w:lvlJc w:val="left"/>
      <w:lvlText w:val="2"/>
      <w:numFmt w:val="bullet"/>
      <w:start w:val="1"/>
    </w:lvl>
  </w:abstractNum>
  <w:abstractNum w:abstractNumId="46">
    <w:nsid w:val="6AA78F7F"/>
    <w:multiLevelType w:val="hybridMultilevel"/>
    <w:lvl w:ilvl="0">
      <w:lvlJc w:val="left"/>
      <w:lvlText w:val="3"/>
      <w:numFmt w:val="bullet"/>
      <w:start w:val="1"/>
    </w:lvl>
  </w:abstractNum>
  <w:abstractNum w:abstractNumId="47">
    <w:nsid w:val="7672BD23"/>
    <w:multiLevelType w:val="hybridMultilevel"/>
    <w:lvl w:ilvl="0">
      <w:lvlJc w:val="left"/>
      <w:lvlText w:val="4"/>
      <w:numFmt w:val="bullet"/>
      <w:start w:val="1"/>
    </w:lvl>
  </w:abstractNum>
  <w:abstractNum w:abstractNumId="48">
    <w:nsid w:val="6FC75AF8"/>
    <w:multiLevelType w:val="hybridMultilevel"/>
    <w:lvl w:ilvl="0">
      <w:lvlJc w:val="left"/>
      <w:lvlText w:val="5"/>
      <w:numFmt w:val="bullet"/>
      <w:start w:val="1"/>
    </w:lvl>
  </w:abstractNum>
  <w:abstractNum w:abstractNumId="49">
    <w:nsid w:val="6A5F7029"/>
    <w:multiLevelType w:val="hybridMultilevel"/>
    <w:lvl w:ilvl="0">
      <w:lvlJc w:val="left"/>
      <w:lvlText w:val="6"/>
      <w:numFmt w:val="bullet"/>
      <w:start w:val="1"/>
    </w:lvl>
  </w:abstractNum>
  <w:abstractNum w:abstractNumId="50">
    <w:nsid w:val="7D5E18F8"/>
    <w:multiLevelType w:val="hybridMultilevel"/>
    <w:lvl w:ilvl="0">
      <w:lvlJc w:val="left"/>
      <w:lvlText w:val="%1"/>
      <w:numFmt w:val="decimal"/>
      <w:start w:val="11"/>
    </w:lvl>
  </w:abstractNum>
  <w:abstractNum w:abstractNumId="51">
    <w:nsid w:val="5F3534A4"/>
    <w:multiLevelType w:val="hybridMultilevel"/>
    <w:lvl w:ilvl="0">
      <w:lvlJc w:val="left"/>
      <w:lvlText w:val="1"/>
      <w:numFmt w:val="bullet"/>
      <w:start w:val="1"/>
    </w:lvl>
  </w:abstractNum>
  <w:abstractNum w:abstractNumId="52">
    <w:nsid w:val="73A1821B"/>
    <w:multiLevelType w:val="hybridMultilevel"/>
    <w:lvl w:ilvl="0">
      <w:lvlJc w:val="left"/>
      <w:lvlText w:val="2"/>
      <w:numFmt w:val="bullet"/>
      <w:start w:val="1"/>
    </w:lvl>
  </w:abstractNum>
  <w:abstractNum w:abstractNumId="53">
    <w:nsid w:val="7DE67713"/>
    <w:multiLevelType w:val="hybridMultilevel"/>
    <w:lvl w:ilvl="0">
      <w:lvlJc w:val="left"/>
      <w:lvlText w:val="3"/>
      <w:numFmt w:val="bullet"/>
      <w:start w:val="1"/>
    </w:lvl>
  </w:abstractNum>
  <w:abstractNum w:abstractNumId="54">
    <w:nsid w:val="555C55B5"/>
    <w:multiLevelType w:val="hybridMultilevel"/>
    <w:lvl w:ilvl="0">
      <w:lvlJc w:val="left"/>
      <w:lvlText w:val="4"/>
      <w:numFmt w:val="bullet"/>
      <w:start w:val="1"/>
    </w:lvl>
  </w:abstractNum>
  <w:abstractNum w:abstractNumId="55">
    <w:nsid w:val="3FA62ACA"/>
    <w:multiLevelType w:val="hybridMultilevel"/>
    <w:lvl w:ilvl="0">
      <w:lvlJc w:val="left"/>
      <w:lvlText w:val="5"/>
      <w:numFmt w:val="bullet"/>
      <w:start w:val="1"/>
    </w:lvl>
  </w:abstractNum>
  <w:abstractNum w:abstractNumId="56">
    <w:nsid w:val="14FCE74E"/>
    <w:multiLevelType w:val="hybridMultilevel"/>
    <w:lvl w:ilvl="0">
      <w:lvlJc w:val="left"/>
      <w:lvlText w:val="6"/>
      <w:numFmt w:val="bullet"/>
      <w:start w:val="1"/>
    </w:lvl>
  </w:abstractNum>
  <w:abstractNum w:abstractNumId="57">
    <w:nsid w:val="6A3DD3E8"/>
    <w:multiLevelType w:val="hybridMultilevel"/>
    <w:lvl w:ilvl="0">
      <w:lvlJc w:val="left"/>
      <w:lvlText w:val="%1"/>
      <w:numFmt w:val="decimal"/>
      <w:start w:val="11"/>
    </w:lvl>
  </w:abstractNum>
  <w:abstractNum w:abstractNumId="58">
    <w:nsid w:val="71C91298"/>
    <w:multiLevelType w:val="hybridMultilevel"/>
    <w:lvl w:ilvl="0">
      <w:lvlJc w:val="left"/>
      <w:lvlText w:val="1"/>
      <w:numFmt w:val="bullet"/>
      <w:start w:val="1"/>
    </w:lvl>
  </w:abstractNum>
  <w:abstractNum w:abstractNumId="59">
    <w:nsid w:val="9DAF632"/>
    <w:multiLevelType w:val="hybridMultilevel"/>
    <w:lvl w:ilvl="0">
      <w:lvlJc w:val="left"/>
      <w:lvlText w:val="2"/>
      <w:numFmt w:val="bullet"/>
      <w:start w:val="1"/>
    </w:lvl>
  </w:abstractNum>
  <w:abstractNum w:abstractNumId="60">
    <w:nsid w:val="53299938"/>
    <w:multiLevelType w:val="hybridMultilevel"/>
    <w:lvl w:ilvl="0">
      <w:lvlJc w:val="left"/>
      <w:lvlText w:val="3"/>
      <w:numFmt w:val="bullet"/>
      <w:start w:val="1"/>
    </w:lvl>
  </w:abstractNum>
  <w:abstractNum w:abstractNumId="61">
    <w:nsid w:val="1FBFE8E0"/>
    <w:multiLevelType w:val="hybridMultilevel"/>
    <w:lvl w:ilvl="0">
      <w:lvlJc w:val="left"/>
      <w:lvlText w:val="4"/>
      <w:numFmt w:val="bullet"/>
      <w:start w:val="1"/>
    </w:lvl>
  </w:abstractNum>
  <w:abstractNum w:abstractNumId="62">
    <w:nsid w:val="5092CA79"/>
    <w:multiLevelType w:val="hybridMultilevel"/>
    <w:lvl w:ilvl="0">
      <w:lvlJc w:val="left"/>
      <w:lvlText w:val="5"/>
      <w:numFmt w:val="bullet"/>
      <w:start w:val="1"/>
    </w:lvl>
  </w:abstractNum>
  <w:abstractNum w:abstractNumId="63">
    <w:nsid w:val="1D545C4D"/>
    <w:multiLevelType w:val="hybridMultilevel"/>
    <w:lvl w:ilvl="0">
      <w:lvlJc w:val="left"/>
      <w:lvlText w:val="6"/>
      <w:numFmt w:val="bullet"/>
      <w:start w:val="1"/>
    </w:lvl>
  </w:abstractNum>
  <w:abstractNum w:abstractNumId="64">
    <w:nsid w:val="59ADEA3D"/>
    <w:multiLevelType w:val="hybridMultilevel"/>
    <w:lvl w:ilvl="0">
      <w:lvlJc w:val="left"/>
      <w:lvlText w:val="%1"/>
      <w:numFmt w:val="decimal"/>
      <w:start w:val="11"/>
    </w:lvl>
  </w:abstractNum>
  <w:abstractNum w:abstractNumId="65">
    <w:nsid w:val="288F1A34"/>
    <w:multiLevelType w:val="hybridMultilevel"/>
    <w:lvl w:ilvl="0">
      <w:lvlJc w:val="left"/>
      <w:lvlText w:val="1"/>
      <w:numFmt w:val="bullet"/>
      <w:start w:val="1"/>
    </w:lvl>
  </w:abstractNum>
  <w:abstractNum w:abstractNumId="66">
    <w:nsid w:val="2A155DBC"/>
    <w:multiLevelType w:val="hybridMultilevel"/>
    <w:lvl w:ilvl="0">
      <w:lvlJc w:val="left"/>
      <w:lvlText w:val="2"/>
      <w:numFmt w:val="bullet"/>
      <w:start w:val="1"/>
    </w:lvl>
  </w:abstractNum>
  <w:abstractNum w:abstractNumId="67">
    <w:nsid w:val="1D9F6E5F"/>
    <w:multiLevelType w:val="hybridMultilevel"/>
    <w:lvl w:ilvl="0">
      <w:lvlJc w:val="left"/>
      <w:lvlText w:val="3"/>
      <w:numFmt w:val="bullet"/>
      <w:start w:val="1"/>
    </w:lvl>
  </w:abstractNum>
  <w:abstractNum w:abstractNumId="68">
    <w:nsid w:val="97E1B4E"/>
    <w:multiLevelType w:val="hybridMultilevel"/>
    <w:lvl w:ilvl="0">
      <w:lvlJc w:val="left"/>
      <w:lvlText w:val="4"/>
      <w:numFmt w:val="bullet"/>
      <w:start w:val="1"/>
    </w:lvl>
  </w:abstractNum>
  <w:abstractNum w:abstractNumId="69">
    <w:nsid w:val="51088277"/>
    <w:multiLevelType w:val="hybridMultilevel"/>
    <w:lvl w:ilvl="0">
      <w:lvlJc w:val="left"/>
      <w:lvlText w:val="5"/>
      <w:numFmt w:val="bullet"/>
      <w:start w:val="1"/>
    </w:lvl>
  </w:abstractNum>
  <w:abstractNum w:abstractNumId="70">
    <w:nsid w:val="1CA0C5FA"/>
    <w:multiLevelType w:val="hybridMultilevel"/>
    <w:lvl w:ilvl="0">
      <w:lvlJc w:val="left"/>
      <w:lvlText w:val="6"/>
      <w:numFmt w:val="bullet"/>
      <w:start w:val="1"/>
    </w:lvl>
  </w:abstractNum>
  <w:abstractNum w:abstractNumId="71">
    <w:nsid w:val="53584BCB"/>
    <w:multiLevelType w:val="hybridMultilevel"/>
    <w:lvl w:ilvl="0">
      <w:lvlJc w:val="left"/>
      <w:lvlText w:val="%1"/>
      <w:numFmt w:val="decimal"/>
      <w:start w:val="11"/>
    </w:lvl>
  </w:abstractNum>
  <w:abstractNum w:abstractNumId="72">
    <w:nsid w:val="415E286C"/>
    <w:multiLevelType w:val="hybridMultilevel"/>
    <w:lvl w:ilvl="0">
      <w:lvlJc w:val="left"/>
      <w:lvlText w:val="1"/>
      <w:numFmt w:val="bullet"/>
      <w:start w:val="1"/>
    </w:lvl>
  </w:abstractNum>
  <w:abstractNum w:abstractNumId="73">
    <w:nsid w:val="7C58FD05"/>
    <w:multiLevelType w:val="hybridMultilevel"/>
    <w:lvl w:ilvl="0">
      <w:lvlJc w:val="left"/>
      <w:lvlText w:val="2"/>
      <w:numFmt w:val="bullet"/>
      <w:start w:val="1"/>
    </w:lvl>
  </w:abstractNum>
  <w:abstractNum w:abstractNumId="74">
    <w:nsid w:val="23D86AAC"/>
    <w:multiLevelType w:val="hybridMultilevel"/>
    <w:lvl w:ilvl="0">
      <w:lvlJc w:val="left"/>
      <w:lvlText w:val="3"/>
      <w:numFmt w:val="bullet"/>
      <w:start w:val="1"/>
    </w:lvl>
  </w:abstractNum>
  <w:abstractNum w:abstractNumId="75">
    <w:nsid w:val="45E6D486"/>
    <w:multiLevelType w:val="hybridMultilevel"/>
    <w:lvl w:ilvl="0">
      <w:lvlJc w:val="left"/>
      <w:lvlText w:val="4"/>
      <w:numFmt w:val="bullet"/>
      <w:start w:val="1"/>
    </w:lvl>
  </w:abstractNum>
  <w:abstractNum w:abstractNumId="76">
    <w:nsid w:val="5C10FE21"/>
    <w:multiLevelType w:val="hybridMultilevel"/>
    <w:lvl w:ilvl="0">
      <w:lvlJc w:val="left"/>
      <w:lvlText w:val="5"/>
      <w:numFmt w:val="bullet"/>
      <w:start w:val="1"/>
    </w:lvl>
  </w:abstractNum>
  <w:abstractNum w:abstractNumId="77">
    <w:nsid w:val="E7FFA2B"/>
    <w:multiLevelType w:val="hybridMultilevel"/>
    <w:lvl w:ilvl="0">
      <w:lvlJc w:val="left"/>
      <w:lvlText w:val="6"/>
      <w:numFmt w:val="bullet"/>
      <w:start w:val="1"/>
    </w:lvl>
  </w:abstractNum>
  <w:abstractNum w:abstractNumId="78">
    <w:nsid w:val="3C5991AA"/>
    <w:multiLevelType w:val="hybridMultilevel"/>
    <w:lvl w:ilvl="0">
      <w:lvlJc w:val="left"/>
      <w:lvlText w:val="%1"/>
      <w:numFmt w:val="decimal"/>
      <w:start w:val="11"/>
    </w:lvl>
  </w:abstractNum>
  <w:abstractNum w:abstractNumId="79">
    <w:nsid w:val="4BD8591A"/>
    <w:multiLevelType w:val="hybridMultilevel"/>
    <w:lvl w:ilvl="0">
      <w:lvlJc w:val="left"/>
      <w:lvlText w:val="1"/>
      <w:numFmt w:val="bullet"/>
      <w:start w:val="1"/>
    </w:lvl>
  </w:abstractNum>
  <w:abstractNum w:abstractNumId="80">
    <w:nsid w:val="78DF6A55"/>
    <w:multiLevelType w:val="hybridMultilevel"/>
    <w:lvl w:ilvl="0">
      <w:lvlJc w:val="left"/>
      <w:lvlText w:val="2"/>
      <w:numFmt w:val="bullet"/>
      <w:start w:val="1"/>
    </w:lvl>
  </w:abstractNum>
  <w:abstractNum w:abstractNumId="81">
    <w:nsid w:val="39B7AAA2"/>
    <w:multiLevelType w:val="hybridMultilevel"/>
    <w:lvl w:ilvl="0">
      <w:lvlJc w:val="left"/>
      <w:lvlText w:val="3"/>
      <w:numFmt w:val="bullet"/>
      <w:start w:val="1"/>
    </w:lvl>
  </w:abstractNum>
  <w:abstractNum w:abstractNumId="82">
    <w:nsid w:val="2B0D8DBE"/>
    <w:multiLevelType w:val="hybridMultilevel"/>
    <w:lvl w:ilvl="0">
      <w:lvlJc w:val="left"/>
      <w:lvlText w:val="4"/>
      <w:numFmt w:val="bullet"/>
      <w:start w:val="1"/>
    </w:lvl>
  </w:abstractNum>
  <w:abstractNum w:abstractNumId="83">
    <w:nsid w:val="6C80EC70"/>
    <w:multiLevelType w:val="hybridMultilevel"/>
    <w:lvl w:ilvl="0">
      <w:lvlJc w:val="left"/>
      <w:lvlText w:val="5"/>
      <w:numFmt w:val="bullet"/>
      <w:start w:val="1"/>
    </w:lvl>
  </w:abstractNum>
  <w:abstractNum w:abstractNumId="84">
    <w:nsid w:val="379E21B5"/>
    <w:multiLevelType w:val="hybridMultilevel"/>
    <w:lvl w:ilvl="0">
      <w:lvlJc w:val="left"/>
      <w:lvlText w:val="6"/>
      <w:numFmt w:val="bullet"/>
      <w:start w:val="1"/>
    </w:lvl>
  </w:abstractNum>
  <w:abstractNum w:abstractNumId="85">
    <w:nsid w:val="69E373"/>
    <w:multiLevelType w:val="hybridMultilevel"/>
    <w:lvl w:ilvl="0">
      <w:lvlJc w:val="left"/>
      <w:lvlText w:val="%1"/>
      <w:numFmt w:val="decimal"/>
      <w:start w:val="11"/>
    </w:lvl>
  </w:abstractNum>
  <w:abstractNum w:abstractNumId="86">
    <w:nsid w:val="2C27173B"/>
    <w:multiLevelType w:val="hybridMultilevel"/>
    <w:lvl w:ilvl="0">
      <w:lvlJc w:val="left"/>
      <w:lvlText w:val="1"/>
      <w:numFmt w:val="bullet"/>
      <w:start w:val="1"/>
    </w:lvl>
  </w:abstractNum>
  <w:abstractNum w:abstractNumId="87">
    <w:nsid w:val="4C9B0904"/>
    <w:multiLevelType w:val="hybridMultilevel"/>
    <w:lvl w:ilvl="0">
      <w:lvlJc w:val="left"/>
      <w:lvlText w:val="2"/>
      <w:numFmt w:val="bullet"/>
      <w:start w:val="1"/>
    </w:lvl>
  </w:abstractNum>
  <w:abstractNum w:abstractNumId="88">
    <w:nsid w:val="6AA7B75C"/>
    <w:multiLevelType w:val="hybridMultilevel"/>
    <w:lvl w:ilvl="0">
      <w:lvlJc w:val="left"/>
      <w:lvlText w:val="3"/>
      <w:numFmt w:val="bullet"/>
      <w:start w:val="1"/>
    </w:lvl>
  </w:abstractNum>
  <w:abstractNum w:abstractNumId="89">
    <w:nsid w:val="1DF029D3"/>
    <w:multiLevelType w:val="hybridMultilevel"/>
    <w:lvl w:ilvl="0">
      <w:lvlJc w:val="left"/>
      <w:lvlText w:val="4"/>
      <w:numFmt w:val="bullet"/>
      <w:start w:val="1"/>
    </w:lvl>
  </w:abstractNum>
  <w:abstractNum w:abstractNumId="90">
    <w:nsid w:val="5675FF36"/>
    <w:multiLevelType w:val="hybridMultilevel"/>
    <w:lvl w:ilvl="0">
      <w:lvlJc w:val="left"/>
      <w:lvlText w:val="5"/>
      <w:numFmt w:val="bullet"/>
      <w:start w:val="1"/>
    </w:lvl>
  </w:abstractNum>
  <w:abstractNum w:abstractNumId="91">
    <w:nsid w:val="3DD15094"/>
    <w:multiLevelType w:val="hybridMultilevel"/>
    <w:lvl w:ilvl="0">
      <w:lvlJc w:val="left"/>
      <w:lvlText w:val="6"/>
      <w:numFmt w:val="bullet"/>
      <w:start w:val="1"/>
    </w:lvl>
  </w:abstractNum>
  <w:abstractNum w:abstractNumId="92">
    <w:nsid w:val="3DB012B3"/>
    <w:multiLevelType w:val="hybridMultilevel"/>
    <w:lvl w:ilvl="0">
      <w:lvlJc w:val="left"/>
      <w:lvlText w:val="%1"/>
      <w:numFmt w:val="decimal"/>
      <w:start w:val="11"/>
    </w:lvl>
  </w:abstractNum>
  <w:abstractNum w:abstractNumId="93">
    <w:nsid w:val="2708C9AF"/>
    <w:multiLevelType w:val="hybridMultilevel"/>
    <w:lvl w:ilvl="0">
      <w:lvlJc w:val="left"/>
      <w:lvlText w:val="1"/>
      <w:numFmt w:val="bullet"/>
      <w:start w:val="1"/>
    </w:lvl>
  </w:abstractNum>
  <w:abstractNum w:abstractNumId="94">
    <w:nsid w:val="5B25ACE2"/>
    <w:multiLevelType w:val="hybridMultilevel"/>
    <w:lvl w:ilvl="0">
      <w:lvlJc w:val="left"/>
      <w:lvlText w:val="2"/>
      <w:numFmt w:val="bullet"/>
      <w:start w:val="1"/>
    </w:lvl>
  </w:abstractNum>
  <w:abstractNum w:abstractNumId="95">
    <w:nsid w:val="175DFCF0"/>
    <w:multiLevelType w:val="hybridMultilevel"/>
    <w:lvl w:ilvl="0">
      <w:lvlJc w:val="left"/>
      <w:lvlText w:val="3"/>
      <w:numFmt w:val="bullet"/>
      <w:start w:val="1"/>
    </w:lvl>
  </w:abstractNum>
  <w:abstractNum w:abstractNumId="96">
    <w:nsid w:val="4F97E3E4"/>
    <w:multiLevelType w:val="hybridMultilevel"/>
    <w:lvl w:ilvl="0">
      <w:lvlJc w:val="left"/>
      <w:lvlText w:val="4"/>
      <w:numFmt w:val="bullet"/>
      <w:start w:val="1"/>
    </w:lvl>
  </w:abstractNum>
  <w:abstractNum w:abstractNumId="97">
    <w:nsid w:val="53B0A9E"/>
    <w:multiLevelType w:val="hybridMultilevel"/>
    <w:lvl w:ilvl="0">
      <w:lvlJc w:val="left"/>
      <w:lvlText w:val="5"/>
      <w:numFmt w:val="bullet"/>
      <w:start w:val="1"/>
    </w:lvl>
  </w:abstractNum>
  <w:abstractNum w:abstractNumId="98">
    <w:nsid w:val="34FD6B4F"/>
    <w:multiLevelType w:val="hybridMultilevel"/>
    <w:lvl w:ilvl="0">
      <w:lvlJc w:val="left"/>
      <w:lvlText w:val="6"/>
      <w:numFmt w:val="bullet"/>
      <w:start w:val="1"/>
    </w:lvl>
  </w:abstractNum>
  <w:abstractNum w:abstractNumId="99">
    <w:nsid w:val="5915FF32"/>
    <w:multiLevelType w:val="hybridMultilevel"/>
    <w:lvl w:ilvl="0">
      <w:lvlJc w:val="left"/>
      <w:lvlText w:val="%1"/>
      <w:numFmt w:val="decimal"/>
      <w:start w:val="11"/>
    </w:lvl>
  </w:abstractNum>
  <w:abstractNum w:abstractNumId="100">
    <w:nsid w:val="56438D15"/>
    <w:multiLevelType w:val="hybridMultilevel"/>
    <w:lvl w:ilvl="0">
      <w:lvlJc w:val="left"/>
      <w:lvlText w:val="1"/>
      <w:numFmt w:val="bullet"/>
      <w:start w:val="1"/>
    </w:lvl>
  </w:abstractNum>
  <w:abstractNum w:abstractNumId="101">
    <w:nsid w:val="519E3149"/>
    <w:multiLevelType w:val="hybridMultilevel"/>
    <w:lvl w:ilvl="0">
      <w:lvlJc w:val="left"/>
      <w:lvlText w:val="2"/>
      <w:numFmt w:val="bullet"/>
      <w:start w:val="1"/>
    </w:lvl>
  </w:abstractNum>
  <w:abstractNum w:abstractNumId="102">
    <w:nsid w:val="2C6E4AFD"/>
    <w:multiLevelType w:val="hybridMultilevel"/>
    <w:lvl w:ilvl="0">
      <w:lvlJc w:val="left"/>
      <w:lvlText w:val="3"/>
      <w:numFmt w:val="bullet"/>
      <w:start w:val="1"/>
    </w:lvl>
  </w:abstractNum>
  <w:abstractNum w:abstractNumId="103">
    <w:nsid w:val="17A1B582"/>
    <w:multiLevelType w:val="hybridMultilevel"/>
    <w:lvl w:ilvl="0">
      <w:lvlJc w:val="left"/>
      <w:lvlText w:val="4"/>
      <w:numFmt w:val="bullet"/>
      <w:start w:val="1"/>
    </w:lvl>
  </w:abstractNum>
  <w:abstractNum w:abstractNumId="104">
    <w:nsid w:val="4DF72E4E"/>
    <w:multiLevelType w:val="hybridMultilevel"/>
    <w:lvl w:ilvl="0">
      <w:lvlJc w:val="left"/>
      <w:lvlText w:val="5"/>
      <w:numFmt w:val="bullet"/>
      <w:start w:val="1"/>
    </w:lvl>
  </w:abstractNum>
  <w:abstractNum w:abstractNumId="105">
    <w:nsid w:val="5046B5A9"/>
    <w:multiLevelType w:val="hybridMultilevel"/>
    <w:lvl w:ilvl="0">
      <w:lvlJc w:val="left"/>
      <w:lvlText w:val="6"/>
      <w:numFmt w:val="bullet"/>
      <w:start w:val="1"/>
    </w:lvl>
  </w:abstractNum>
  <w:abstractNum w:abstractNumId="106">
    <w:nsid w:val="5D888A08"/>
    <w:multiLevelType w:val="hybridMultilevel"/>
    <w:lvl w:ilvl="0">
      <w:lvlJc w:val="left"/>
      <w:lvlText w:val="%1"/>
      <w:numFmt w:val="decimal"/>
      <w:start w:val="11"/>
    </w:lvl>
  </w:abstractNum>
  <w:abstractNum w:abstractNumId="107">
    <w:nsid w:val="2A082C70"/>
    <w:multiLevelType w:val="hybridMultilevel"/>
    <w:lvl w:ilvl="0">
      <w:lvlJc w:val="left"/>
      <w:lvlText w:val="1"/>
      <w:numFmt w:val="bullet"/>
      <w:start w:val="1"/>
    </w:lvl>
  </w:abstractNum>
  <w:abstractNum w:abstractNumId="108">
    <w:nsid w:val="5EC6AFD4"/>
    <w:multiLevelType w:val="hybridMultilevel"/>
    <w:lvl w:ilvl="0">
      <w:lvlJc w:val="left"/>
      <w:lvlText w:val="2"/>
      <w:numFmt w:val="bullet"/>
      <w:start w:val="1"/>
    </w:lvl>
  </w:abstractNum>
  <w:abstractNum w:abstractNumId="109">
    <w:nsid w:val="19E21BB2"/>
    <w:multiLevelType w:val="hybridMultilevel"/>
    <w:lvl w:ilvl="0">
      <w:lvlJc w:val="left"/>
      <w:lvlText w:val="3"/>
      <w:numFmt w:val="bullet"/>
      <w:start w:val="1"/>
    </w:lvl>
  </w:abstractNum>
  <w:abstractNum w:abstractNumId="110">
    <w:nsid w:val="75E0858A"/>
    <w:multiLevelType w:val="hybridMultilevel"/>
    <w:lvl w:ilvl="0">
      <w:lvlJc w:val="left"/>
      <w:lvlText w:val="4"/>
      <w:numFmt w:val="bullet"/>
      <w:start w:val="1"/>
    </w:lvl>
  </w:abstractNum>
  <w:abstractNum w:abstractNumId="111">
    <w:nsid w:val="57A61A29"/>
    <w:multiLevelType w:val="hybridMultilevel"/>
    <w:lvl w:ilvl="0">
      <w:lvlJc w:val="left"/>
      <w:lvlText w:val="5"/>
      <w:numFmt w:val="bullet"/>
      <w:start w:val="1"/>
    </w:lvl>
  </w:abstractNum>
  <w:abstractNum w:abstractNumId="112">
    <w:nsid w:val="5399C654"/>
    <w:multiLevelType w:val="hybridMultilevel"/>
    <w:lvl w:ilvl="0">
      <w:lvlJc w:val="left"/>
      <w:lvlText w:val="6"/>
      <w:numFmt w:val="bullet"/>
      <w:start w:val="1"/>
    </w:lvl>
  </w:abstractNum>
  <w:abstractNum w:abstractNumId="113">
    <w:nsid w:val="20EE1348"/>
    <w:multiLevelType w:val="hybridMultilevel"/>
    <w:lvl w:ilvl="0">
      <w:lvlJc w:val="left"/>
      <w:lvlText w:val="%1"/>
      <w:numFmt w:val="decimal"/>
      <w:start w:val="11"/>
    </w:lvl>
  </w:abstractNum>
  <w:abstractNum w:abstractNumId="114">
    <w:nsid w:val="4427069A"/>
    <w:multiLevelType w:val="hybridMultilevel"/>
    <w:lvl w:ilvl="0">
      <w:lvlJc w:val="left"/>
      <w:lvlText w:val="1"/>
      <w:numFmt w:val="bullet"/>
      <w:start w:val="1"/>
    </w:lvl>
  </w:abstractNum>
  <w:abstractNum w:abstractNumId="115">
    <w:nsid w:val="B37E80A"/>
    <w:multiLevelType w:val="hybridMultilevel"/>
    <w:lvl w:ilvl="0">
      <w:lvlJc w:val="left"/>
      <w:lvlText w:val="2"/>
      <w:numFmt w:val="bullet"/>
      <w:start w:val="1"/>
    </w:lvl>
  </w:abstractNum>
  <w:abstractNum w:abstractNumId="116">
    <w:nsid w:val="2157F6BC"/>
    <w:multiLevelType w:val="hybridMultilevel"/>
    <w:lvl w:ilvl="0">
      <w:lvlJc w:val="left"/>
      <w:lvlText w:val="3"/>
      <w:numFmt w:val="bullet"/>
      <w:start w:val="1"/>
    </w:lvl>
  </w:abstractNum>
  <w:abstractNum w:abstractNumId="117">
    <w:nsid w:val="704E1DD5"/>
    <w:multiLevelType w:val="hybridMultilevel"/>
    <w:lvl w:ilvl="0">
      <w:lvlJc w:val="left"/>
      <w:lvlText w:val="4"/>
      <w:numFmt w:val="bullet"/>
      <w:start w:val="1"/>
    </w:lvl>
  </w:abstractNum>
  <w:abstractNum w:abstractNumId="118">
    <w:nsid w:val="57D2F10E"/>
    <w:multiLevelType w:val="hybridMultilevel"/>
    <w:lvl w:ilvl="0">
      <w:lvlJc w:val="left"/>
      <w:lvlText w:val="5"/>
      <w:numFmt w:val="bullet"/>
      <w:start w:val="1"/>
    </w:lvl>
  </w:abstractNum>
  <w:abstractNum w:abstractNumId="119">
    <w:nsid w:val="BFFAE18"/>
    <w:multiLevelType w:val="hybridMultilevel"/>
    <w:lvl w:ilvl="0">
      <w:lvlJc w:val="left"/>
      <w:lvlText w:val="6"/>
      <w:numFmt w:val="bullet"/>
      <w:start w:val="1"/>
    </w:lvl>
  </w:abstractNum>
  <w:abstractNum w:abstractNumId="120">
    <w:nsid w:val="E3E47A8"/>
    <w:multiLevelType w:val="hybridMultilevel"/>
    <w:lvl w:ilvl="0">
      <w:lvlJc w:val="left"/>
      <w:lvlText w:val="%1"/>
      <w:numFmt w:val="decimal"/>
      <w:start w:val="11"/>
    </w:lvl>
  </w:abstractNum>
  <w:abstractNum w:abstractNumId="121">
    <w:nsid w:val="2E48F044"/>
    <w:multiLevelType w:val="hybridMultilevel"/>
    <w:lvl w:ilvl="0">
      <w:lvlJc w:val="left"/>
      <w:lvlText w:val="1"/>
      <w:numFmt w:val="bullet"/>
      <w:start w:val="1"/>
    </w:lvl>
  </w:abstractNum>
  <w:abstractNum w:abstractNumId="122">
    <w:nsid w:val="49D0FEAC"/>
    <w:multiLevelType w:val="hybridMultilevel"/>
    <w:lvl w:ilvl="0">
      <w:lvlJc w:val="left"/>
      <w:lvlText w:val="2"/>
      <w:numFmt w:val="bullet"/>
      <w:start w:val="1"/>
    </w:lvl>
  </w:abstractNum>
  <w:abstractNum w:abstractNumId="123">
    <w:nsid w:val="4BEE5A5B"/>
    <w:multiLevelType w:val="hybridMultilevel"/>
    <w:lvl w:ilvl="0">
      <w:lvlJc w:val="left"/>
      <w:lvlText w:val="3"/>
      <w:numFmt w:val="bullet"/>
      <w:start w:val="1"/>
    </w:lvl>
  </w:abstractNum>
  <w:abstractNum w:abstractNumId="124">
    <w:nsid w:val="5551B9F3"/>
    <w:multiLevelType w:val="hybridMultilevel"/>
    <w:lvl w:ilvl="0">
      <w:lvlJc w:val="left"/>
      <w:lvlText w:val="4"/>
      <w:numFmt w:val="bullet"/>
      <w:start w:val="1"/>
    </w:lvl>
  </w:abstractNum>
  <w:abstractNum w:abstractNumId="125">
    <w:nsid w:val="24F6AB8E"/>
    <w:multiLevelType w:val="hybridMultilevel"/>
    <w:lvl w:ilvl="0">
      <w:lvlJc w:val="left"/>
      <w:lvlText w:val="5"/>
      <w:numFmt w:val="bullet"/>
      <w:start w:val="1"/>
    </w:lvl>
  </w:abstractNum>
  <w:abstractNum w:abstractNumId="126">
    <w:nsid w:val="634C574C"/>
    <w:multiLevelType w:val="hybridMultilevel"/>
    <w:lvl w:ilvl="0">
      <w:lvlJc w:val="left"/>
      <w:lvlText w:val="6"/>
      <w:numFmt w:val="bullet"/>
      <w:start w:val="1"/>
    </w:lvl>
  </w:abstractNum>
  <w:abstractNum w:abstractNumId="127">
    <w:nsid w:val="24E99DD7"/>
    <w:multiLevelType w:val="hybridMultilevel"/>
    <w:lvl w:ilvl="0">
      <w:lvlJc w:val="left"/>
      <w:lvlText w:val="%1"/>
      <w:numFmt w:val="decimal"/>
      <w:start w:val="11"/>
    </w:lvl>
  </w:abstractNum>
  <w:abstractNum w:abstractNumId="128">
    <w:nsid w:val="2A31B62D"/>
    <w:multiLevelType w:val="hybridMultilevel"/>
    <w:lvl w:ilvl="0">
      <w:lvlJc w:val="left"/>
      <w:lvlText w:val="1"/>
      <w:numFmt w:val="bullet"/>
      <w:start w:val="1"/>
    </w:lvl>
  </w:abstractNum>
  <w:abstractNum w:abstractNumId="129">
    <w:nsid w:val="1849C29B"/>
    <w:multiLevelType w:val="hybridMultilevel"/>
    <w:lvl w:ilvl="0">
      <w:lvlJc w:val="left"/>
      <w:lvlText w:val="2"/>
      <w:numFmt w:val="bullet"/>
      <w:start w:val="1"/>
    </w:lvl>
  </w:abstractNum>
  <w:abstractNum w:abstractNumId="130">
    <w:nsid w:val="7DFF9D09"/>
    <w:multiLevelType w:val="hybridMultilevel"/>
    <w:lvl w:ilvl="0">
      <w:lvlJc w:val="left"/>
      <w:lvlText w:val="3"/>
      <w:numFmt w:val="bullet"/>
      <w:start w:val="1"/>
    </w:lvl>
  </w:abstractNum>
  <w:abstractNum w:abstractNumId="131">
    <w:nsid w:val="754342"/>
    <w:multiLevelType w:val="hybridMultilevel"/>
    <w:lvl w:ilvl="0">
      <w:lvlJc w:val="left"/>
      <w:lvlText w:val="4"/>
      <w:numFmt w:val="bullet"/>
      <w:start w:val="1"/>
    </w:lvl>
  </w:abstractNum>
  <w:abstractNum w:abstractNumId="132">
    <w:nsid w:val="69E7F3E5"/>
    <w:multiLevelType w:val="hybridMultilevel"/>
    <w:lvl w:ilvl="0">
      <w:lvlJc w:val="left"/>
      <w:lvlText w:val="5"/>
      <w:numFmt w:val="bullet"/>
      <w:start w:val="1"/>
    </w:lvl>
  </w:abstractNum>
  <w:abstractNum w:abstractNumId="133">
    <w:nsid w:val="2A6DE806"/>
    <w:multiLevelType w:val="hybridMultilevel"/>
    <w:lvl w:ilvl="0">
      <w:lvlJc w:val="left"/>
      <w:lvlText w:val="6"/>
      <w:numFmt w:val="bullet"/>
      <w:start w:val="1"/>
    </w:lvl>
  </w:abstractNum>
  <w:abstractNum w:abstractNumId="134">
    <w:nsid w:val="1816F8C4"/>
    <w:multiLevelType w:val="hybridMultilevel"/>
    <w:lvl w:ilvl="0">
      <w:lvlJc w:val="left"/>
      <w:lvlText w:val="%1"/>
      <w:numFmt w:val="decimal"/>
      <w:start w:val="11"/>
    </w:lvl>
  </w:abstractNum>
  <w:abstractNum w:abstractNumId="135">
    <w:nsid w:val="37DF2233"/>
    <w:multiLevelType w:val="hybridMultilevel"/>
    <w:lvl w:ilvl="0">
      <w:lvlJc w:val="left"/>
      <w:lvlText w:val="1"/>
      <w:numFmt w:val="bullet"/>
      <w:start w:val="1"/>
    </w:lvl>
  </w:abstractNum>
  <w:abstractNum w:abstractNumId="136">
    <w:nsid w:val="7AB49DAF"/>
    <w:multiLevelType w:val="hybridMultilevel"/>
    <w:lvl w:ilvl="0">
      <w:lvlJc w:val="left"/>
      <w:lvlText w:val="2"/>
      <w:numFmt w:val="bullet"/>
      <w:start w:val="1"/>
    </w:lvl>
  </w:abstractNum>
  <w:abstractNum w:abstractNumId="137">
    <w:nsid w:val="759F82CD"/>
    <w:multiLevelType w:val="hybridMultilevel"/>
    <w:lvl w:ilvl="0">
      <w:lvlJc w:val="left"/>
      <w:lvlText w:val="3"/>
      <w:numFmt w:val="bullet"/>
      <w:start w:val="1"/>
    </w:lvl>
  </w:abstractNum>
  <w:abstractNum w:abstractNumId="138">
    <w:nsid w:val="61E74EA3"/>
    <w:multiLevelType w:val="hybridMultilevel"/>
    <w:lvl w:ilvl="0">
      <w:lvlJc w:val="left"/>
      <w:lvlText w:val="4"/>
      <w:numFmt w:val="bullet"/>
      <w:start w:val="1"/>
    </w:lvl>
  </w:abstractNum>
  <w:abstractNum w:abstractNumId="139">
    <w:nsid w:val="597B4D84"/>
    <w:multiLevelType w:val="hybridMultilevel"/>
    <w:lvl w:ilvl="0">
      <w:lvlJc w:val="left"/>
      <w:lvlText w:val="5"/>
      <w:numFmt w:val="bullet"/>
      <w:start w:val="1"/>
    </w:lvl>
  </w:abstractNum>
  <w:abstractNum w:abstractNumId="140">
    <w:nsid w:val="F819E7F"/>
    <w:multiLevelType w:val="hybridMultilevel"/>
    <w:lvl w:ilvl="0">
      <w:lvlJc w:val="left"/>
      <w:lvlText w:val="6"/>
      <w:numFmt w:val="bullet"/>
      <w:start w:val="1"/>
    </w:lvl>
  </w:abstractNum>
  <w:abstractNum w:abstractNumId="141">
    <w:nsid w:val="57C7D42D"/>
    <w:multiLevelType w:val="hybridMultilevel"/>
    <w:lvl w:ilvl="0">
      <w:lvlJc w:val="left"/>
      <w:lvlText w:val="%1"/>
      <w:numFmt w:val="decimal"/>
      <w:start w:val="11"/>
    </w:lvl>
  </w:abstractNum>
  <w:abstractNum w:abstractNumId="142">
    <w:nsid w:val="312167AD"/>
    <w:multiLevelType w:val="hybridMultilevel"/>
    <w:lvl w:ilvl="0">
      <w:lvlJc w:val="left"/>
      <w:lvlText w:val="•"/>
      <w:numFmt w:val="bullet"/>
      <w:start w:val="1"/>
    </w:lvl>
    <w:lvl w:ilvl="1">
      <w:lvlJc w:val="left"/>
      <w:lvlText w:val="(%2)"/>
      <w:numFmt w:val="lowerRoman"/>
      <w:start w:val="3"/>
    </w:lvl>
  </w:abstractNum>
  <w:abstractNum w:abstractNumId="143">
    <w:nsid w:val="631B64D4"/>
    <w:multiLevelType w:val="hybridMultilevel"/>
    <w:lvl w:ilvl="0">
      <w:lvlJc w:val="left"/>
      <w:lvlText w:val="•"/>
      <w:numFmt w:val="bullet"/>
      <w:start w:val="1"/>
    </w:lvl>
    <w:lvl w:ilvl="1">
      <w:lvlJc w:val="left"/>
      <w:lvlText w:val="(%2)"/>
      <w:numFmt w:val="lowerRoman"/>
      <w:start w:val="6"/>
    </w:lvl>
  </w:abstractNum>
  <w:abstractNum w:abstractNumId="144">
    <w:nsid w:val="78B5E776"/>
    <w:multiLevelType w:val="hybridMultilevel"/>
    <w:lvl w:ilvl="0">
      <w:lvlJc w:val="left"/>
      <w:lvlText w:val="(%1)"/>
      <w:numFmt w:val="lowerLetter"/>
      <w:start w:val="3"/>
    </w:lvl>
  </w:abstractNum>
  <w:abstractNum w:abstractNumId="145">
    <w:nsid w:val="75486E47"/>
    <w:multiLevelType w:val="hybridMultilevel"/>
    <w:lvl w:ilvl="0">
      <w:lvlJc w:val="left"/>
      <w:lvlText w:val="(%1)"/>
      <w:numFmt w:val="lowerLetter"/>
      <w:start w:val="4"/>
    </w:lvl>
  </w:abstractNum>
  <w:abstractNum w:abstractNumId="146">
    <w:nsid w:val="6E534CDE"/>
    <w:multiLevelType w:val="hybridMultilevel"/>
    <w:lvl w:ilvl="0">
      <w:lvlJc w:val="left"/>
      <w:lvlText w:val="(%1)"/>
      <w:numFmt w:val="lowerLetter"/>
      <w:start w:val="1"/>
    </w:lvl>
  </w:abstractNum>
  <w:abstractNum w:abstractNumId="147">
    <w:nsid w:val="1A0DDE32"/>
    <w:multiLevelType w:val="hybridMultilevel"/>
    <w:lvl w:ilvl="0">
      <w:lvlJc w:val="left"/>
      <w:lvlText w:val="(%1)"/>
      <w:numFmt w:val="lowerRoman"/>
      <w:start w:val="1"/>
    </w:lvl>
  </w:abstractNum>
  <w:abstractNum w:abstractNumId="148">
    <w:nsid w:val="65968C1C"/>
    <w:multiLevelType w:val="hybridMultilevel"/>
    <w:lvl w:ilvl="0">
      <w:lvlJc w:val="left"/>
      <w:lvlText w:val="(%1)"/>
      <w:numFmt w:val="lowerLetter"/>
      <w:start w:val="3"/>
    </w:lvl>
  </w:abstractNum>
  <w:abstractNum w:abstractNumId="149">
    <w:nsid w:val="46263D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2021-08-30T15:47:31Z</dcterms:created>
  <dcterms:modified xsi:type="dcterms:W3CDTF">2021-08-30T15:47:31Z</dcterms:modified>
</cp:coreProperties>
</file>