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660" w:right="940" w:hanging="2712"/>
        <w:spacing w:after="0" w:line="382" w:lineRule="auto"/>
        <w:tabs>
          <w:tab w:leader="none" w:pos="115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372"/>
        </w:trPr>
        <w:tc>
          <w:tcPr>
            <w:tcW w:w="34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Commission File No. 001-39482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85725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-248285</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CM LIFE SCIENCES,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85-1966622</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Corvex Management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474-6745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42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share of Class A common</w:t>
            </w:r>
          </w:p>
        </w:tc>
        <w:tc>
          <w:tcPr>
            <w:tcW w:w="2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CMLFU</w:t>
            </w:r>
          </w:p>
        </w:tc>
        <w:tc>
          <w:tcPr>
            <w:tcW w:w="2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 and one-third of one redeemable 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CMLF</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4520" w:type="dxa"/>
            <w:vAlign w:val="bottom"/>
            <w:gridSpan w:val="2"/>
            <w:shd w:val="clear" w:color="auto" w:fill="CCEEFF"/>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Redeemable warrants, each whole warrant exercisable</w:t>
            </w:r>
          </w:p>
        </w:tc>
        <w:tc>
          <w:tcPr>
            <w:tcW w:w="2460" w:type="dxa"/>
            <w:vAlign w:val="bottom"/>
            <w:gridSpan w:val="2"/>
            <w:shd w:val="clear" w:color="auto" w:fill="CCEEFF"/>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CMLFW</w:t>
            </w:r>
          </w:p>
        </w:tc>
        <w:tc>
          <w:tcPr>
            <w:tcW w:w="42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one share of Class A common stock, each at an</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38"/>
        </w:trPr>
        <w:tc>
          <w:tcPr>
            <w:tcW w:w="45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 of $11.50 per share</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ind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73"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November 16, 2020, 44,275,000 Class A ordinary shares, $0.0001 par value, and 11,068,750 Class B ordinary shares, $0.0001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 FINANCIAL INFORMATION</w:t>
              </w:r>
            </w:hyperlink>
          </w:p>
        </w:tc>
        <w:tc>
          <w:tcPr>
            <w:tcW w:w="9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Financial Statements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Balance Sheet as of September 30, 2020</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Statement of Operations for the Period from July 10, 2020 (Inception) Through September 30, 2020</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040" w:type="dxa"/>
            <w:vAlign w:val="bottom"/>
            <w:shd w:val="clear" w:color="auto" w:fill="CCEEFF"/>
          </w:tcPr>
          <w:p>
            <w:pPr>
              <w:spacing w:after="0"/>
              <w:rPr>
                <w:sz w:val="15"/>
                <w:szCs w:val="15"/>
                <w:color w:val="auto"/>
              </w:rPr>
            </w:pPr>
          </w:p>
        </w:tc>
        <w:tc>
          <w:tcPr>
            <w:tcW w:w="93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Statement of Changes in Stockholders’ Equity for the Period from July 10, 2020 (Inception) Through</w:t>
              </w:r>
            </w:hyperlink>
          </w:p>
        </w:tc>
        <w:tc>
          <w:tcPr>
            <w:tcW w:w="900" w:type="dxa"/>
            <w:vAlign w:val="bottom"/>
            <w:shd w:val="clear" w:color="auto" w:fill="CCEEFF"/>
          </w:tcPr>
          <w:p>
            <w:pPr>
              <w:spacing w:after="0"/>
              <w:rPr>
                <w:sz w:val="15"/>
                <w:szCs w:val="15"/>
                <w:color w:val="auto"/>
              </w:rPr>
            </w:pPr>
          </w:p>
        </w:tc>
      </w:tr>
      <w:tr>
        <w:trPr>
          <w:trHeight w:val="216"/>
        </w:trPr>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76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2020</w:t>
              </w:r>
            </w:hyperlink>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Statement of Cash Flows for the Period from July 10, 2020 (Inception) Through September 30, 2020</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Financial Statements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2.</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3.</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4.</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Control and Procedures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9">
              <w:r>
                <w:rPr>
                  <w:rFonts w:ascii="Times New Roman" w:cs="Times New Roman" w:eastAsia="Times New Roman" w:hAnsi="Times New Roman"/>
                  <w:sz w:val="18"/>
                  <w:szCs w:val="18"/>
                  <w:b w:val="1"/>
                  <w:bCs w:val="1"/>
                  <w:u w:val="single" w:color="auto"/>
                  <w:color w:val="0000EE"/>
                </w:rPr>
                <w:t>PART II – OTHER INFORMATION</w:t>
              </w:r>
            </w:hyperlink>
          </w:p>
        </w:tc>
        <w:tc>
          <w:tcPr>
            <w:tcW w:w="9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1.</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Legal Proceedings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2.</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3.</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Defaults Upon Senior Securities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4.</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Mine Safety Disclosures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5.</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Other Information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6.</w:t>
              </w:r>
            </w:hyperlink>
          </w:p>
        </w:tc>
        <w:tc>
          <w:tcPr>
            <w:tcW w:w="930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Exhibits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1">
              <w:r>
                <w:rPr>
                  <w:rFonts w:ascii="Times New Roman" w:cs="Times New Roman" w:eastAsia="Times New Roman" w:hAnsi="Times New Roman"/>
                  <w:sz w:val="18"/>
                  <w:szCs w:val="18"/>
                  <w:b w:val="1"/>
                  <w:bCs w:val="1"/>
                  <w:u w:val="single" w:color="auto"/>
                  <w:color w:val="0000EE"/>
                </w:rPr>
                <w:t>SIGNATURES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9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8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CM LIFE SCIENCES,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CONDENSED BALANCE SHEET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80" w:type="dxa"/>
            <w:vAlign w:val="bottom"/>
          </w:tcPr>
          <w:p>
            <w:pPr>
              <w:spacing w:after="0"/>
              <w:rPr>
                <w:sz w:val="20"/>
                <w:szCs w:val="20"/>
                <w:color w:val="auto"/>
              </w:rPr>
            </w:pPr>
          </w:p>
        </w:tc>
        <w:tc>
          <w:tcPr>
            <w:tcW w:w="89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1,139,979</w:t>
            </w:r>
          </w:p>
        </w:tc>
      </w:tr>
      <w:tr>
        <w:trPr>
          <w:trHeight w:val="237"/>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325,442</w:t>
            </w:r>
          </w:p>
        </w:tc>
      </w:tr>
      <w:tr>
        <w:trPr>
          <w:trHeight w:val="216"/>
        </w:trPr>
        <w:tc>
          <w:tcPr>
            <w:tcW w:w="100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442,752,790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9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444,218,211</w:t>
            </w:r>
          </w:p>
        </w:tc>
      </w:tr>
      <w:tr>
        <w:trPr>
          <w:trHeight w:val="216"/>
        </w:trPr>
        <w:tc>
          <w:tcPr>
            <w:tcW w:w="1080" w:type="dxa"/>
            <w:vAlign w:val="bottom"/>
            <w:tcBorders>
              <w:top w:val="single" w:sz="8" w:color="CCEEFF"/>
            </w:tcBorders>
            <w:shd w:val="clear" w:color="auto" w:fill="CCEEFF"/>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19,347</w:t>
            </w: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offering costs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03"/>
        </w:trPr>
        <w:tc>
          <w:tcPr>
            <w:tcW w:w="1002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44,347</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15,496,250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15,540,597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subject to possible redemption, 42,367,761 shares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140" w:hanging="129"/>
        <w:spacing w:after="0" w:line="250" w:lineRule="auto"/>
        <w:rPr>
          <w:sz w:val="20"/>
          <w:szCs w:val="20"/>
          <w:color w:val="auto"/>
        </w:rPr>
      </w:pPr>
      <w:r>
        <w:rPr>
          <w:rFonts w:ascii="Times New Roman" w:cs="Times New Roman" w:eastAsia="Times New Roman" w:hAnsi="Times New Roman"/>
          <w:sz w:val="18"/>
          <w:szCs w:val="18"/>
          <w:color w:val="auto"/>
        </w:rPr>
        <w:t>Class A common stock, $0.0001 par value; 380,000,000 shares authorized; 1,907,239 shares issued and outstanding (excluding 42,367,761 shares subject to possible redemption)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$0.0001 par value; 20,000,000 shares authorized; 11,068,750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423,677,610</w:t>
      </w:r>
    </w:p>
    <w:p>
      <w:pPr>
        <w:spacing w:after="0" w:line="200" w:lineRule="exact"/>
        <w:rPr>
          <w:sz w:val="20"/>
          <w:szCs w:val="20"/>
          <w:color w:val="auto"/>
        </w:rPr>
      </w:pPr>
    </w:p>
    <w:p>
      <w:pPr>
        <w:spacing w:after="0" w:line="24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1,107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5,055,629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(56,923)</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5,000,004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444,218,211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JULY 10, 2020 (INCEPTION) THROUGH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59,713</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(59,713)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redeemable common stock</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income per share, Class A redeemable common stock</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non-redeemable common stock</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11,068,750</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 non-redeemable common stock</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JULY 10, 2020 (INCEPTION) THROUGH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2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3040" w:type="dxa"/>
            <w:vAlign w:val="bottom"/>
          </w:tcPr>
          <w:p>
            <w:pPr>
              <w:spacing w:after="0"/>
              <w:rPr>
                <w:sz w:val="22"/>
                <w:szCs w:val="22"/>
                <w:color w:val="auto"/>
              </w:rPr>
            </w:pPr>
          </w:p>
        </w:tc>
        <w:tc>
          <w:tcPr>
            <w:tcW w:w="22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3040" w:type="dxa"/>
            <w:vAlign w:val="bottom"/>
          </w:tcPr>
          <w:p>
            <w:pPr>
              <w:spacing w:after="0"/>
              <w:rPr>
                <w:sz w:val="20"/>
                <w:szCs w:val="20"/>
                <w:color w:val="auto"/>
              </w:rPr>
            </w:pPr>
          </w:p>
        </w:tc>
        <w:tc>
          <w:tcPr>
            <w:tcW w:w="12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2020 (Inception)</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 to</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Sponsor</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11,068,750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44,275,000 Units, net of</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underwriting discounts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44,275,000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417,850,110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417,854,537</w:t>
            </w: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7,236,667 Private Placement</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10,855,000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10,885,000</w:t>
            </w: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(42,367,761)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(423,673,374)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(423,677,610)</w:t>
            </w: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(56,923)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(56,923)</w:t>
            </w:r>
          </w:p>
        </w:tc>
      </w:tr>
      <w:tr>
        <w:trPr>
          <w:trHeight w:val="216"/>
        </w:trPr>
        <w:tc>
          <w:tcPr>
            <w:tcW w:w="30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1,907,239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11,068,750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5,055,629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b w:val="1"/>
                <w:bCs w:val="1"/>
                <w:color w:val="auto"/>
              </w:rPr>
              <w:t>(56,923</w:t>
            </w:r>
            <w:r>
              <w:rPr>
                <w:rFonts w:ascii="Times New Roman" w:cs="Times New Roman" w:eastAsia="Times New Roman" w:hAnsi="Times New Roman"/>
                <w:sz w:val="29"/>
                <w:szCs w:val="29"/>
                <w:b w:val="1"/>
                <w:bCs w:val="1"/>
                <w:color w:val="auto"/>
                <w:vertAlign w:val="superscript"/>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5,000,004</w:t>
            </w:r>
          </w:p>
        </w:tc>
      </w:tr>
      <w:tr>
        <w:trPr>
          <w:trHeight w:val="21"/>
        </w:trPr>
        <w:tc>
          <w:tcPr>
            <w:tcW w:w="3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FOR THE PERIOD JULY 10, 2020 (INCEPTION) THROUGH SEPTEMBER 30, 2020</w:t>
      </w:r>
    </w:p>
    <w:p>
      <w:pPr>
        <w:spacing w:after="0" w:line="2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of cash into Trust Account</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offering costs</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classification of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hanging="555"/>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(56,923)</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(2,790)</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(325,442)</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19,347</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(365,808)</w:t>
      </w:r>
    </w:p>
    <w:p>
      <w:pPr>
        <w:spacing w:after="0" w:line="200" w:lineRule="exact"/>
        <w:rPr>
          <w:sz w:val="20"/>
          <w:szCs w:val="20"/>
          <w:color w:val="auto"/>
        </w:rPr>
      </w:pPr>
    </w:p>
    <w:p>
      <w:pPr>
        <w:spacing w:after="0" w:line="27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(442,750,000)</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(442,750,000)</w:t>
      </w:r>
    </w:p>
    <w:p>
      <w:pPr>
        <w:spacing w:after="0" w:line="200" w:lineRule="exact"/>
        <w:rPr>
          <w:sz w:val="20"/>
          <w:szCs w:val="20"/>
          <w:color w:val="auto"/>
        </w:rPr>
      </w:pPr>
    </w:p>
    <w:p>
      <w:pPr>
        <w:spacing w:after="0" w:line="27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433,895,000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10,855,000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112,837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(165,081)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(441,969)</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444,255,787</w:t>
      </w:r>
    </w:p>
    <w:p>
      <w:pPr>
        <w:spacing w:after="0" w:line="25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1,139,979</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1,139,979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423,731,850</w:t>
      </w:r>
    </w:p>
    <w:p>
      <w:pPr>
        <w:spacing w:after="0" w:line="47" w:lineRule="exact"/>
        <w:rPr>
          <w:sz w:val="20"/>
          <w:szCs w:val="20"/>
          <w:color w:val="auto"/>
        </w:rPr>
      </w:pPr>
    </w:p>
    <w:p>
      <w:pPr>
        <w:sectPr>
          <w:pgSz w:w="11900" w:h="16838" w:orient="portrait"/>
          <w:cols w:equalWidth="0" w:num="2">
            <w:col w:w="9300" w:space="720"/>
            <w:col w:w="1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8"/>
        </w:trPr>
        <w:tc>
          <w:tcPr>
            <w:tcW w:w="1002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common stock subject to possible redemption</w:t>
            </w:r>
          </w:p>
        </w:tc>
        <w:tc>
          <w:tcPr>
            <w:tcW w:w="200" w:type="dxa"/>
            <w:vAlign w:val="bottom"/>
            <w:tcBorders>
              <w:bottom w:val="single" w:sz="8" w:color="auto"/>
            </w:tcBorders>
            <w:shd w:val="clear" w:color="auto" w:fill="000000"/>
          </w:tcPr>
          <w:p>
            <w:pPr>
              <w:spacing w:after="0"/>
              <w:rPr>
                <w:sz w:val="2"/>
                <w:szCs w:val="2"/>
                <w:color w:val="auto"/>
              </w:rPr>
            </w:pPr>
          </w:p>
        </w:tc>
        <w:tc>
          <w:tcPr>
            <w:tcW w:w="920" w:type="dxa"/>
            <w:vAlign w:val="bottom"/>
            <w:tcBorders>
              <w:bottom w:val="single" w:sz="8" w:color="auto"/>
            </w:tcBorders>
            <w:shd w:val="clear" w:color="auto" w:fill="000000"/>
          </w:tcPr>
          <w:p>
            <w:pPr>
              <w:spacing w:after="0"/>
              <w:rPr>
                <w:sz w:val="2"/>
                <w:szCs w:val="2"/>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(54,240</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15,496,250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Offering costs paid directly by Sponsor in consideration for the issuance of Class B common stock</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Payment of offering costs through promissory note — related party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July 10, 2020 (inception) through September 30, 2020 relates to the Company’s formation, the initial public offering (“Initial Public Offering”), which is described below, and, subsequent to the Initial Pubic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costs amounted to $24,895,463, consisting of $8,855,000 in cash underwriting fees, $15,496,250 of deferred underwriting fees and $544,213 of other offering costs. In addition, as of September 30, 2020, cash of $1,139,979 was held outside of the Trust Account (as defined below) and is available for the payment of offering costs and for working capital purposes.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96"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final prospectus for its Initial Public Offering as filed with the SEC on September 3, 2020, as well as the Company’s Current Reports on Form 8-K, as filed with the SEC on September 4, 2020 and September 11, 2020. The interim results for the period from July 10, 2020 (inception) through September 30, 2020 are not necessarily indicative of the results to be expected for the year ending December 31, 2020 or for any future interim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September 30, 2020, Class A common stock subject to possible redemption is presented as temporary equity, outside of the stockholders’ equity section of the Company’s balance sheet.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37"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Offering costs consist of underwriting, legal, accounting and other expenses incurred through the Initial Public Offering that are directly related to the Initial Public Offering. Offering costs amounting to $24,895,463 were charged to stockholders’ equity upon the completion of the Initial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$12,000, which had a full valuation allowance recorded against it of approximately $12,000.</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currently taxable income primarily consists of interest income on the Trust Account. The Company’s general and administrative costs are generally considered start-up costs and are not currently deductible. During the period from July 10, 2020 (inception) through September 30, 2020, the Company recorded no income tax expense. The Company’s effective tax rate for the period from July 10, 2020 (inception) through September 30, 2020 was approximately 0%, which differs from the expected income tax rate due to the start-up costs (discussed above) which are not currently deductible.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statement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of $2,790 for the period from July 10, 2020 (inception) through September 30, 2020 (net of applicable franchise taxes of approximately $3,000 for the period from July 10, 2020 (inception) through September 30, 2020), by the weighted average number of Class A redeemable common stock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balance sheet, primarily due to their short-term nature.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there were no amounts outstanding under the Working Capital Loans.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53"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Purchase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At September 30, 2020, there were no shares of preferred stock issued or outstanding.</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380,000,000 shares of Class A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 are entitled to one vote for each share. At September 30, 2020, there were 1,907,239 shares of Class A common stock issued or outstanding, excluding 42,367,761 shares of Class A common stock subject to possible redemption.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At September 30, 2020, there were 11,068,750 shares of Class B common stock issued and outstanding.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warrants will be issued upon separation of the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Public Warrants:</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 </w:t>
      </w:r>
      <w:r>
        <w:rPr>
          <w:rFonts w:ascii="Times New Roman" w:cs="Times New Roman" w:eastAsia="Times New Roman" w:hAnsi="Times New Roman"/>
          <w:sz w:val="18"/>
          <w:szCs w:val="18"/>
          <w:color w:val="auto"/>
        </w:rPr>
        <w:t>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2020, assets held in the Trust Account were comprised of $442,752,790 in money market funds which are invested primarily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980" w:right="20" w:hanging="647"/>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 – U.S. Treasury Securities Money Market Fund</w:t>
            </w:r>
          </w:p>
        </w:tc>
        <w:tc>
          <w:tcPr>
            <w:tcW w:w="12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442,752,790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November 16, 2020, the date that the condensed financial statements were issued. Based upon this review,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report (the “Quarterly Report”) to “we,” “us” or the “Company” refer to CM Life Sciences, Inc. References to our “management” or our “management team” refer to our officers and directors, references to the “Sponsor” refer to CMLS Holdings LLC. The following discussion and analysis of the Company’s financial condition and results of operations should be read in conjunction with the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Final Prospectus.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blank check company incorporated on July 10,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September 30, 2020 were organizational activities, the consummation of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from July 10, 2020 (inception) through September 30, 2020, we had a net loss of $56,923, which consists of operating costs of $59,713, offset by interest income on marketable securities held in the Trust Account of $2,790.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from July 10, 2020 (inception) through September 30, 2020, cash used in operating activities was $365,808. Net loss of $56,923 was affected by interest earned on marketable securities held in the Trust Account of $2,790 and changes in operating assets and liabilities, which used $306,095 of cash from operating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we had cash and marketable securities held in the Trust Account of $442,752,790.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September 30, 2020, we did not withdraw any interest income from the Trust Account.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we had $1,139,979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as described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entered into separate forward purchase agreements with affiliates of the Sponsor, Casdin and Corvex, in their capacities as investment advisors on behalf of one or more investment funds, clients or accounts managed by the Clients, pursuant to which, subject to the conditions described below, they will cause the Clients to purchase from us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at our discretion based on our needs for additional capital to consummate a Business Combination. Under each forward purchase agreement, we are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us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condensed 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financial statements.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are any of the risks described in the Final Prospectus.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except we may disclose changes to such factors or disclose additional factors from time to time in our future filings with the SEC.</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4, 2020, we consummated our Initial Public Offering of 44,275,000 Units, inclusive of underwriters’ election to fully exercise their over-allotment option, we sold an additional 5,775,000 Units. The Units were sold at an offering price of $10.00 per Unit, generating total gross proceeds of $442,750,000. Jefferies LLC acted as the book running manager of the offering. The securities sold in the offering were registered under the Securities Act on a registration statement on Form S-1 (No. 333-246251 and 333-248541). The SEC declared the registration statement effective on September 1,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and the full exercise of the over-allotment option, we consummated a private placement of 7,236,667 Private Placement Warrants to our Sponsor at a price of $1.50 per Private Placement Warrant, generating total proceeds of $10,855,000. Such securities were issued pursuant to the exemption from registration contained in Section 4(a)(2) of the Securities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and the sale of the Private Placement Warrants, $442,750,000 was placed in the Trust Account.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a total of $8,855,000 underwriting discounts and commissions and $544,213 for other costs and expenses related to the Initial Public Offering. In addition, the underwriters agreed to defer $15,496,250 in underwriting discounts and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use of the proceeds generated in our Initial Public Offering, see Part I, Item 2 of this Quarterly Report.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42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31.1*</w:t>
      </w: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31.2*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4122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4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 xml:space="preserve">Underwriting Agreement, dated September 1, 2020, by and between the Company and Jefferies LLC. </w:t>
        </w:r>
      </w:hyperlink>
      <w:r>
        <w:rPr>
          <w:rFonts w:ascii="Times New Roman" w:cs="Times New Roman" w:eastAsia="Times New Roman" w:hAnsi="Times New Roman"/>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 xml:space="preserve">Second Amended and Restated Certificate of Incorporation. </w:t>
        </w:r>
      </w:hyperlink>
      <w:r>
        <w:rPr>
          <w:rFonts w:ascii="Times New Roman" w:cs="Times New Roman" w:eastAsia="Times New Roman" w:hAnsi="Times New Roman"/>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5" w:lineRule="exact"/>
        <w:rPr>
          <w:sz w:val="20"/>
          <w:szCs w:val="20"/>
          <w:color w:val="auto"/>
        </w:rPr>
      </w:pPr>
    </w:p>
    <w:p>
      <w:pPr>
        <w:spacing w:after="0" w:line="292" w:lineRule="auto"/>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Warrant Agreement, dated September 1, 2020, by and between the Company and Continental Stock Transfer &amp; Trust Company, as warrant</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 xml:space="preserve">agent.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-405130</wp:posOffset>
            </wp:positionV>
            <wp:extent cx="713232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 w:lineRule="exact"/>
        <w:rPr>
          <w:sz w:val="20"/>
          <w:szCs w:val="20"/>
          <w:color w:val="auto"/>
        </w:rPr>
      </w:pPr>
    </w:p>
    <w:p>
      <w:pPr>
        <w:spacing w:after="0" w:line="292" w:lineRule="auto"/>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Investment Management Trust Agreement, dated September 1, 2020, by and between the Company and Continental Stock Transfer &amp; Trust</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 xml:space="preserve">Company, as trustee.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-405130</wp:posOffset>
            </wp:positionV>
            <wp:extent cx="713232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 w:lineRule="exact"/>
        <w:rPr>
          <w:sz w:val="20"/>
          <w:szCs w:val="20"/>
          <w:color w:val="auto"/>
        </w:rPr>
      </w:pPr>
    </w:p>
    <w:p>
      <w:pPr>
        <w:spacing w:after="0" w:line="292" w:lineRule="auto"/>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Registration Rights Agreement, dated September 1, 2020, by and among the Company, CMLS Holdings LLC and the other holders party</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 xml:space="preserve">thereto.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-405130</wp:posOffset>
            </wp:positionV>
            <wp:extent cx="71323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 w:lineRule="exact"/>
        <w:rPr>
          <w:sz w:val="20"/>
          <w:szCs w:val="20"/>
          <w:color w:val="auto"/>
        </w:rPr>
      </w:pPr>
    </w:p>
    <w:p>
      <w:pPr>
        <w:spacing w:after="0" w:line="292" w:lineRule="auto"/>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Private Placement Warrants Purchase Agreement, dated September 1, 2020 by and among the Company, CMLS Holdings LLC and certain</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 xml:space="preserve">of the Company’s directors named in Exhibit A thereto.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-405130</wp:posOffset>
            </wp:positionV>
            <wp:extent cx="713232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 xml:space="preserve">Letter Agreement, dated September 1, 2020, by and among the Company, its officers, its directors and CMLS Holdings LLC. </w:t>
        </w:r>
      </w:hyperlink>
      <w:r>
        <w:rPr>
          <w:rFonts w:ascii="Times New Roman" w:cs="Times New Roman" w:eastAsia="Times New Roman" w:hAnsi="Times New Roman"/>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 xml:space="preserve">Forward Purchase Agreement, dated September 1, 2020, by and between the Company and Casdin Capital, LLC. </w:t>
        </w:r>
      </w:hyperlink>
      <w:r>
        <w:rPr>
          <w:rFonts w:ascii="Times New Roman" w:cs="Times New Roman" w:eastAsia="Times New Roman" w:hAnsi="Times New Roman"/>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 xml:space="preserve">Forward Purchase Agreement, dated September 1, 2020, by and between the Company and Corvex Management LP. </w:t>
        </w:r>
      </w:hyperlink>
      <w:r>
        <w:rPr>
          <w:rFonts w:ascii="Times New Roman" w:cs="Times New Roman" w:eastAsia="Times New Roman" w:hAnsi="Times New Roman"/>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5"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Certification of Principal Executive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Certification of Principal Financial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20" w:space="420"/>
            <w:col w:w="101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Act of 2002</w:t>
              </w:r>
            </w:hyperlink>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2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Act of 2002</w:t>
              </w:r>
            </w:hyperlink>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2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101.CAL*</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101.DEF*</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16"/>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right="9800" w:firstLine="8"/>
        <w:spacing w:after="0" w:line="261" w:lineRule="auto"/>
        <w:tabs>
          <w:tab w:leader="none" w:pos="3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Previously filed as an exhibit to our Current Report on Form 8-K filed on September 4, 2020 and incorporated by reference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7"/>
          <w:szCs w:val="17"/>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Eli Casdin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Brian Emes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 Casdin, certify that:</w:t>
      </w:r>
    </w:p>
    <w:p>
      <w:pPr>
        <w:spacing w:after="0" w:line="207" w:lineRule="exact"/>
        <w:rPr>
          <w:sz w:val="20"/>
          <w:szCs w:val="20"/>
          <w:color w:val="auto"/>
        </w:rPr>
      </w:pPr>
    </w:p>
    <w:p>
      <w:pPr>
        <w:ind w:left="1020" w:hanging="55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CM Life Sciences, Inc.;</w:t>
      </w:r>
    </w:p>
    <w:p>
      <w:pPr>
        <w:spacing w:after="0" w:line="225" w:lineRule="exact"/>
        <w:rPr>
          <w:rFonts w:ascii="Times New Roman" w:cs="Times New Roman" w:eastAsia="Times New Roman" w:hAnsi="Times New Roman"/>
          <w:sz w:val="18"/>
          <w:szCs w:val="18"/>
          <w:color w:val="auto"/>
        </w:rPr>
      </w:pPr>
    </w:p>
    <w:p>
      <w:pPr>
        <w:jc w:val="both"/>
        <w:ind w:left="1020" w:right="20" w:hanging="55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1480" w:right="20" w:hanging="460"/>
        <w:spacing w:after="0" w:line="266"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480" w:right="20" w:hanging="460"/>
        <w:spacing w:after="0" w:line="282"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80" w:right="20" w:hanging="460"/>
        <w:spacing w:after="0" w:line="266"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480" w:right="20" w:hanging="460"/>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80" w:right="20" w:hanging="460"/>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Eli Casdin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Emes, certify that:</w:t>
      </w:r>
    </w:p>
    <w:p>
      <w:pPr>
        <w:spacing w:after="0" w:line="207" w:lineRule="exact"/>
        <w:rPr>
          <w:sz w:val="20"/>
          <w:szCs w:val="20"/>
          <w:color w:val="auto"/>
        </w:rPr>
      </w:pPr>
    </w:p>
    <w:p>
      <w:pPr>
        <w:ind w:left="1020" w:hanging="55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CM Life Sciences, Inc.;</w:t>
      </w:r>
    </w:p>
    <w:p>
      <w:pPr>
        <w:spacing w:after="0" w:line="225" w:lineRule="exact"/>
        <w:rPr>
          <w:rFonts w:ascii="Times New Roman" w:cs="Times New Roman" w:eastAsia="Times New Roman" w:hAnsi="Times New Roman"/>
          <w:sz w:val="18"/>
          <w:szCs w:val="18"/>
          <w:color w:val="auto"/>
        </w:rPr>
      </w:pPr>
    </w:p>
    <w:p>
      <w:pPr>
        <w:jc w:val="both"/>
        <w:ind w:left="1020" w:right="20" w:hanging="55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1480" w:right="20" w:hanging="460"/>
        <w:spacing w:after="0" w:line="266" w:lineRule="auto"/>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480" w:right="20" w:hanging="460"/>
        <w:spacing w:after="0" w:line="282" w:lineRule="auto"/>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80" w:right="20" w:hanging="460"/>
        <w:spacing w:after="0" w:line="266" w:lineRule="auto"/>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480" w:right="20" w:hanging="460"/>
        <w:spacing w:after="0" w:line="282"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80" w:right="20" w:hanging="460"/>
        <w:spacing w:after="0" w:line="282"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Brian Emes</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CM Life Sciences, Inc. (the “Company”) on Form 10-Q for the quarterly period ended September 30, 2020, as filed with the Securities and Exchange Commission (the “Report”), I, Eli Casdin, Chief Executive Officer of the Company, certify, pursuant to 18 U.S.C. §1350, as added by §906 of the Sarbanes-Oxley Act of 2002, that:</w:t>
      </w:r>
    </w:p>
    <w:p>
      <w:pPr>
        <w:spacing w:after="0" w:line="176" w:lineRule="exact"/>
        <w:rPr>
          <w:sz w:val="20"/>
          <w:szCs w:val="20"/>
          <w:color w:val="auto"/>
        </w:rPr>
      </w:pPr>
    </w:p>
    <w:p>
      <w:pPr>
        <w:ind w:left="1020" w:hanging="55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Eli Casdin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CM Life Sciences, Inc. (the “Company”) on Form 10-Q for the quarterly period ended September 30, 2020, as filed with the Securities and Exchange Commission (the “Report”), I, Brian Emes, Chief Financial Officer of the Company, certify, pursuant to 18 U.S.C. §1350, as added by §906 of the Sarbanes-Oxley Act of 2002, that:</w:t>
      </w:r>
    </w:p>
    <w:p>
      <w:pPr>
        <w:spacing w:after="0" w:line="176" w:lineRule="exact"/>
        <w:rPr>
          <w:sz w:val="20"/>
          <w:szCs w:val="20"/>
          <w:color w:val="auto"/>
        </w:rPr>
      </w:pPr>
    </w:p>
    <w:p>
      <w:pPr>
        <w:ind w:left="1020" w:hanging="55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5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Brian Emes</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3" Type="http://schemas.openxmlformats.org/officeDocument/2006/relationships/image" Target="media/image54.png"/><Relationship Id="rId65" Type="http://schemas.openxmlformats.org/officeDocument/2006/relationships/image" Target="media/image55.png"/><Relationship Id="rId67" Type="http://schemas.openxmlformats.org/officeDocument/2006/relationships/image" Target="media/image56.png"/><Relationship Id="rId69" Type="http://schemas.openxmlformats.org/officeDocument/2006/relationships/image" Target="media/image57.png"/><Relationship Id="rId71" Type="http://schemas.openxmlformats.org/officeDocument/2006/relationships/image" Target="media/image58.png"/><Relationship Id="rId73" Type="http://schemas.openxmlformats.org/officeDocument/2006/relationships/image" Target="media/image59.png"/><Relationship Id="rId75"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60" Type="http://schemas.openxmlformats.org/officeDocument/2006/relationships/hyperlink" Target="http://www.sec.gov/Archives/edgar/data/1818331/000121390020025454/ea126481ex1-1_cmlife.htm" TargetMode="External"/><Relationship Id="rId62" Type="http://schemas.openxmlformats.org/officeDocument/2006/relationships/hyperlink" Target="http://www.sec.gov/Archives/edgar/data/1818331/000121390020025454/ea126481ex3-1_cmlife.htm" TargetMode="External"/><Relationship Id="rId64" Type="http://schemas.openxmlformats.org/officeDocument/2006/relationships/hyperlink" Target="http://www.sec.gov/Archives/edgar/data/1818331/000121390020025454/ea126481ex10-1_cmlife.htm" TargetMode="External"/><Relationship Id="rId66" Type="http://schemas.openxmlformats.org/officeDocument/2006/relationships/hyperlink" Target="http://www.sec.gov/Archives/edgar/data/1818331/000121390020025454/ea126481ex10-2_cmlife.htm" TargetMode="External"/><Relationship Id="rId68" Type="http://schemas.openxmlformats.org/officeDocument/2006/relationships/hyperlink" Target="http://www.sec.gov/Archives/edgar/data/1818331/000121390020025454/ea126481ex10-3_cmlife.htm" TargetMode="External"/><Relationship Id="rId70" Type="http://schemas.openxmlformats.org/officeDocument/2006/relationships/hyperlink" Target="http://www.sec.gov/Archives/edgar/data/1818331/000121390020025454/ea126481ex10-4_cmlife.htm" TargetMode="External"/><Relationship Id="rId72" Type="http://schemas.openxmlformats.org/officeDocument/2006/relationships/hyperlink" Target="http://www.sec.gov/Archives/edgar/data/1818331/000121390020025454/ea126481ex10-5_cmlife.htm" TargetMode="External"/><Relationship Id="rId74" Type="http://schemas.openxmlformats.org/officeDocument/2006/relationships/hyperlink" Target="http://www.sec.gov/Archives/edgar/data/1818331/000121390020025454/ea126481ex10-6_cmlife.htm" TargetMode="External"/><Relationship Id="rId76" Type="http://schemas.openxmlformats.org/officeDocument/2006/relationships/hyperlink" Target="http://www.sec.gov/Archives/edgar/data/1818331/000121390020025454/ea126481ex10-7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2020-11-16T13:24:23Z</dcterms:created>
  <dcterms:modified xsi:type="dcterms:W3CDTF">2020-11-16T13:24:23Z</dcterms:modified>
</cp:coreProperties>
</file>