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6"/>
                <w:szCs w:val="16"/>
                <w:color w:val="auto"/>
              </w:rPr>
            </w:pP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8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8"/>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05/13/2026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Pr>
          <w:p>
            <w:pPr>
              <w:spacing w:after="0"/>
              <w:rPr>
                <w:sz w:val="21"/>
                <w:szCs w:val="21"/>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94,074</w:t>
            </w:r>
          </w:p>
        </w:tc>
        <w:tc>
          <w:tcPr>
            <w:tcW w:w="12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38.82</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4,527,371</w:t>
            </w:r>
          </w:p>
        </w:tc>
        <w:tc>
          <w:tcPr>
            <w:tcW w:w="340" w:type="dxa"/>
            <w:vAlign w:val="bottom"/>
          </w:tcPr>
          <w:p>
            <w:pPr>
              <w:spacing w:after="0"/>
              <w:rPr>
                <w:sz w:val="21"/>
                <w:szCs w:val="21"/>
                <w:color w:val="auto"/>
              </w:rPr>
            </w:pPr>
          </w:p>
        </w:tc>
        <w:tc>
          <w:tcPr>
            <w:tcW w:w="580" w:type="dxa"/>
            <w:vAlign w:val="bottom"/>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05/13/2026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70,926</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39.45</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4,598,297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05/14/2026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88,107</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39.08</w:t>
            </w:r>
            <w:r>
              <w:rPr>
                <w:rFonts w:ascii="Times New Roman" w:cs="Times New Roman" w:eastAsia="Times New Roman" w:hAnsi="Times New Roman"/>
                <w:sz w:val="22"/>
                <w:szCs w:val="22"/>
                <w:color w:val="008000"/>
                <w:w w:val="98"/>
                <w:vertAlign w:val="superscript"/>
              </w:rPr>
              <w:t>(5)</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4,686,404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05/14/2026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51,893</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39.92</w:t>
            </w:r>
            <w:r>
              <w:rPr>
                <w:rFonts w:ascii="Times New Roman" w:cs="Times New Roman" w:eastAsia="Times New Roman" w:hAnsi="Times New Roman"/>
                <w:sz w:val="22"/>
                <w:szCs w:val="22"/>
                <w:color w:val="008000"/>
                <w:w w:val="98"/>
                <w:vertAlign w:val="superscript"/>
              </w:rPr>
              <w:t>(6)</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4,738,297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05/15/2026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27,408</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38.28</w:t>
            </w:r>
            <w:r>
              <w:rPr>
                <w:rFonts w:ascii="Times New Roman" w:cs="Times New Roman" w:eastAsia="Times New Roman" w:hAnsi="Times New Roman"/>
                <w:sz w:val="22"/>
                <w:szCs w:val="22"/>
                <w:color w:val="008000"/>
                <w:w w:val="98"/>
                <w:vertAlign w:val="superscript"/>
              </w:rPr>
              <w:t>(7)</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4,765,705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05/15/2026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18,865</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39.83</w:t>
            </w:r>
            <w:r>
              <w:rPr>
                <w:rFonts w:ascii="Times New Roman" w:cs="Times New Roman" w:eastAsia="Times New Roman" w:hAnsi="Times New Roman"/>
                <w:sz w:val="22"/>
                <w:szCs w:val="22"/>
                <w:color w:val="008000"/>
                <w:w w:val="98"/>
                <w:vertAlign w:val="superscript"/>
              </w:rPr>
              <w:t>(8)</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4,784,570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333,144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2"/>
              </w:rPr>
              <w:t>20,129</w:t>
            </w:r>
            <w:r>
              <w:rPr>
                <w:rFonts w:ascii="Times New Roman" w:cs="Times New Roman" w:eastAsia="Times New Roman" w:hAnsi="Times New Roman"/>
                <w:sz w:val="22"/>
                <w:szCs w:val="22"/>
                <w:color w:val="008000"/>
                <w:w w:val="92"/>
                <w:vertAlign w:val="superscript"/>
              </w:rPr>
              <w:t>(10)</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66"/>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2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1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CORVEX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667 MADISON AVENUE</w:t>
      </w:r>
    </w:p>
    <w:p>
      <w:pPr>
        <w:sectPr>
          <w:pgSz w:w="11900" w:h="16840"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40"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10065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Corvex Management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10065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-2090420</wp:posOffset>
            </wp:positionV>
            <wp:extent cx="2809240" cy="2170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$38.21 to $39.20. The Reporting Persons undertake to provide to the Issuer, any security holder of the Issuer or the staff of the Securities and Exchange Commission, upon request, full information regarding the number of shares bought at each separate price within the ranges set forth in footnotes (1), (4), (5), (6), (7) and (8) to this Form 4.</w:t>
      </w:r>
    </w:p>
    <w:p>
      <w:pPr>
        <w:spacing w:after="0" w:line="2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("Corvex") are the direct holders of 4,784,570 shares of the Class A Common Stock, par value $0.0001 per share ("Class A Common Stock") of GeneDX Holdings Corp. (the "Issuer") reported herein. Mr. Meister may be deemed to indirectly beneficially own these shares by virtue of Mr. Meister's control of the general partner of Corvex.</w:t>
      </w:r>
    </w:p>
    <w:p>
      <w:pPr>
        <w:spacing w:after="0" w:line="7" w:lineRule="exact"/>
        <w:rPr>
          <w:rFonts w:ascii="Times New Roman" w:cs="Times New Roman" w:eastAsia="Times New Roman" w:hAnsi="Times New Roman"/>
          <w:sz w:val="13"/>
          <w:szCs w:val="13"/>
          <w:color w:val="008000"/>
        </w:rPr>
      </w:pPr>
    </w:p>
    <w:p>
      <w:pPr>
        <w:jc w:val="both"/>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each of Corvex and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$39.21 to $39.80.</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$38.79 to $39.77.</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$39.79 to $40.00.</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$37.78 to $38.77.</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$39.78 to $40.60.</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of record by CMLS Holdings reported herein.</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A Common Stock reflected as beneficially owned by Mr. Meister include 20,129 shares of Class A Common Stock that were issued upon the vesting of restricted stock units, that were granted to Mr. Meister in connection with his service on the board of directors of the Issuer.</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05/15/2026</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CORVEX MANAGEMENT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0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LP Name: /s/ Keith Meister</w:t>
            </w:r>
          </w:p>
        </w:tc>
        <w:tc>
          <w:tcPr>
            <w:tcW w:w="10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0000FF"/>
              </w:rPr>
              <w:t>05/15/2026</w:t>
            </w:r>
          </w:p>
        </w:tc>
      </w:tr>
      <w:tr>
        <w:trPr>
          <w:trHeight w:val="193"/>
        </w:trPr>
        <w:tc>
          <w:tcPr>
            <w:tcW w:w="19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Title: Managing Partner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5"/>
        </w:trPr>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6"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2026-05-15T18:09:18Z</dcterms:created>
  <dcterms:modified xsi:type="dcterms:W3CDTF">2026-05-15T18:09:18Z</dcterms:modified>
</cp:coreProperties>
</file>