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September 1, 2020</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CM LIFE SCIENCES,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5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001-39482</w:t>
            </w: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85-1966622</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2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860" w:type="dxa"/>
            <w:vAlign w:val="bottom"/>
            <w:tcBorders>
              <w:top w:val="single" w:sz="8" w:color="auto"/>
            </w:tcBorders>
            <w:gridSpan w:val="2"/>
          </w:tcPr>
          <w:p>
            <w:pPr>
              <w:jc w:val="center"/>
              <w:ind w:right="70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incorporation)</w:t>
            </w:r>
          </w:p>
        </w:tc>
        <w:tc>
          <w:tcPr>
            <w:tcW w:w="7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0"/>
        </w:trPr>
        <w:tc>
          <w:tcPr>
            <w:tcW w:w="3840" w:type="dxa"/>
            <w:vAlign w:val="bottom"/>
            <w:gridSpan w:val="2"/>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c/o Corvex Management LP</w:t>
            </w:r>
          </w:p>
        </w:tc>
        <w:tc>
          <w:tcPr>
            <w:tcW w:w="7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6"/>
        </w:trPr>
        <w:tc>
          <w:tcPr>
            <w:tcW w:w="3840" w:type="dxa"/>
            <w:vAlign w:val="bottom"/>
            <w:gridSpan w:val="2"/>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8"/>
              </w:rPr>
              <w:t>667 Madison Avenue</w:t>
            </w:r>
          </w:p>
        </w:tc>
        <w:tc>
          <w:tcPr>
            <w:tcW w:w="7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45"/>
        </w:trPr>
        <w:tc>
          <w:tcPr>
            <w:tcW w:w="3840" w:type="dxa"/>
            <w:vAlign w:val="bottom"/>
            <w:tcBorders>
              <w:bottom w:val="single" w:sz="8" w:color="auto"/>
            </w:tcBorders>
            <w:gridSpan w:val="2"/>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740" w:type="dxa"/>
            <w:vAlign w:val="bottom"/>
            <w:tcBorders>
              <w:bottom w:val="single" w:sz="8" w:color="auto"/>
            </w:tcBorders>
          </w:tcPr>
          <w:p>
            <w:pPr>
              <w:spacing w:after="0"/>
              <w:rPr>
                <w:sz w:val="21"/>
                <w:szCs w:val="21"/>
                <w:color w:val="auto"/>
              </w:rPr>
            </w:pPr>
          </w:p>
        </w:tc>
        <w:tc>
          <w:tcPr>
            <w:tcW w:w="182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10065</w:t>
            </w:r>
          </w:p>
        </w:tc>
      </w:tr>
      <w:tr>
        <w:trPr>
          <w:trHeight w:val="234"/>
        </w:trPr>
        <w:tc>
          <w:tcPr>
            <w:tcW w:w="3840" w:type="dxa"/>
            <w:vAlign w:val="bottom"/>
            <w:gridSpan w:val="2"/>
          </w:tcPr>
          <w:p>
            <w:pPr>
              <w:jc w:val="center"/>
              <w:ind w:left="6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7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(212) 474-6745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right="2480" w:hanging="8"/>
        <w:spacing w:after="0" w:line="498" w:lineRule="auto"/>
        <w:tabs>
          <w:tab w:leader="none" w:pos="66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Pre-commencements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w:t>
            </w:r>
          </w:p>
        </w:tc>
      </w:tr>
      <w:tr>
        <w:trPr>
          <w:trHeight w:val="245"/>
        </w:trPr>
        <w:tc>
          <w:tcPr>
            <w:tcW w:w="4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r>
      <w:tr>
        <w:trPr>
          <w:trHeight w:val="194"/>
        </w:trPr>
        <w:tc>
          <w:tcPr>
            <w:tcW w:w="3940" w:type="dxa"/>
            <w:vAlign w:val="bottom"/>
            <w:tcBorders>
              <w:top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Units, each consisting of one share of Class A</w:t>
            </w:r>
          </w:p>
        </w:tc>
        <w:tc>
          <w:tcPr>
            <w:tcW w:w="140" w:type="dxa"/>
            <w:vAlign w:val="bottom"/>
            <w:tcBorders>
              <w:top w:val="single" w:sz="8" w:color="CCEEFF"/>
            </w:tcBorders>
            <w:shd w:val="clear" w:color="auto" w:fill="CCEEFF"/>
          </w:tcPr>
          <w:p>
            <w:pPr>
              <w:spacing w:after="0"/>
              <w:rPr>
                <w:sz w:val="16"/>
                <w:szCs w:val="16"/>
                <w:color w:val="auto"/>
              </w:rPr>
            </w:pPr>
          </w:p>
        </w:tc>
        <w:tc>
          <w:tcPr>
            <w:tcW w:w="3580" w:type="dxa"/>
            <w:vAlign w:val="bottom"/>
            <w:tcBorders>
              <w:top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CMLFU</w:t>
            </w:r>
          </w:p>
        </w:tc>
        <w:tc>
          <w:tcPr>
            <w:tcW w:w="120" w:type="dxa"/>
            <w:vAlign w:val="bottom"/>
            <w:tcBorders>
              <w:top w:val="single" w:sz="8" w:color="CCEEFF"/>
            </w:tcBorders>
            <w:shd w:val="clear" w:color="auto" w:fill="CCEEFF"/>
          </w:tcPr>
          <w:p>
            <w:pPr>
              <w:spacing w:after="0"/>
              <w:rPr>
                <w:sz w:val="16"/>
                <w:szCs w:val="16"/>
                <w:color w:val="auto"/>
              </w:rPr>
            </w:pPr>
          </w:p>
        </w:tc>
        <w:tc>
          <w:tcPr>
            <w:tcW w:w="3460" w:type="dxa"/>
            <w:vAlign w:val="bottom"/>
            <w:tcBorders>
              <w:top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16"/>
        </w:trPr>
        <w:tc>
          <w:tcPr>
            <w:tcW w:w="40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common stock and one-third of one redeemable</w:t>
            </w:r>
          </w:p>
        </w:tc>
        <w:tc>
          <w:tcPr>
            <w:tcW w:w="3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r>
      <w:tr>
        <w:trPr>
          <w:trHeight w:val="238"/>
        </w:trPr>
        <w:tc>
          <w:tcPr>
            <w:tcW w:w="40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warrant</w:t>
            </w:r>
          </w:p>
        </w:tc>
        <w:tc>
          <w:tcPr>
            <w:tcW w:w="3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60" w:type="dxa"/>
            <w:vAlign w:val="bottom"/>
            <w:shd w:val="clear" w:color="auto" w:fill="CCEEFF"/>
          </w:tcPr>
          <w:p>
            <w:pPr>
              <w:spacing w:after="0"/>
              <w:rPr>
                <w:sz w:val="20"/>
                <w:szCs w:val="20"/>
                <w:color w:val="auto"/>
              </w:rPr>
            </w:pPr>
          </w:p>
        </w:tc>
      </w:tr>
      <w:tr>
        <w:trPr>
          <w:trHeight w:val="194"/>
        </w:trPr>
        <w:tc>
          <w:tcPr>
            <w:tcW w:w="4080" w:type="dxa"/>
            <w:vAlign w:val="bottom"/>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Class A common stock, par value $0.0001 per</w:t>
            </w:r>
          </w:p>
        </w:tc>
        <w:tc>
          <w:tcPr>
            <w:tcW w:w="3700" w:type="dxa"/>
            <w:vAlign w:val="bottom"/>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rPr>
              <w:t>CMLF</w:t>
            </w:r>
          </w:p>
        </w:tc>
        <w:tc>
          <w:tcPr>
            <w:tcW w:w="34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4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5"/>
              </w:rPr>
              <w:t>share</w:t>
            </w:r>
          </w:p>
        </w:tc>
        <w:tc>
          <w:tcPr>
            <w:tcW w:w="3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194"/>
        </w:trPr>
        <w:tc>
          <w:tcPr>
            <w:tcW w:w="4080" w:type="dxa"/>
            <w:vAlign w:val="bottom"/>
            <w:gridSpan w:val="2"/>
            <w:shd w:val="clear" w:color="auto" w:fill="CCEEFF"/>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Redeemable warrants, each whole warrant</w:t>
            </w:r>
          </w:p>
        </w:tc>
        <w:tc>
          <w:tcPr>
            <w:tcW w:w="3700" w:type="dxa"/>
            <w:vAlign w:val="bottom"/>
            <w:gridSpan w:val="2"/>
            <w:shd w:val="clear" w:color="auto" w:fill="CCEEFF"/>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CMLFW</w:t>
            </w:r>
          </w:p>
        </w:tc>
        <w:tc>
          <w:tcPr>
            <w:tcW w:w="346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16"/>
        </w:trPr>
        <w:tc>
          <w:tcPr>
            <w:tcW w:w="40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exercisable for one share of Class A common stock,</w:t>
            </w:r>
          </w:p>
        </w:tc>
        <w:tc>
          <w:tcPr>
            <w:tcW w:w="3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r>
      <w:tr>
        <w:trPr>
          <w:trHeight w:val="238"/>
        </w:trPr>
        <w:tc>
          <w:tcPr>
            <w:tcW w:w="40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each at an exercise price of $11.50 per share</w:t>
            </w:r>
          </w:p>
        </w:tc>
        <w:tc>
          <w:tcPr>
            <w:tcW w:w="3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60" w:type="dxa"/>
            <w:vAlign w:val="bottom"/>
            <w:shd w:val="clear" w:color="auto" w:fill="CCEEFF"/>
          </w:tcPr>
          <w:p>
            <w:pPr>
              <w:spacing w:after="0"/>
              <w:rPr>
                <w:sz w:val="20"/>
                <w:szCs w:val="20"/>
                <w:color w:val="auto"/>
              </w:rPr>
            </w:pPr>
          </w:p>
        </w:tc>
      </w:tr>
    </w:tbl>
    <w:p>
      <w:pPr>
        <w:spacing w:after="0" w:line="198" w:lineRule="exact"/>
        <w:rPr>
          <w:sz w:val="24"/>
          <w:szCs w:val="24"/>
          <w:color w:val="auto"/>
        </w:rPr>
      </w:pPr>
    </w:p>
    <w:p>
      <w:pPr>
        <w:jc w:val="both"/>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90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Material Definitive Agreement.</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September 1, 2020, the Registration Statement on Form S-1 (File No. 333-246251), as amended (the “</w:t>
      </w:r>
      <w:r>
        <w:rPr>
          <w:rFonts w:ascii="Times New Roman" w:cs="Times New Roman" w:eastAsia="Times New Roman" w:hAnsi="Times New Roman"/>
          <w:sz w:val="18"/>
          <w:szCs w:val="18"/>
          <w:i w:val="1"/>
          <w:iCs w:val="1"/>
          <w:color w:val="auto"/>
        </w:rPr>
        <w:t>Registration Statement</w:t>
      </w:r>
      <w:r>
        <w:rPr>
          <w:rFonts w:ascii="Times New Roman" w:cs="Times New Roman" w:eastAsia="Times New Roman" w:hAnsi="Times New Roman"/>
          <w:sz w:val="18"/>
          <w:szCs w:val="18"/>
          <w:color w:val="auto"/>
        </w:rPr>
        <w:t>”), relating to the initial public offering (the “</w:t>
      </w:r>
      <w:r>
        <w:rPr>
          <w:rFonts w:ascii="Times New Roman" w:cs="Times New Roman" w:eastAsia="Times New Roman" w:hAnsi="Times New Roman"/>
          <w:sz w:val="18"/>
          <w:szCs w:val="18"/>
          <w:i w:val="1"/>
          <w:iCs w:val="1"/>
          <w:color w:val="auto"/>
        </w:rPr>
        <w:t>IPO</w:t>
      </w:r>
      <w:r>
        <w:rPr>
          <w:rFonts w:ascii="Times New Roman" w:cs="Times New Roman" w:eastAsia="Times New Roman" w:hAnsi="Times New Roman"/>
          <w:sz w:val="18"/>
          <w:szCs w:val="18"/>
          <w:color w:val="auto"/>
        </w:rPr>
        <w:t>”) of CM Life Sciences,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was declared effective by the U.S. Securities and Exchange Commission, and the Company subsequently filed, on September 1, 2020, a registration statement on Form S-1 (File No. 333-248541) pursuant to Rule 462(b) under the Securities Act of 1933, as amended, which was effective immediately upon filing in order to increase the size of the IPO.</w:t>
      </w:r>
    </w:p>
    <w:p>
      <w:pPr>
        <w:spacing w:after="0" w:line="18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On September 4, 2020, the Company consummated the IPO of 44,275,000 units (the “</w:t>
      </w:r>
      <w:r>
        <w:rPr>
          <w:rFonts w:ascii="Times New Roman" w:cs="Times New Roman" w:eastAsia="Times New Roman" w:hAnsi="Times New Roman"/>
          <w:sz w:val="18"/>
          <w:szCs w:val="18"/>
          <w:i w:val="1"/>
          <w:iCs w:val="1"/>
          <w:color w:val="auto"/>
        </w:rPr>
        <w:t>Units</w:t>
      </w:r>
      <w:r>
        <w:rPr>
          <w:rFonts w:ascii="Times New Roman" w:cs="Times New Roman" w:eastAsia="Times New Roman" w:hAnsi="Times New Roman"/>
          <w:sz w:val="18"/>
          <w:szCs w:val="18"/>
          <w:color w:val="auto"/>
        </w:rPr>
        <w:t>”), including the issuance of 5,775,000 Units as a result of the underwriter’s exercise in full of its over-allotment option. Each Unit consists of one share of Class A common stock of the Company, par value $0.0001 per share (“</w:t>
      </w:r>
      <w:r>
        <w:rPr>
          <w:rFonts w:ascii="Times New Roman" w:cs="Times New Roman" w:eastAsia="Times New Roman" w:hAnsi="Times New Roman"/>
          <w:sz w:val="18"/>
          <w:szCs w:val="18"/>
          <w:i w:val="1"/>
          <w:iCs w:val="1"/>
          <w:color w:val="auto"/>
        </w:rPr>
        <w:t>Class A Common Stock</w:t>
      </w:r>
      <w:r>
        <w:rPr>
          <w:rFonts w:ascii="Times New Roman" w:cs="Times New Roman" w:eastAsia="Times New Roman" w:hAnsi="Times New Roman"/>
          <w:sz w:val="18"/>
          <w:szCs w:val="18"/>
          <w:color w:val="auto"/>
        </w:rPr>
        <w:t>”), and one-third of one redeemable warrant of the Company (a “</w:t>
      </w:r>
      <w:r>
        <w:rPr>
          <w:rFonts w:ascii="Times New Roman" w:cs="Times New Roman" w:eastAsia="Times New Roman" w:hAnsi="Times New Roman"/>
          <w:sz w:val="18"/>
          <w:szCs w:val="18"/>
          <w:i w:val="1"/>
          <w:iCs w:val="1"/>
          <w:color w:val="auto"/>
        </w:rPr>
        <w:t>Warrant</w:t>
      </w:r>
      <w:r>
        <w:rPr>
          <w:rFonts w:ascii="Times New Roman" w:cs="Times New Roman" w:eastAsia="Times New Roman" w:hAnsi="Times New Roman"/>
          <w:sz w:val="18"/>
          <w:szCs w:val="18"/>
          <w:color w:val="auto"/>
        </w:rPr>
        <w:t>”), with each whole Warrant entitling the holder thereof to purchase one share of Class A Common Stock for $11.50 per share, subject to adjustment. The Units were sold at a price of $10.00 per Unit, generating gross proceeds to the Company of $442,750,000.</w:t>
      </w:r>
    </w:p>
    <w:p>
      <w:pPr>
        <w:spacing w:after="0" w:line="185"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IPO, the Company entered into the following agreements previously filed as exhibits to the Company’s Registration Statement:</w:t>
      </w:r>
    </w:p>
    <w:p>
      <w:pPr>
        <w:spacing w:after="0" w:line="162" w:lineRule="exact"/>
        <w:rPr>
          <w:sz w:val="20"/>
          <w:szCs w:val="20"/>
          <w:color w:val="auto"/>
        </w:rPr>
      </w:pPr>
    </w:p>
    <w:p>
      <w:pPr>
        <w:ind w:left="660" w:right="18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Underwriting Agreement, dated September 1, 2020, by and between the Company and Jefferies LLC, as representative of the underwriters named therein, which contains customary representations and warranties and indemnification of the underwriter by the Company and is attached as Exhibit 1.1 hereto.</w:t>
      </w:r>
    </w:p>
    <w:p>
      <w:pPr>
        <w:spacing w:after="0" w:line="175"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Warrant Agreement, dated September 1, 2020, by and between the Company and Continental Stock Transfer &amp; Trust Company, as warrant agent, a copy of which is attached as Exhibit 10.1 hereto and incorporated herein by reference.</w:t>
      </w:r>
    </w:p>
    <w:p>
      <w:pPr>
        <w:spacing w:after="0" w:line="16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Management Trust Agreement, dated September 1, 2020, by and between the Company and Continental Stock Transfer &amp; Trust Company, as trustee, a copy of which is attached as Exhibit 10.2 hereto and incorporated herein by reference.</w:t>
      </w:r>
    </w:p>
    <w:p>
      <w:pPr>
        <w:spacing w:after="0" w:line="159" w:lineRule="exact"/>
        <w:rPr>
          <w:rFonts w:ascii="Times New Roman" w:cs="Times New Roman" w:eastAsia="Times New Roman" w:hAnsi="Times New Roman"/>
          <w:sz w:val="18"/>
          <w:szCs w:val="18"/>
          <w:color w:val="auto"/>
        </w:rPr>
      </w:pPr>
    </w:p>
    <w:p>
      <w:pPr>
        <w:ind w:left="660" w:right="100" w:hanging="328"/>
        <w:spacing w:after="0" w:line="28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Registration Rights Agreement, dated September 1, 2020, by and among the Company, CMLS Holdings LLC (the “</w:t>
      </w:r>
      <w:r>
        <w:rPr>
          <w:rFonts w:ascii="Times New Roman" w:cs="Times New Roman" w:eastAsia="Times New Roman" w:hAnsi="Times New Roman"/>
          <w:sz w:val="18"/>
          <w:szCs w:val="18"/>
          <w:i w:val="1"/>
          <w:iCs w:val="1"/>
          <w:color w:val="auto"/>
        </w:rPr>
        <w:t>Sponsor</w:t>
      </w:r>
      <w:r>
        <w:rPr>
          <w:rFonts w:ascii="Times New Roman" w:cs="Times New Roman" w:eastAsia="Times New Roman" w:hAnsi="Times New Roman"/>
          <w:sz w:val="18"/>
          <w:szCs w:val="18"/>
          <w:color w:val="auto"/>
        </w:rPr>
        <w:t>”) and certain other security holders named therein, a copy of which is attached as Exhibit 10.3 hereto and incorporated herein by reference.</w:t>
      </w:r>
    </w:p>
    <w:p>
      <w:pPr>
        <w:spacing w:after="0" w:line="160" w:lineRule="exact"/>
        <w:rPr>
          <w:rFonts w:ascii="Times New Roman" w:cs="Times New Roman" w:eastAsia="Times New Roman" w:hAnsi="Times New Roman"/>
          <w:sz w:val="18"/>
          <w:szCs w:val="18"/>
          <w:color w:val="auto"/>
        </w:rPr>
      </w:pPr>
    </w:p>
    <w:p>
      <w:pPr>
        <w:jc w:val="both"/>
        <w:ind w:left="660" w:right="660" w:hanging="328"/>
        <w:spacing w:after="0" w:line="312" w:lineRule="auto"/>
        <w:tabs>
          <w:tab w:leader="none" w:pos="6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Private Placement Warrants Purchase Agreement, dated September 1, 2020, by and among the Company, the Sponsor and certain of the Company’s directors named in Exhibit A thereto, a copy of which is attached as Exhibit 10.4 hereto and incorporated herein by reference.</w:t>
      </w:r>
    </w:p>
    <w:p>
      <w:pPr>
        <w:spacing w:after="0" w:line="137" w:lineRule="exact"/>
        <w:rPr>
          <w:rFonts w:ascii="Times New Roman" w:cs="Times New Roman" w:eastAsia="Times New Roman" w:hAnsi="Times New Roman"/>
          <w:sz w:val="17"/>
          <w:szCs w:val="17"/>
          <w:color w:val="auto"/>
        </w:rPr>
      </w:pPr>
    </w:p>
    <w:p>
      <w:pPr>
        <w:ind w:left="660" w:right="680" w:hanging="328"/>
        <w:spacing w:after="0" w:line="28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Letter Agreement, dated September 1, 2020, by and among the Company, each of its officers and directors and the Sponsor (the “</w:t>
      </w:r>
      <w:r>
        <w:rPr>
          <w:rFonts w:ascii="Times New Roman" w:cs="Times New Roman" w:eastAsia="Times New Roman" w:hAnsi="Times New Roman"/>
          <w:sz w:val="18"/>
          <w:szCs w:val="18"/>
          <w:i w:val="1"/>
          <w:iCs w:val="1"/>
          <w:color w:val="auto"/>
        </w:rPr>
        <w:t>Letter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a copy of which is attached as Exhibit 10.5 hereto and incorporated herein by reference.</w:t>
      </w:r>
    </w:p>
    <w:p>
      <w:pPr>
        <w:spacing w:after="0" w:line="160"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Forward Purchase Agreement, dated September 1, 2020, by and between the Company and Casdin Capital, LLC, a copy of which is attached as Exhibit 10.6 hereto and incorporated herein by reference.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Forward Purchase Agreement, dated September 1, 2020, by and between the Company and Corvex Management LP, a copy of which is attached as Exhibit 10.7 hereto and incorporated herein by reference.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7"/>
          <w:szCs w:val="17"/>
          <w:b w:val="1"/>
          <w:bCs w:val="1"/>
          <w:color w:val="auto"/>
        </w:rPr>
        <w:t>Unregistered Sales of Equity Securities.</w:t>
      </w:r>
    </w:p>
    <w:p>
      <w:pPr>
        <w:spacing w:after="0" w:line="227"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Simultaneously with the closing of the IPO, the Company completed the private sale of an aggregate of 7,236,667 warrants (the “</w:t>
      </w:r>
      <w:r>
        <w:rPr>
          <w:rFonts w:ascii="Times New Roman" w:cs="Times New Roman" w:eastAsia="Times New Roman" w:hAnsi="Times New Roman"/>
          <w:sz w:val="18"/>
          <w:szCs w:val="18"/>
          <w:i w:val="1"/>
          <w:iCs w:val="1"/>
          <w:color w:val="auto"/>
        </w:rPr>
        <w:t>Private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Placement Warrants</w:t>
      </w:r>
      <w:r>
        <w:rPr>
          <w:rFonts w:ascii="Times New Roman" w:cs="Times New Roman" w:eastAsia="Times New Roman" w:hAnsi="Times New Roman"/>
          <w:sz w:val="18"/>
          <w:szCs w:val="18"/>
          <w:color w:val="auto"/>
        </w:rPr>
        <w:t>”) at a purchase price of $1.50 per Private Placement Warrant, to the Sponsor and certain of the Company’s directors (collectively,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Private Placement Warrant Purchasers</w:t>
      </w:r>
      <w:r>
        <w:rPr>
          <w:rFonts w:ascii="Times New Roman" w:cs="Times New Roman" w:eastAsia="Times New Roman" w:hAnsi="Times New Roman"/>
          <w:sz w:val="18"/>
          <w:szCs w:val="18"/>
          <w:color w:val="auto"/>
        </w:rPr>
        <w:t>”), generating gross proceeds to the Company of $10,855,000. The Private Placement Warrants are identical to the Warrants sold in the IPO, except that, so long as the Private Placement Warrants are held by the Private Placement Warrant Purchasers and their permitted transferees: (i) they are not redeemable by the Company, except under certain circumstances when the price per share of Class A Common Stock equals or exceeds $10.00 (as adjusted), (ii) they (including the shares of Class A Common Stock issuable upon exercise of the Private Placement Warrants) may not, subject to certain limited exceptions, be transferred, assigned or sold until 30 days after the completion of a business combination, (iii) they are exercisable on a cashless basis and (iv) they are entitled to registration rights.</w:t>
      </w:r>
    </w:p>
    <w:p>
      <w:pPr>
        <w:spacing w:after="0" w:line="183" w:lineRule="exact"/>
        <w:rPr>
          <w:sz w:val="20"/>
          <w:szCs w:val="20"/>
          <w:color w:val="auto"/>
        </w:rPr>
      </w:pPr>
    </w:p>
    <w:p>
      <w:pPr>
        <w:ind w:left="980" w:right="10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September 2, 2020, in connection with the IPO, Dr. Sean George, Mr. Munib Islam, Dr. Emily Leproust and Mr. Nat Turner (collectively, the “</w:t>
      </w:r>
      <w:r>
        <w:rPr>
          <w:rFonts w:ascii="Times New Roman" w:cs="Times New Roman" w:eastAsia="Times New Roman" w:hAnsi="Times New Roman"/>
          <w:sz w:val="18"/>
          <w:szCs w:val="18"/>
          <w:i w:val="1"/>
          <w:iCs w:val="1"/>
          <w:color w:val="auto"/>
        </w:rPr>
        <w:t>Directors</w:t>
      </w:r>
      <w:r>
        <w:rPr>
          <w:rFonts w:ascii="Times New Roman" w:cs="Times New Roman" w:eastAsia="Times New Roman" w:hAnsi="Times New Roman"/>
          <w:sz w:val="18"/>
          <w:szCs w:val="18"/>
          <w:color w:val="auto"/>
        </w:rPr>
        <w:t>”) were appointed to the board of directors of the Company (the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The Directors are independent directors. Effective September 2, 2020, Dr. George, Mr. Islam and Dr. Leproust were also appointed to the Board’s Audit Committee, with Mr. Islam serving as chair of the Audit Committee; Mr. Islam, Dr. Leproust and Mr. Turner were appointed to the Board’s Compensation Committee, with Dr. Leproust serving as chair of the Compensation Committee; and Dr. George, Mr. Islam and Mr. Meister were appointed to the Nominating and Corporate Governance Committee, with Dr. George serving as chair of the Nominating and Corporate Governance Committee.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Following the appointment of the Directors, the Board is comprised of the following three classes: the term of office of the first class of directors, Class I, consists of Drs. George and Leproust and will expire at the Company’s first annual meeting of stockholders; the term of office of the second class of directors, Class II, consists of Messrs. Islam and Turner and will expire at the Company’s second annual meeting of stockholders; and the term of office of the third class of directors, Class III, consists of Messrs. Casdin and Meister and will expire at the Company’s third annual meeting of stockholders.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their appointments to the Board, each Director entered into the Letter Agreement as well as an indemnity agreement with the Company in the form previously filed as Exhibit 10.5 to the Registration Statement. In addition, in August 2020, the Sponsor transferred 25,000 shares of Class B common stock, par value $0.0001 per share, of the Company to each of Mr. Islam, Dr. Leproust and Mr. Turner for the same per-share price initially paid by the Sponsor.</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than the foregoing, none of the Directors are party to any arrangement or understanding with any person pursuant to which they were appointed as directors, nor are they party to any transactions required to be disclosed under Item 404(a) of Regulation S-K involving the Company.</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Letter Agreement and the form of indemnity agreement do not purport to be complete and are qualified in their entireties by reference to the Letter Agreement and form of indemnity agreement, copies of which are attached as Exhibit 10.5 hereto and Exhibit 10.5 to the Registration Statement, respectively, and are incorporated herein by reference.</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5.03.</w:t>
        <w:tab/>
        <w:t>Amendments to Certificate of Incorporation or Bylaws.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September 1, 2020, in connection with the IPO, the Company adopted its Second Amended and Restated Certificate of Incorporation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Amended and Restated Charter</w:t>
      </w:r>
      <w:r>
        <w:rPr>
          <w:rFonts w:ascii="Times New Roman" w:cs="Times New Roman" w:eastAsia="Times New Roman" w:hAnsi="Times New Roman"/>
          <w:sz w:val="18"/>
          <w:szCs w:val="18"/>
          <w:color w:val="auto"/>
        </w:rPr>
        <w:t>”), effective the same day. The terms of the Amended and Restated Charter are set forth in the Registration Statement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incorporated herein by reference. A copy of the Amended and Restated Charter is attached as Exhibit 3.1 hereto and incorporated herein by reference.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 total of $442,750,000, comprised of $433,895,000 of the proceeds from the IPO (which amount includes $15,496,250 of deferred underwriting commissions) and $8,855,000 of proceeds from the sale of the Private Placement Warrants, were placed in a U.S.-based trust account at JP Morgan Chase Bank, N.A., maintained by Continental Stock Transfer &amp; Trust Company, acting as trustee. Except with respect to interest earned on the funds held in the trust account that may be released to the Company to pay its taxes, the funds in the trust account will not be released from the trust account until the earliest to occur of: (i) the completion of the Company’s initial business combination, (ii) the redemption of the Company’s public shares if the Company has not completed its initial business combination within 24 months from the closing of the IPO or during any extension period that may apply as a result of an amendment to the Amended and Restated Charter, subject to applicable law, and (iii) the redemption of the Company’s public shares properly tendered in connection with a stockholder vote to amend the Company’s Amended and Restated Charter to modify the substance or timing of its obligation to redeem 100% of its public shares if the Company does not complete its initial business combination within 24 months from the closing of the IPO or with respect to any other provisions relating to stockholders’ rights or pre-initial business combination activity.</w:t>
      </w:r>
    </w:p>
    <w:p>
      <w:pPr>
        <w:spacing w:after="0" w:line="194"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On September 1, 2020, the Company issued a press release, a copy of which is attached as Exhibit 99.1 to this Current Report on Form 8-K, announcing the pricing of the IPO.</w:t>
      </w:r>
    </w:p>
    <w:p>
      <w:pPr>
        <w:spacing w:after="0" w:line="162"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On September 4, 2020, the Company issued a press release, a copy of which is attached as Exhibit 99.2 to this Current Report on Form 8-K, announcing the closing of the IPO.</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INDEX</w:t>
      </w:r>
    </w:p>
    <w:p>
      <w:pPr>
        <w:sectPr>
          <w:pgSz w:w="11900" w:h="16838" w:orient="portrait"/>
          <w:cols w:equalWidth="0" w:num="1">
            <w:col w:w="11220"/>
          </w:cols>
          <w:pgMar w:left="320" w:top="900" w:right="35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jc w:val="center"/>
        <w:ind w:right="4760"/>
        <w:spacing w:after="0"/>
        <w:rPr>
          <w:sz w:val="20"/>
          <w:szCs w:val="20"/>
          <w:color w:val="auto"/>
        </w:rPr>
      </w:pP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27305</wp:posOffset>
            </wp:positionV>
            <wp:extent cx="71323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4860" w:space="720"/>
            <w:col w:w="5640"/>
          </w:cols>
          <w:pgMar w:left="320" w:top="900" w:right="359" w:bottom="1440" w:gutter="0" w:footer="0" w:header="0"/>
          <w:type w:val="continuous"/>
        </w:sectPr>
      </w:pPr>
    </w:p>
    <w:p>
      <w:pPr>
        <w:spacing w:after="0"/>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1.1</w:t>
      </w:r>
      <w:r>
        <w:rPr>
          <w:sz w:val="20"/>
          <w:szCs w:val="20"/>
          <w:color w:val="auto"/>
        </w:rPr>
        <w:tab/>
      </w:r>
      <w:hyperlink w:anchor="page6">
        <w:r>
          <w:rPr>
            <w:rFonts w:ascii="Times New Roman" w:cs="Times New Roman" w:eastAsia="Times New Roman" w:hAnsi="Times New Roman"/>
            <w:sz w:val="18"/>
            <w:szCs w:val="18"/>
            <w:u w:val="single" w:color="auto"/>
            <w:color w:val="0000EE"/>
          </w:rPr>
          <w:t>Underwriting Agreement, dated September 1, 2020, by and between the Company and Jefferies LLC.</w:t>
        </w:r>
      </w:hyperlink>
    </w:p>
    <w:p>
      <w:pPr>
        <w:spacing w:after="0" w:line="27" w:lineRule="exact"/>
        <w:rPr>
          <w:sz w:val="20"/>
          <w:szCs w:val="20"/>
          <w:color w:val="auto"/>
        </w:rPr>
      </w:pPr>
    </w:p>
    <w:p>
      <w:pPr>
        <w:spacing w:after="0"/>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w:anchor="page46">
        <w:r>
          <w:rPr>
            <w:rFonts w:ascii="Times New Roman" w:cs="Times New Roman" w:eastAsia="Times New Roman" w:hAnsi="Times New Roman"/>
            <w:sz w:val="18"/>
            <w:szCs w:val="18"/>
            <w:u w:val="single" w:color="auto"/>
            <w:color w:val="0000EE"/>
          </w:rPr>
          <w:t>Second Amended and Restated Certificate of Incorporation</w:t>
        </w:r>
        <w:r>
          <w:rPr>
            <w:rFonts w:ascii="Times New Roman" w:cs="Times New Roman" w:eastAsia="Times New Roman" w:hAnsi="Times New Roman"/>
            <w:sz w:val="18"/>
            <w:szCs w:val="18"/>
            <w:color w:val="0000EE"/>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800" w:right="420" w:hanging="795"/>
        <w:spacing w:after="0" w:line="25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w:anchor="page62">
        <w:r>
          <w:rPr>
            <w:rFonts w:ascii="Times New Roman" w:cs="Times New Roman" w:eastAsia="Times New Roman" w:hAnsi="Times New Roman"/>
            <w:sz w:val="18"/>
            <w:szCs w:val="18"/>
            <w:u w:val="single" w:color="auto"/>
            <w:color w:val="0000EE"/>
          </w:rPr>
          <w:t>Warrant Agreement, dated September 1, 2020, by and between the Company and Continental Stock Transfer &amp; Trust Company, as warrant</w:t>
        </w:r>
      </w:hyperlink>
      <w:r>
        <w:rPr>
          <w:rFonts w:ascii="Times New Roman" w:cs="Times New Roman" w:eastAsia="Times New Roman" w:hAnsi="Times New Roman"/>
          <w:sz w:val="18"/>
          <w:szCs w:val="18"/>
          <w:u w:val="single" w:color="auto"/>
          <w:color w:val="0000EE"/>
        </w:rPr>
        <w:t xml:space="preserve"> </w:t>
      </w:r>
      <w:hyperlink w:anchor="page62">
        <w:r>
          <w:rPr>
            <w:rFonts w:ascii="Times New Roman" w:cs="Times New Roman" w:eastAsia="Times New Roman" w:hAnsi="Times New Roman"/>
            <w:sz w:val="18"/>
            <w:szCs w:val="18"/>
            <w:u w:val="single" w:color="auto"/>
            <w:color w:val="0000EE"/>
          </w:rPr>
          <w:t>agent.</w:t>
        </w:r>
      </w:hyperlink>
    </w:p>
    <w:p>
      <w:pPr>
        <w:spacing w:after="0" w:line="1" w:lineRule="exact"/>
        <w:rPr>
          <w:sz w:val="20"/>
          <w:szCs w:val="20"/>
          <w:color w:val="auto"/>
        </w:rPr>
      </w:pPr>
    </w:p>
    <w:p>
      <w:pPr>
        <w:ind w:left="800" w:right="360" w:hanging="795"/>
        <w:spacing w:after="0" w:line="25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w:t>
      </w:r>
      <w:r>
        <w:rPr>
          <w:sz w:val="20"/>
          <w:szCs w:val="20"/>
          <w:color w:val="auto"/>
        </w:rPr>
        <w:tab/>
      </w:r>
      <w:hyperlink w:anchor="page87">
        <w:r>
          <w:rPr>
            <w:rFonts w:ascii="Times New Roman" w:cs="Times New Roman" w:eastAsia="Times New Roman" w:hAnsi="Times New Roman"/>
            <w:sz w:val="18"/>
            <w:szCs w:val="18"/>
            <w:u w:val="single" w:color="auto"/>
            <w:color w:val="0000EE"/>
          </w:rPr>
          <w:t>Investment Management Trust Agreement, dated September 1, 2020, by and between the Company and Continental Stock Transfer &amp; Trust</w:t>
        </w:r>
      </w:hyperlink>
      <w:r>
        <w:rPr>
          <w:rFonts w:ascii="Times New Roman" w:cs="Times New Roman" w:eastAsia="Times New Roman" w:hAnsi="Times New Roman"/>
          <w:sz w:val="18"/>
          <w:szCs w:val="18"/>
          <w:u w:val="single" w:color="auto"/>
          <w:color w:val="0000EE"/>
        </w:rPr>
        <w:t xml:space="preserve"> </w:t>
      </w:r>
      <w:hyperlink w:anchor="page87">
        <w:r>
          <w:rPr>
            <w:rFonts w:ascii="Times New Roman" w:cs="Times New Roman" w:eastAsia="Times New Roman" w:hAnsi="Times New Roman"/>
            <w:sz w:val="18"/>
            <w:szCs w:val="18"/>
            <w:u w:val="single" w:color="auto"/>
            <w:color w:val="0000EE"/>
          </w:rPr>
          <w:t>Company, as trustee.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800" w:right="540" w:hanging="795"/>
        <w:spacing w:after="0" w:line="25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w:t>
      </w:r>
      <w:r>
        <w:rPr>
          <w:sz w:val="20"/>
          <w:szCs w:val="20"/>
          <w:color w:val="auto"/>
        </w:rPr>
        <w:tab/>
      </w:r>
      <w:hyperlink w:anchor="page101">
        <w:r>
          <w:rPr>
            <w:rFonts w:ascii="Times New Roman" w:cs="Times New Roman" w:eastAsia="Times New Roman" w:hAnsi="Times New Roman"/>
            <w:sz w:val="18"/>
            <w:szCs w:val="18"/>
            <w:u w:val="single" w:color="auto"/>
            <w:color w:val="0000EE"/>
          </w:rPr>
          <w:t>Registration Rights Agreement, dated September 1, 2020, by and among the Company, CMLS Holdings LLC and the other holders party</w:t>
        </w:r>
      </w:hyperlink>
      <w:r>
        <w:rPr>
          <w:rFonts w:ascii="Times New Roman" w:cs="Times New Roman" w:eastAsia="Times New Roman" w:hAnsi="Times New Roman"/>
          <w:sz w:val="18"/>
          <w:szCs w:val="18"/>
          <w:u w:val="single" w:color="auto"/>
          <w:color w:val="0000EE"/>
        </w:rPr>
        <w:t xml:space="preserve"> </w:t>
      </w:r>
      <w:hyperlink w:anchor="page101">
        <w:r>
          <w:rPr>
            <w:rFonts w:ascii="Times New Roman" w:cs="Times New Roman" w:eastAsia="Times New Roman" w:hAnsi="Times New Roman"/>
            <w:sz w:val="18"/>
            <w:szCs w:val="18"/>
            <w:u w:val="single" w:color="auto"/>
            <w:color w:val="0000EE"/>
          </w:rPr>
          <w:t>thereto.</w:t>
        </w:r>
      </w:hyperlink>
    </w:p>
    <w:p>
      <w:pPr>
        <w:spacing w:after="0" w:line="1" w:lineRule="exact"/>
        <w:rPr>
          <w:sz w:val="20"/>
          <w:szCs w:val="20"/>
          <w:color w:val="auto"/>
        </w:rPr>
      </w:pPr>
    </w:p>
    <w:p>
      <w:pPr>
        <w:ind w:left="800" w:right="240" w:hanging="795"/>
        <w:spacing w:after="0" w:line="25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w:t>
      </w:r>
      <w:r>
        <w:rPr>
          <w:sz w:val="20"/>
          <w:szCs w:val="20"/>
          <w:color w:val="auto"/>
        </w:rPr>
        <w:tab/>
      </w:r>
      <w:hyperlink w:anchor="page117">
        <w:r>
          <w:rPr>
            <w:rFonts w:ascii="Times New Roman" w:cs="Times New Roman" w:eastAsia="Times New Roman" w:hAnsi="Times New Roman"/>
            <w:sz w:val="18"/>
            <w:szCs w:val="18"/>
            <w:u w:val="single" w:color="auto"/>
            <w:color w:val="0000EE"/>
          </w:rPr>
          <w:t>Private Placement Warrants Purchase Agreement, dated September 1, 2020 by and among the Company, CMLS Holdings LLC and certain of</w:t>
        </w:r>
      </w:hyperlink>
      <w:r>
        <w:rPr>
          <w:rFonts w:ascii="Times New Roman" w:cs="Times New Roman" w:eastAsia="Times New Roman" w:hAnsi="Times New Roman"/>
          <w:sz w:val="18"/>
          <w:szCs w:val="18"/>
          <w:u w:val="single" w:color="auto"/>
          <w:color w:val="0000EE"/>
        </w:rPr>
        <w:t xml:space="preserve"> </w:t>
      </w:r>
      <w:hyperlink w:anchor="page117">
        <w:r>
          <w:rPr>
            <w:rFonts w:ascii="Times New Roman" w:cs="Times New Roman" w:eastAsia="Times New Roman" w:hAnsi="Times New Roman"/>
            <w:sz w:val="18"/>
            <w:szCs w:val="18"/>
            <w:u w:val="single" w:color="auto"/>
            <w:color w:val="0000EE"/>
          </w:rPr>
          <w:t>the Company’s directors named in Exhibit A thereto.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tabs>
          <w:tab w:leader="none" w:pos="7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10.5</w:t>
      </w:r>
      <w:r>
        <w:rPr>
          <w:sz w:val="20"/>
          <w:szCs w:val="20"/>
          <w:color w:val="auto"/>
        </w:rPr>
        <w:tab/>
      </w:r>
      <w:hyperlink w:anchor="page125">
        <w:r>
          <w:rPr>
            <w:rFonts w:ascii="Times New Roman" w:cs="Times New Roman" w:eastAsia="Times New Roman" w:hAnsi="Times New Roman"/>
            <w:sz w:val="17"/>
            <w:szCs w:val="17"/>
            <w:u w:val="single" w:color="auto"/>
            <w:color w:val="0000EE"/>
          </w:rPr>
          <w:t>Letter Agreement, dated September 1, 2020, by and among the Company, its officers, its directors and CMLS Holdings LLC.</w:t>
        </w:r>
      </w:hyperlink>
    </w:p>
    <w:p>
      <w:pPr>
        <w:spacing w:after="0" w:line="9" w:lineRule="exact"/>
        <w:rPr>
          <w:sz w:val="20"/>
          <w:szCs w:val="20"/>
          <w:color w:val="auto"/>
        </w:rPr>
      </w:pPr>
    </w:p>
    <w:p>
      <w:pPr>
        <w:spacing w:after="0"/>
        <w:tabs>
          <w:tab w:leader="none" w:pos="7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10.6</w:t>
      </w:r>
      <w:r>
        <w:rPr>
          <w:sz w:val="20"/>
          <w:szCs w:val="20"/>
          <w:color w:val="auto"/>
        </w:rPr>
        <w:tab/>
      </w:r>
      <w:hyperlink w:anchor="page132">
        <w:r>
          <w:rPr>
            <w:rFonts w:ascii="Times New Roman" w:cs="Times New Roman" w:eastAsia="Times New Roman" w:hAnsi="Times New Roman"/>
            <w:sz w:val="17"/>
            <w:szCs w:val="17"/>
            <w:u w:val="single" w:color="auto"/>
            <w:color w:val="0000EE"/>
          </w:rPr>
          <w:t>Forward Purchase Agreement, dated September 1, 2020, by and between the Company and Casdin Capital,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tabs>
          <w:tab w:leader="none" w:pos="7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w:anchor="page151">
        <w:r>
          <w:rPr>
            <w:rFonts w:ascii="Times New Roman" w:cs="Times New Roman" w:eastAsia="Times New Roman" w:hAnsi="Times New Roman"/>
            <w:sz w:val="17"/>
            <w:szCs w:val="17"/>
            <w:u w:val="single" w:color="auto"/>
            <w:color w:val="0000EE"/>
          </w:rPr>
          <w:t>Forward Purchase Agreement, dated September 1, 2020, by and between the Company and Corvex Management LP.</w:t>
        </w:r>
      </w:hyperlink>
    </w:p>
    <w:p>
      <w:pPr>
        <w:spacing w:after="0" w:line="9" w:lineRule="exact"/>
        <w:rPr>
          <w:sz w:val="20"/>
          <w:szCs w:val="20"/>
          <w:color w:val="auto"/>
        </w:rPr>
      </w:pPr>
    </w:p>
    <w:p>
      <w:pPr>
        <w:spacing w:after="0"/>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170">
        <w:r>
          <w:rPr>
            <w:rFonts w:ascii="Times New Roman" w:cs="Times New Roman" w:eastAsia="Times New Roman" w:hAnsi="Times New Roman"/>
            <w:sz w:val="18"/>
            <w:szCs w:val="18"/>
            <w:u w:val="single" w:color="auto"/>
            <w:color w:val="0000EE"/>
          </w:rPr>
          <w:t>Press Release, dated September 1, 2020</w:t>
        </w:r>
        <w:r>
          <w:rPr>
            <w:rFonts w:ascii="Times New Roman" w:cs="Times New Roman" w:eastAsia="Times New Roman" w:hAnsi="Times New Roman"/>
            <w:sz w:val="18"/>
            <w:szCs w:val="18"/>
            <w:color w:val="0000EE"/>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99.2</w:t>
      </w:r>
      <w:r>
        <w:rPr>
          <w:sz w:val="20"/>
          <w:szCs w:val="20"/>
          <w:color w:val="auto"/>
        </w:rPr>
        <w:tab/>
      </w:r>
      <w:hyperlink w:anchor="page171">
        <w:r>
          <w:rPr>
            <w:rFonts w:ascii="Times New Roman" w:cs="Times New Roman" w:eastAsia="Times New Roman" w:hAnsi="Times New Roman"/>
            <w:sz w:val="18"/>
            <w:szCs w:val="18"/>
            <w:u w:val="single" w:color="auto"/>
            <w:color w:val="0000EE"/>
          </w:rPr>
          <w:t>Press Release, dated September 4, 2020</w:t>
        </w:r>
        <w:r>
          <w:rPr>
            <w:rFonts w:ascii="Times New Roman" w:cs="Times New Roman" w:eastAsia="Times New Roman" w:hAnsi="Times New Roman"/>
            <w:sz w:val="18"/>
            <w:szCs w:val="18"/>
            <w:color w:val="0000EE"/>
          </w:rPr>
          <w:t>.</w:t>
        </w:r>
      </w:hyperlink>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540" w:type="dxa"/>
            <w:vAlign w:val="bottom"/>
            <w:gridSpan w:val="2"/>
          </w:tcPr>
          <w:p>
            <w:pPr>
              <w:ind w:left="3060"/>
              <w:spacing w:after="0"/>
              <w:rPr>
                <w:sz w:val="20"/>
                <w:szCs w:val="20"/>
                <w:color w:val="auto"/>
              </w:rPr>
            </w:pPr>
            <w:r>
              <w:rPr>
                <w:rFonts w:ascii="Times New Roman" w:cs="Times New Roman" w:eastAsia="Times New Roman" w:hAnsi="Times New Roman"/>
                <w:sz w:val="18"/>
                <w:szCs w:val="18"/>
                <w:color w:val="auto"/>
              </w:rPr>
              <w:t>CM Life Sciences, Inc.</w:t>
            </w:r>
          </w:p>
        </w:tc>
      </w:tr>
      <w:tr>
        <w:trPr>
          <w:trHeight w:val="43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4, 2020</w:t>
            </w:r>
          </w:p>
        </w:tc>
        <w:tc>
          <w:tcPr>
            <w:tcW w:w="362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Emes</w:t>
            </w:r>
          </w:p>
        </w:tc>
      </w:tr>
      <w:tr>
        <w:trPr>
          <w:trHeight w:val="198"/>
        </w:trPr>
        <w:tc>
          <w:tcPr>
            <w:tcW w:w="3700" w:type="dxa"/>
            <w:vAlign w:val="bottom"/>
          </w:tcPr>
          <w:p>
            <w:pPr>
              <w:spacing w:after="0"/>
              <w:rPr>
                <w:sz w:val="17"/>
                <w:szCs w:val="17"/>
                <w:color w:val="auto"/>
              </w:rPr>
            </w:pPr>
          </w:p>
        </w:tc>
        <w:tc>
          <w:tcPr>
            <w:tcW w:w="3620" w:type="dxa"/>
            <w:vAlign w:val="bottom"/>
          </w:tcPr>
          <w:p>
            <w:pPr>
              <w:ind w:left="30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Brian Emes</w:t>
            </w:r>
          </w:p>
        </w:tc>
      </w:tr>
      <w:tr>
        <w:trPr>
          <w:trHeight w:val="234"/>
        </w:trPr>
        <w:tc>
          <w:tcPr>
            <w:tcW w:w="3700" w:type="dxa"/>
            <w:vAlign w:val="bottom"/>
          </w:tcPr>
          <w:p>
            <w:pPr>
              <w:spacing w:after="0"/>
              <w:rPr>
                <w:sz w:val="20"/>
                <w:szCs w:val="20"/>
                <w:color w:val="auto"/>
              </w:rPr>
            </w:pPr>
          </w:p>
        </w:tc>
        <w:tc>
          <w:tcPr>
            <w:tcW w:w="362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Secretary</w:t>
            </w:r>
          </w:p>
        </w:tc>
      </w:tr>
      <w:tr>
        <w:trPr>
          <w:trHeight w:val="655"/>
        </w:trPr>
        <w:tc>
          <w:tcPr>
            <w:tcW w:w="37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8"/>
                <w:szCs w:val="18"/>
                <w:color w:val="auto"/>
              </w:rPr>
              <w:t>5</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38,500,000 Units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CM Life Sciences,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UNDERWRITING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September 1,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 of the several Underwriters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Introductory. </w:t>
      </w:r>
      <w:r>
        <w:rPr>
          <w:rFonts w:ascii="Times New Roman" w:cs="Times New Roman" w:eastAsia="Times New Roman" w:hAnsi="Times New Roman"/>
          <w:sz w:val="18"/>
          <w:szCs w:val="18"/>
          <w:color w:val="auto"/>
        </w:rPr>
        <w:t>CM Life Sciences,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proposes, upon the terms and subject to the conditions set forth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this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to issue and sell to the several underwriters named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an aggregate of 38,500,000 units of the Company (the “</w:t>
      </w: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18"/>
          <w:szCs w:val="18"/>
          <w:color w:val="auto"/>
        </w:rPr>
        <w:t>”). The 38,500,000 Units to be sold by the Company are called the “</w:t>
      </w:r>
      <w:r>
        <w:rPr>
          <w:rFonts w:ascii="Times New Roman" w:cs="Times New Roman" w:eastAsia="Times New Roman" w:hAnsi="Times New Roman"/>
          <w:sz w:val="18"/>
          <w:szCs w:val="18"/>
          <w:b w:val="1"/>
          <w:bCs w:val="1"/>
          <w:color w:val="auto"/>
        </w:rPr>
        <w:t>Firm Securities</w:t>
      </w:r>
      <w:r>
        <w:rPr>
          <w:rFonts w:ascii="Times New Roman" w:cs="Times New Roman" w:eastAsia="Times New Roman" w:hAnsi="Times New Roman"/>
          <w:sz w:val="18"/>
          <w:szCs w:val="18"/>
          <w:color w:val="auto"/>
        </w:rPr>
        <w:t>.” In addition, the Company has granted to the Underwriters an option to purchase up to an additional 5,775,000 Units as provided in Section 2. The additional 5,775,000 Units to be sold by the Company pursuant to such option are collectively called the “</w:t>
      </w:r>
      <w:r>
        <w:rPr>
          <w:rFonts w:ascii="Times New Roman" w:cs="Times New Roman" w:eastAsia="Times New Roman" w:hAnsi="Times New Roman"/>
          <w:sz w:val="18"/>
          <w:szCs w:val="18"/>
          <w:b w:val="1"/>
          <w:bCs w:val="1"/>
          <w:color w:val="auto"/>
        </w:rPr>
        <w:t>Optional Securities</w:t>
      </w:r>
      <w:r>
        <w:rPr>
          <w:rFonts w:ascii="Times New Roman" w:cs="Times New Roman" w:eastAsia="Times New Roman" w:hAnsi="Times New Roman"/>
          <w:sz w:val="18"/>
          <w:szCs w:val="18"/>
          <w:color w:val="auto"/>
        </w:rPr>
        <w:t>.” The Firm Securities and, if and to the extent such option is exercised, the Optional Securities are collectively called the “</w:t>
      </w:r>
      <w:r>
        <w:rPr>
          <w:rFonts w:ascii="Times New Roman" w:cs="Times New Roman" w:eastAsia="Times New Roman" w:hAnsi="Times New Roman"/>
          <w:sz w:val="18"/>
          <w:szCs w:val="18"/>
          <w:b w:val="1"/>
          <w:bCs w:val="1"/>
          <w:color w:val="auto"/>
        </w:rPr>
        <w:t>Offered Securities</w:t>
      </w:r>
      <w:r>
        <w:rPr>
          <w:rFonts w:ascii="Times New Roman" w:cs="Times New Roman" w:eastAsia="Times New Roman" w:hAnsi="Times New Roman"/>
          <w:sz w:val="18"/>
          <w:szCs w:val="18"/>
          <w:color w:val="auto"/>
        </w:rPr>
        <w:t>.” Jefferies LLC has agreed to act as a Representative of the several Underwriters (together in such capacity, the “</w:t>
      </w:r>
      <w:r>
        <w:rPr>
          <w:rFonts w:ascii="Times New Roman" w:cs="Times New Roman" w:eastAsia="Times New Roman" w:hAnsi="Times New Roman"/>
          <w:sz w:val="18"/>
          <w:szCs w:val="18"/>
          <w:b w:val="1"/>
          <w:bCs w:val="1"/>
          <w:color w:val="auto"/>
        </w:rPr>
        <w:t>Representative</w:t>
      </w:r>
      <w:r>
        <w:rPr>
          <w:rFonts w:ascii="Times New Roman" w:cs="Times New Roman" w:eastAsia="Times New Roman" w:hAnsi="Times New Roman"/>
          <w:sz w:val="18"/>
          <w:szCs w:val="18"/>
          <w:color w:val="auto"/>
        </w:rPr>
        <w:t>”) in connection with the offering of the Offered Securities for sale to the public as contemplated in the Prospectus (as defined below)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xml:space="preserve">”). To the extent there are no additional underwriters listed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the term “Representative” as used herein shall mean you, as Underwriter, and the term “Underwriters” shall mean either the singular or the plural, as the context requires.</w:t>
      </w:r>
    </w:p>
    <w:p>
      <w:pPr>
        <w:spacing w:after="0" w:line="18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Each Unit consists of one share of the Company’s Class A common stock, par value $0.0001 per share ( “</w:t>
      </w:r>
      <w:r>
        <w:rPr>
          <w:rFonts w:ascii="Times New Roman" w:cs="Times New Roman" w:eastAsia="Times New Roman" w:hAnsi="Times New Roman"/>
          <w:sz w:val="18"/>
          <w:szCs w:val="18"/>
          <w:b w:val="1"/>
          <w:bCs w:val="1"/>
          <w:color w:val="auto"/>
        </w:rPr>
        <w:t>Class A Common Stock</w:t>
      </w:r>
      <w:r>
        <w:rPr>
          <w:rFonts w:ascii="Times New Roman" w:cs="Times New Roman" w:eastAsia="Times New Roman" w:hAnsi="Times New Roman"/>
          <w:sz w:val="18"/>
          <w:szCs w:val="18"/>
          <w:color w:val="auto"/>
        </w:rPr>
        <w:t>”), and one-third of one redeemable warrant, each whole warrant entitling the holder to purchase one share of Class A Common Stock (the “</w:t>
      </w:r>
      <w:r>
        <w:rPr>
          <w:rFonts w:ascii="Times New Roman" w:cs="Times New Roman" w:eastAsia="Times New Roman" w:hAnsi="Times New Roman"/>
          <w:sz w:val="18"/>
          <w:szCs w:val="18"/>
          <w:b w:val="1"/>
          <w:bCs w:val="1"/>
          <w:color w:val="auto"/>
        </w:rPr>
        <w:t>Public Warrant(s</w:t>
      </w:r>
      <w:r>
        <w:rPr>
          <w:rFonts w:ascii="Times New Roman" w:cs="Times New Roman" w:eastAsia="Times New Roman" w:hAnsi="Times New Roman"/>
          <w:sz w:val="18"/>
          <w:szCs w:val="18"/>
          <w:color w:val="auto"/>
        </w:rPr>
        <w:t>)”). The shares of Class A Common Stock and the Public Warrants included in the Units will not trade separately until the 52nd day following the date of the Prospectus (unless the Representative informs the Company of its decision to allow earlier separate trading), subject to (a) the Company’s preparation of an audited balance sheet reflecting the receipt by the Company of the proceeds of the Offering, (b) the filing of such audited balance sheet with the U.S.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on a Form 8-K or similar form by the Company that includes such audited balance sheet (the “</w:t>
      </w:r>
      <w:r>
        <w:rPr>
          <w:rFonts w:ascii="Times New Roman" w:cs="Times New Roman" w:eastAsia="Times New Roman" w:hAnsi="Times New Roman"/>
          <w:sz w:val="18"/>
          <w:szCs w:val="18"/>
          <w:b w:val="1"/>
          <w:bCs w:val="1"/>
          <w:color w:val="auto"/>
        </w:rPr>
        <w:t>Closing Form 8-K</w:t>
      </w:r>
      <w:r>
        <w:rPr>
          <w:rFonts w:ascii="Times New Roman" w:cs="Times New Roman" w:eastAsia="Times New Roman" w:hAnsi="Times New Roman"/>
          <w:sz w:val="18"/>
          <w:szCs w:val="18"/>
          <w:color w:val="auto"/>
        </w:rPr>
        <w:t xml:space="preserve">”), and (c) the Company having issued a press release announcing when such separate trading will begin. Each whole Public Warrant entitles its holder, upon exercise, to purchase one share of Common Stock for $11.50 per share during the period commencing on the later of 30 days after the completion of an initial Business Combination (as defined below) and 12 months from the date of the closing of the Offering and terminating on the five-year anniversary of the date of the completion of such initial Business Combination or earlier upon redemption or liquidation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pursuant to the Warrant Agreement (as defined below), a fractional warrant may not be exercised, so that only a whole warrant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exercised at any given time by a holder thereof. As used herein, the term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(as described more fully in the Registration Statement (as defined below)) shall mean a merger, capital stock exchange, asset acquisition, stock purchase, reorganization or similar business combination with one or more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ind w:firstLine="648"/>
        <w:spacing w:after="0" w:line="251" w:lineRule="auto"/>
        <w:rPr>
          <w:sz w:val="20"/>
          <w:szCs w:val="20"/>
          <w:color w:val="auto"/>
        </w:rPr>
      </w:pPr>
      <w:r>
        <w:rPr>
          <w:rFonts w:ascii="Times New Roman" w:cs="Times New Roman" w:eastAsia="Times New Roman" w:hAnsi="Times New Roman"/>
          <w:sz w:val="18"/>
          <w:szCs w:val="18"/>
          <w:color w:val="auto"/>
        </w:rPr>
        <w:t>The Company has prepared and filed with the Commission a registration statement on Form S-1, File No. 333-246251 which contains a form of prospectus to be used in connection with the Offering and sale of the Offered Securities. Such registration statement, as amended, including the financial statements, exhibits and schedules thereto, in the form in which it became effective under the Securities Act of 1933, as amended, and the rules and regulations promulgated thereunder (collectively,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including any information deemed to be a part thereof at the time of effectiveness pursuant to Rule 430A under the Securities Act, is called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Any registration statement filed by the Company pursuant to Rule 462(b) under the Securities Act in connection with the offer and sale of the Offered Securities is called the “</w:t>
      </w:r>
      <w:r>
        <w:rPr>
          <w:rFonts w:ascii="Times New Roman" w:cs="Times New Roman" w:eastAsia="Times New Roman" w:hAnsi="Times New Roman"/>
          <w:sz w:val="18"/>
          <w:szCs w:val="18"/>
          <w:b w:val="1"/>
          <w:bCs w:val="1"/>
          <w:color w:val="auto"/>
        </w:rPr>
        <w:t>Rule 462(b) Registration Statement</w:t>
      </w:r>
      <w:r>
        <w:rPr>
          <w:rFonts w:ascii="Times New Roman" w:cs="Times New Roman" w:eastAsia="Times New Roman" w:hAnsi="Times New Roman"/>
          <w:sz w:val="18"/>
          <w:szCs w:val="18"/>
          <w:color w:val="auto"/>
        </w:rPr>
        <w:t>,” and from and after the date and time of filing of any such Rule 462(b) Registration Statement the term “Registration Statement” shall include the Rule 462(b) Registration Statement. The prospectus, in the form first used by the Underwriters to confirm sales of the Offered Securities or in the form first made available to the Underwriters by the Company to meet requests of purchasers pursuant to Rule 173 under the Securities Act, is called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The preliminary prospectus dated August 24, 2020 describing the Offered Securities and the Offering thereof is called the “</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and the Preliminary Prospectus and any other prospectus in preliminary form that describes the Offered Securities and the Offering thereof and is used prior to the filing of the Prospectus is called a “</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As used herein, “</w:t>
      </w:r>
      <w:r>
        <w:rPr>
          <w:rFonts w:ascii="Times New Roman" w:cs="Times New Roman" w:eastAsia="Times New Roman" w:hAnsi="Times New Roman"/>
          <w:sz w:val="18"/>
          <w:szCs w:val="18"/>
          <w:b w:val="1"/>
          <w:bCs w:val="1"/>
          <w:color w:val="auto"/>
        </w:rPr>
        <w:t>Applicable Time</w:t>
      </w:r>
      <w:r>
        <w:rPr>
          <w:rFonts w:ascii="Times New Roman" w:cs="Times New Roman" w:eastAsia="Times New Roman" w:hAnsi="Times New Roman"/>
          <w:sz w:val="18"/>
          <w:szCs w:val="18"/>
          <w:color w:val="auto"/>
        </w:rPr>
        <w:t>” is 10:00 p.m. (New York City time) on September 1, 2020. As used herein,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the date and time at which such registration statement, or the most recent post-effective amendment thereto, was declared effective by the Commission in accordance with the rules and regulations under the Securities Act. As used herein, “</w:t>
      </w:r>
      <w:r>
        <w:rPr>
          <w:rFonts w:ascii="Times New Roman" w:cs="Times New Roman" w:eastAsia="Times New Roman" w:hAnsi="Times New Roman"/>
          <w:sz w:val="18"/>
          <w:szCs w:val="18"/>
          <w:b w:val="1"/>
          <w:bCs w:val="1"/>
          <w:color w:val="auto"/>
        </w:rPr>
        <w:t>free writing prospectus</w:t>
      </w:r>
      <w:r>
        <w:rPr>
          <w:rFonts w:ascii="Times New Roman" w:cs="Times New Roman" w:eastAsia="Times New Roman" w:hAnsi="Times New Roman"/>
          <w:sz w:val="18"/>
          <w:szCs w:val="18"/>
          <w:color w:val="auto"/>
        </w:rPr>
        <w:t>” has the meaning set forth in Rule 405 under the Securities Act, and “</w:t>
      </w:r>
      <w:r>
        <w:rPr>
          <w:rFonts w:ascii="Times New Roman" w:cs="Times New Roman" w:eastAsia="Times New Roman" w:hAnsi="Times New Roman"/>
          <w:sz w:val="18"/>
          <w:szCs w:val="18"/>
          <w:b w:val="1"/>
          <w:bCs w:val="1"/>
          <w:color w:val="auto"/>
        </w:rPr>
        <w:t>Time of Sale Prospectus</w:t>
      </w:r>
      <w:r>
        <w:rPr>
          <w:rFonts w:ascii="Times New Roman" w:cs="Times New Roman" w:eastAsia="Times New Roman" w:hAnsi="Times New Roman"/>
          <w:sz w:val="18"/>
          <w:szCs w:val="18"/>
          <w:color w:val="auto"/>
        </w:rPr>
        <w:t xml:space="preserve">” means the Preliminary Prospectus together with the Time of Delivery Information, if any, set forth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hereto. As used herein, “</w:t>
      </w:r>
      <w:r>
        <w:rPr>
          <w:rFonts w:ascii="Times New Roman" w:cs="Times New Roman" w:eastAsia="Times New Roman" w:hAnsi="Times New Roman"/>
          <w:sz w:val="18"/>
          <w:szCs w:val="18"/>
          <w:b w:val="1"/>
          <w:bCs w:val="1"/>
          <w:color w:val="auto"/>
        </w:rPr>
        <w:t>Road Show</w:t>
      </w:r>
      <w:r>
        <w:rPr>
          <w:rFonts w:ascii="Times New Roman" w:cs="Times New Roman" w:eastAsia="Times New Roman" w:hAnsi="Times New Roman"/>
          <w:sz w:val="18"/>
          <w:szCs w:val="18"/>
          <w:color w:val="auto"/>
        </w:rPr>
        <w:t>” means a “road show” (as defined in Rule 433 under the Securities Act) relating to the Offering contemplated hereby that is a “written communication” (as defined in Rule 405 under the Securities Act). As used herein, “</w:t>
      </w:r>
      <w:r>
        <w:rPr>
          <w:rFonts w:ascii="Times New Roman" w:cs="Times New Roman" w:eastAsia="Times New Roman" w:hAnsi="Times New Roman"/>
          <w:sz w:val="18"/>
          <w:szCs w:val="18"/>
          <w:b w:val="1"/>
          <w:bCs w:val="1"/>
          <w:color w:val="auto"/>
        </w:rPr>
        <w:t>Section 5(d) Written Communication</w:t>
      </w:r>
      <w:r>
        <w:rPr>
          <w:rFonts w:ascii="Times New Roman" w:cs="Times New Roman" w:eastAsia="Times New Roman" w:hAnsi="Times New Roman"/>
          <w:sz w:val="18"/>
          <w:szCs w:val="18"/>
          <w:color w:val="auto"/>
        </w:rPr>
        <w:t>” means each written communication (within the meaning of Rule 405 under the Securities Act) that is made in reliance on Section 5(d) of the Securities Act by the Company or any person authorized to act on behalf of the Company to one or more potential investors that are qualified institutional buyers (“</w:t>
      </w:r>
      <w:r>
        <w:rPr>
          <w:rFonts w:ascii="Times New Roman" w:cs="Times New Roman" w:eastAsia="Times New Roman" w:hAnsi="Times New Roman"/>
          <w:sz w:val="18"/>
          <w:szCs w:val="18"/>
          <w:b w:val="1"/>
          <w:bCs w:val="1"/>
          <w:color w:val="auto"/>
        </w:rPr>
        <w:t>QIBs</w:t>
      </w:r>
      <w:r>
        <w:rPr>
          <w:rFonts w:ascii="Times New Roman" w:cs="Times New Roman" w:eastAsia="Times New Roman" w:hAnsi="Times New Roman"/>
          <w:sz w:val="18"/>
          <w:szCs w:val="18"/>
          <w:color w:val="auto"/>
        </w:rPr>
        <w:t>”) and/or institutions that are accredited investors (“</w:t>
      </w:r>
      <w:r>
        <w:rPr>
          <w:rFonts w:ascii="Times New Roman" w:cs="Times New Roman" w:eastAsia="Times New Roman" w:hAnsi="Times New Roman"/>
          <w:sz w:val="18"/>
          <w:szCs w:val="18"/>
          <w:b w:val="1"/>
          <w:bCs w:val="1"/>
          <w:color w:val="auto"/>
        </w:rPr>
        <w:t>IAIs</w:t>
      </w:r>
      <w:r>
        <w:rPr>
          <w:rFonts w:ascii="Times New Roman" w:cs="Times New Roman" w:eastAsia="Times New Roman" w:hAnsi="Times New Roman"/>
          <w:sz w:val="18"/>
          <w:szCs w:val="18"/>
          <w:color w:val="auto"/>
        </w:rPr>
        <w:t>”), as such terms are respectively defined in Rule 144A and Rule 501(a) under the Securities Act, to determine whether such investors might have an interest in the Offering; “</w:t>
      </w:r>
      <w:r>
        <w:rPr>
          <w:rFonts w:ascii="Times New Roman" w:cs="Times New Roman" w:eastAsia="Times New Roman" w:hAnsi="Times New Roman"/>
          <w:sz w:val="18"/>
          <w:szCs w:val="18"/>
          <w:b w:val="1"/>
          <w:bCs w:val="1"/>
          <w:color w:val="auto"/>
        </w:rPr>
        <w:t>Section 5(d) Oral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Communication</w:t>
      </w:r>
      <w:r>
        <w:rPr>
          <w:rFonts w:ascii="Times New Roman" w:cs="Times New Roman" w:eastAsia="Times New Roman" w:hAnsi="Times New Roman"/>
          <w:sz w:val="18"/>
          <w:szCs w:val="18"/>
          <w:color w:val="auto"/>
        </w:rPr>
        <w:t>” means each oral communication, if any, made in reliance on Section 5(d) of the Securities Act by the Company or any person authorized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act on behalf of the Company made to one or more QIBs and/or one or more IAIs to determine whether such investors might have an interest in the Offering; “</w:t>
      </w:r>
      <w:r>
        <w:rPr>
          <w:rFonts w:ascii="Times New Roman" w:cs="Times New Roman" w:eastAsia="Times New Roman" w:hAnsi="Times New Roman"/>
          <w:sz w:val="18"/>
          <w:szCs w:val="18"/>
          <w:b w:val="1"/>
          <w:bCs w:val="1"/>
          <w:color w:val="auto"/>
        </w:rPr>
        <w:t>Marketing Materials</w:t>
      </w:r>
      <w:r>
        <w:rPr>
          <w:rFonts w:ascii="Times New Roman" w:cs="Times New Roman" w:eastAsia="Times New Roman" w:hAnsi="Times New Roman"/>
          <w:sz w:val="18"/>
          <w:szCs w:val="18"/>
          <w:color w:val="auto"/>
        </w:rPr>
        <w:t>” means any materials or information provided to investors by, or with the approval of, the Company in connection with the marketing of the Offering, including any Road Show or investor presentations made to investors by the Company (whether in person or electronically); and “</w:t>
      </w:r>
      <w:r>
        <w:rPr>
          <w:rFonts w:ascii="Times New Roman" w:cs="Times New Roman" w:eastAsia="Times New Roman" w:hAnsi="Times New Roman"/>
          <w:sz w:val="18"/>
          <w:szCs w:val="18"/>
          <w:b w:val="1"/>
          <w:bCs w:val="1"/>
          <w:color w:val="auto"/>
        </w:rPr>
        <w:t>Permitted Section 5(d) Communication</w:t>
      </w:r>
      <w:r>
        <w:rPr>
          <w:rFonts w:ascii="Times New Roman" w:cs="Times New Roman" w:eastAsia="Times New Roman" w:hAnsi="Times New Roman"/>
          <w:sz w:val="18"/>
          <w:szCs w:val="18"/>
          <w:color w:val="auto"/>
        </w:rPr>
        <w:t xml:space="preserve">” means the Section 5(d) Written Communication(s) and Marketing Materials listed on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 xml:space="preserve"> attached hereto.</w:t>
      </w:r>
    </w:p>
    <w:p>
      <w:pPr>
        <w:spacing w:after="0" w:line="203"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All references in this Agreement to the Registration Statement, any preliminary prospectus (including the Preliminary Prospectus), or the Prospectus, or any amendments or supplements to any of the foregoing shall include any copy thereof filed with the Commission pursuant to its Electronic Data Gathering, Analysis and Retrieval System (“</w:t>
      </w:r>
      <w:r>
        <w:rPr>
          <w:rFonts w:ascii="Times New Roman" w:cs="Times New Roman" w:eastAsia="Times New Roman" w:hAnsi="Times New Roman"/>
          <w:sz w:val="18"/>
          <w:szCs w:val="18"/>
          <w:b w:val="1"/>
          <w:bCs w:val="1"/>
          <w:color w:val="auto"/>
        </w:rPr>
        <w:t>EDGAR</w:t>
      </w:r>
      <w:r>
        <w:rPr>
          <w:rFonts w:ascii="Times New Roman" w:cs="Times New Roman" w:eastAsia="Times New Roman" w:hAnsi="Times New Roman"/>
          <w:sz w:val="18"/>
          <w:szCs w:val="18"/>
          <w:color w:val="auto"/>
        </w:rPr>
        <w:t>”).</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ind w:firstLine="648"/>
        <w:spacing w:after="0" w:line="257" w:lineRule="auto"/>
        <w:rPr>
          <w:sz w:val="20"/>
          <w:szCs w:val="20"/>
          <w:color w:val="auto"/>
        </w:rPr>
      </w:pPr>
      <w:r>
        <w:rPr>
          <w:rFonts w:ascii="Times New Roman" w:cs="Times New Roman" w:eastAsia="Times New Roman" w:hAnsi="Times New Roman"/>
          <w:sz w:val="18"/>
          <w:szCs w:val="18"/>
          <w:color w:val="auto"/>
        </w:rPr>
        <w:t>The Company has entered into a Securities Subscription Agreement, dated as of July 16, 2020 (the “</w:t>
      </w:r>
      <w:r>
        <w:rPr>
          <w:rFonts w:ascii="Times New Roman" w:cs="Times New Roman" w:eastAsia="Times New Roman" w:hAnsi="Times New Roman"/>
          <w:sz w:val="18"/>
          <w:szCs w:val="18"/>
          <w:b w:val="1"/>
          <w:bCs w:val="1"/>
          <w:color w:val="auto"/>
        </w:rPr>
        <w:t>Subscription Agreement</w:t>
      </w:r>
      <w:r>
        <w:rPr>
          <w:rFonts w:ascii="Times New Roman" w:cs="Times New Roman" w:eastAsia="Times New Roman" w:hAnsi="Times New Roman"/>
          <w:sz w:val="18"/>
          <w:szCs w:val="18"/>
          <w:color w:val="auto"/>
        </w:rPr>
        <w:t>”), with CMLS Holdings LLC, a Delaware limited liability company (the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in substantially the form filed as Exhibit 10.7 to the Registration Statement, pursuant to which the Sponsor purchased an aggregate of 10,062,500 shares of Class B common stock for an aggregate purchase price of $25,000, or approximately $0.002 per share. On September 1, 2020, the Company effected a stock conversion resulting in an aggregate of 11,068,750 shares of Class B common stock outstanding as of the date hereof (including the Class A Common Stock issuable upon conversion thereof, the “</w:t>
      </w:r>
      <w:r>
        <w:rPr>
          <w:rFonts w:ascii="Times New Roman" w:cs="Times New Roman" w:eastAsia="Times New Roman" w:hAnsi="Times New Roman"/>
          <w:sz w:val="18"/>
          <w:szCs w:val="18"/>
          <w:b w:val="1"/>
          <w:bCs w:val="1"/>
          <w:color w:val="auto"/>
        </w:rPr>
        <w:t>Founder Shares</w:t>
      </w:r>
      <w:r>
        <w:rPr>
          <w:rFonts w:ascii="Times New Roman" w:cs="Times New Roman" w:eastAsia="Times New Roman" w:hAnsi="Times New Roman"/>
          <w:sz w:val="18"/>
          <w:szCs w:val="18"/>
          <w:color w:val="auto"/>
        </w:rPr>
        <w:t>”). The Founder Shares are substantially similar to the shares of Class A Common Stock included in the Units except as described in the Prospectus.</w:t>
      </w:r>
    </w:p>
    <w:p>
      <w:pPr>
        <w:spacing w:after="0" w:line="182" w:lineRule="exact"/>
        <w:rPr>
          <w:sz w:val="20"/>
          <w:szCs w:val="20"/>
          <w:color w:val="auto"/>
        </w:rPr>
      </w:pPr>
    </w:p>
    <w:p>
      <w:pPr>
        <w:ind w:right="180" w:firstLine="648"/>
        <w:spacing w:after="0" w:line="257" w:lineRule="auto"/>
        <w:rPr>
          <w:sz w:val="20"/>
          <w:szCs w:val="20"/>
          <w:color w:val="auto"/>
        </w:rPr>
      </w:pPr>
      <w:r>
        <w:rPr>
          <w:rFonts w:ascii="Times New Roman" w:cs="Times New Roman" w:eastAsia="Times New Roman" w:hAnsi="Times New Roman"/>
          <w:sz w:val="18"/>
          <w:szCs w:val="18"/>
          <w:color w:val="auto"/>
        </w:rPr>
        <w:t>The Company has entered into separate forward purchase agreements, each dated as of September 1, 2020 (the “</w:t>
      </w:r>
      <w:r>
        <w:rPr>
          <w:rFonts w:ascii="Times New Roman" w:cs="Times New Roman" w:eastAsia="Times New Roman" w:hAnsi="Times New Roman"/>
          <w:sz w:val="18"/>
          <w:szCs w:val="18"/>
          <w:b w:val="1"/>
          <w:bCs w:val="1"/>
          <w:color w:val="auto"/>
        </w:rPr>
        <w:t>Forward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Agreements</w:t>
      </w:r>
      <w:r>
        <w:rPr>
          <w:rFonts w:ascii="Times New Roman" w:cs="Times New Roman" w:eastAsia="Times New Roman" w:hAnsi="Times New Roman"/>
          <w:sz w:val="18"/>
          <w:szCs w:val="18"/>
          <w:color w:val="auto"/>
        </w:rPr>
        <w:t>”), with affiliates of the Sponsor, Casdin Capital, LLC (“</w:t>
      </w:r>
      <w:r>
        <w:rPr>
          <w:rFonts w:ascii="Times New Roman" w:cs="Times New Roman" w:eastAsia="Times New Roman" w:hAnsi="Times New Roman"/>
          <w:sz w:val="18"/>
          <w:szCs w:val="18"/>
          <w:b w:val="1"/>
          <w:bCs w:val="1"/>
          <w:color w:val="auto"/>
        </w:rPr>
        <w:t>Casdin Capital</w:t>
      </w:r>
      <w:r>
        <w:rPr>
          <w:rFonts w:ascii="Times New Roman" w:cs="Times New Roman" w:eastAsia="Times New Roman" w:hAnsi="Times New Roman"/>
          <w:sz w:val="18"/>
          <w:szCs w:val="18"/>
          <w:color w:val="auto"/>
        </w:rPr>
        <w:t>”) and Corvex Management LP (“</w:t>
      </w:r>
      <w:r>
        <w:rPr>
          <w:rFonts w:ascii="Times New Roman" w:cs="Times New Roman" w:eastAsia="Times New Roman" w:hAnsi="Times New Roman"/>
          <w:sz w:val="18"/>
          <w:szCs w:val="18"/>
          <w:b w:val="1"/>
          <w:bCs w:val="1"/>
          <w:color w:val="auto"/>
        </w:rPr>
        <w:t>Corvex Management</w:t>
      </w:r>
      <w:r>
        <w:rPr>
          <w:rFonts w:ascii="Times New Roman" w:cs="Times New Roman" w:eastAsia="Times New Roman" w:hAnsi="Times New Roman"/>
          <w:sz w:val="18"/>
          <w:szCs w:val="18"/>
          <w:color w:val="auto"/>
        </w:rPr>
        <w: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substantially the form filed as Exhibit 10.8 to the Registration Statement, pursuant to which Casdin Capital and Corvex Management will, subject to the terms thereof, cause certain of their clients to purchase from the Company up to an aggregate amount of 15,000,000 shares of Class A Common Stock, or the forward purchase shares, for $10.00 per forward purchase share, or an aggregate amount of up to $150,000,000, in a private placement that will close concurrently with the closing of the initial business combination.</w:t>
      </w:r>
    </w:p>
    <w:p>
      <w:pPr>
        <w:spacing w:after="0" w:line="182"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Prior to the First Closing Date (as defined below), the Sponsor and Munib Islam (“</w:t>
      </w:r>
      <w:r>
        <w:rPr>
          <w:rFonts w:ascii="Times New Roman" w:cs="Times New Roman" w:eastAsia="Times New Roman" w:hAnsi="Times New Roman"/>
          <w:sz w:val="18"/>
          <w:szCs w:val="18"/>
          <w:b w:val="1"/>
          <w:bCs w:val="1"/>
          <w:color w:val="auto"/>
        </w:rPr>
        <w:t>Islam</w:t>
      </w:r>
      <w:r>
        <w:rPr>
          <w:rFonts w:ascii="Times New Roman" w:cs="Times New Roman" w:eastAsia="Times New Roman" w:hAnsi="Times New Roman"/>
          <w:sz w:val="18"/>
          <w:szCs w:val="18"/>
          <w:color w:val="auto"/>
        </w:rPr>
        <w:t>”) and Emily Leproust (“</w:t>
      </w:r>
      <w:r>
        <w:rPr>
          <w:rFonts w:ascii="Times New Roman" w:cs="Times New Roman" w:eastAsia="Times New Roman" w:hAnsi="Times New Roman"/>
          <w:sz w:val="18"/>
          <w:szCs w:val="18"/>
          <w:b w:val="1"/>
          <w:bCs w:val="1"/>
          <w:color w:val="auto"/>
        </w:rPr>
        <w:t>Leproust</w:t>
      </w:r>
      <w:r>
        <w:rPr>
          <w:rFonts w:ascii="Times New Roman" w:cs="Times New Roman" w:eastAsia="Times New Roman" w:hAnsi="Times New Roman"/>
          <w:sz w:val="18"/>
          <w:szCs w:val="18"/>
          <w:color w:val="auto"/>
        </w:rPr>
        <w:t>”), two of the Company’s independent director nominees, will subscribe to purchase an aggregate of 6,466,667 warrants (or up to 7,236,667 warrants if the option to purchase additional Units as provided in Section 2 is exercised in full) (the “</w:t>
      </w:r>
      <w:r>
        <w:rPr>
          <w:rFonts w:ascii="Times New Roman" w:cs="Times New Roman" w:eastAsia="Times New Roman" w:hAnsi="Times New Roman"/>
          <w:sz w:val="18"/>
          <w:szCs w:val="18"/>
          <w:b w:val="1"/>
          <w:bCs w:val="1"/>
          <w:color w:val="auto"/>
        </w:rPr>
        <w:t>Private Placement Warrants</w:t>
      </w:r>
      <w:r>
        <w:rPr>
          <w:rFonts w:ascii="Times New Roman" w:cs="Times New Roman" w:eastAsia="Times New Roman" w:hAnsi="Times New Roman"/>
          <w:sz w:val="18"/>
          <w:szCs w:val="18"/>
          <w:color w:val="auto"/>
        </w:rPr>
        <w:t>”), each whole Private Placement Warrant entitling the holder to purchase one Class A share of Common Stock at an exercise price of $11.50 per share, and the Company will enter into a Private Placement Warrants Purchase Agreement with the Sponsor, Islam and Leproust (the “</w:t>
      </w:r>
      <w:r>
        <w:rPr>
          <w:rFonts w:ascii="Times New Roman" w:cs="Times New Roman" w:eastAsia="Times New Roman" w:hAnsi="Times New Roman"/>
          <w:sz w:val="18"/>
          <w:szCs w:val="18"/>
          <w:b w:val="1"/>
          <w:bCs w:val="1"/>
          <w:color w:val="auto"/>
        </w:rPr>
        <w:t>Private Placement Warrants Purchase Agreement</w:t>
      </w:r>
      <w:r>
        <w:rPr>
          <w:rFonts w:ascii="Times New Roman" w:cs="Times New Roman" w:eastAsia="Times New Roman" w:hAnsi="Times New Roman"/>
          <w:sz w:val="18"/>
          <w:szCs w:val="18"/>
          <w:color w:val="auto"/>
        </w:rPr>
        <w:t>”) in substantially the form filed as Exhibit 10.4 to the Registration Statement. Except as described in the Registration Statement, the Time of Sale Prospectus and the Prospectus, the Private Placement Warrants, and the shares of Class A Common Stock issuable upon conversion or exercise thereof, have the same terms as the Units, the shares of Class A Common Stock, the Public Warrants and the shares of Class A Common Stock underlying the Public Warrants, respectively.</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will enter into an Investment Management Trust Agreement, effective as of the First Closing Date, with Continental Stock Transfer</w:t>
      </w:r>
    </w:p>
    <w:p>
      <w:pPr>
        <w:spacing w:after="0" w:line="27" w:lineRule="exact"/>
        <w:rPr>
          <w:sz w:val="20"/>
          <w:szCs w:val="20"/>
          <w:color w:val="auto"/>
        </w:rPr>
      </w:pPr>
    </w:p>
    <w:p>
      <w:pPr>
        <w:ind w:right="220" w:firstLine="8"/>
        <w:spacing w:after="0" w:line="253" w:lineRule="auto"/>
        <w:tabs>
          <w:tab w:leader="none" w:pos="18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 Company (“</w:t>
      </w:r>
      <w:r>
        <w:rPr>
          <w:rFonts w:ascii="Times New Roman" w:cs="Times New Roman" w:eastAsia="Times New Roman" w:hAnsi="Times New Roman"/>
          <w:sz w:val="18"/>
          <w:szCs w:val="18"/>
          <w:b w:val="1"/>
          <w:bCs w:val="1"/>
          <w:color w:val="auto"/>
        </w:rPr>
        <w:t>CST</w:t>
      </w:r>
      <w:r>
        <w:rPr>
          <w:rFonts w:ascii="Times New Roman" w:cs="Times New Roman" w:eastAsia="Times New Roman" w:hAnsi="Times New Roman"/>
          <w:sz w:val="18"/>
          <w:szCs w:val="18"/>
          <w:color w:val="auto"/>
        </w:rPr>
        <w:t>”), as trustee, in substantially the form filed as Exhibit 10.2 to the Registration Statement (the “</w:t>
      </w:r>
      <w:r>
        <w:rPr>
          <w:rFonts w:ascii="Times New Roman" w:cs="Times New Roman" w:eastAsia="Times New Roman" w:hAnsi="Times New Roman"/>
          <w:sz w:val="18"/>
          <w:szCs w:val="18"/>
          <w:b w:val="1"/>
          <w:bCs w:val="1"/>
          <w:color w:val="auto"/>
        </w:rPr>
        <w:t>Trust Agreement</w:t>
      </w:r>
      <w:r>
        <w:rPr>
          <w:rFonts w:ascii="Times New Roman" w:cs="Times New Roman" w:eastAsia="Times New Roman" w:hAnsi="Times New Roman"/>
          <w:sz w:val="18"/>
          <w:szCs w:val="18"/>
          <w:color w:val="auto"/>
        </w:rPr>
        <w:t>”), pursuant to which proceeds from the sale of the Private Placement Warrants and proceeds from the Offering and sale of the Offered Securities will be deposited and held in a trust account (the “</w:t>
      </w:r>
      <w:r>
        <w:rPr>
          <w:rFonts w:ascii="Times New Roman" w:cs="Times New Roman" w:eastAsia="Times New Roman" w:hAnsi="Times New Roman"/>
          <w:sz w:val="18"/>
          <w:szCs w:val="18"/>
          <w:b w:val="1"/>
          <w:bCs w:val="1"/>
          <w:color w:val="auto"/>
        </w:rPr>
        <w:t>Trust Account</w:t>
      </w:r>
      <w:r>
        <w:rPr>
          <w:rFonts w:ascii="Times New Roman" w:cs="Times New Roman" w:eastAsia="Times New Roman" w:hAnsi="Times New Roman"/>
          <w:sz w:val="18"/>
          <w:szCs w:val="18"/>
          <w:color w:val="auto"/>
        </w:rPr>
        <w:t>”) for the benefit of the Company, the Underwriters and the holders of the Firm Securities and the Optional Securities, if and when issued.</w:t>
      </w:r>
    </w:p>
    <w:p>
      <w:pPr>
        <w:spacing w:after="0" w:line="18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Company will enter into a Warrant Agreement, effective as of the First Closing Date, with respect to the Warrants, the Private Placement Warrants and any warrants issued upon the conversion of working capital loans by the Sponsor, the Company’s officers and directors or their respective affiliates, to the Company (the “</w:t>
      </w:r>
      <w:r>
        <w:rPr>
          <w:rFonts w:ascii="Times New Roman" w:cs="Times New Roman" w:eastAsia="Times New Roman" w:hAnsi="Times New Roman"/>
          <w:sz w:val="18"/>
          <w:szCs w:val="18"/>
          <w:b w:val="1"/>
          <w:bCs w:val="1"/>
          <w:color w:val="auto"/>
        </w:rPr>
        <w:t>Working Capital Warrants</w:t>
      </w:r>
      <w:r>
        <w:rPr>
          <w:rFonts w:ascii="Times New Roman" w:cs="Times New Roman" w:eastAsia="Times New Roman" w:hAnsi="Times New Roman"/>
          <w:sz w:val="18"/>
          <w:szCs w:val="18"/>
          <w:color w:val="auto"/>
        </w:rPr>
        <w:t>”) with CST, as warrant agent, in substantially the form filed as Exhibit 4.4 to the Registration Statement (the “</w:t>
      </w:r>
      <w:r>
        <w:rPr>
          <w:rFonts w:ascii="Times New Roman" w:cs="Times New Roman" w:eastAsia="Times New Roman" w:hAnsi="Times New Roman"/>
          <w:sz w:val="18"/>
          <w:szCs w:val="18"/>
          <w:b w:val="1"/>
          <w:bCs w:val="1"/>
          <w:color w:val="auto"/>
        </w:rPr>
        <w:t>Warrant Agreement</w:t>
      </w:r>
      <w:r>
        <w:rPr>
          <w:rFonts w:ascii="Times New Roman" w:cs="Times New Roman" w:eastAsia="Times New Roman" w:hAnsi="Times New Roman"/>
          <w:sz w:val="18"/>
          <w:szCs w:val="18"/>
          <w:color w:val="auto"/>
        </w:rPr>
        <w:t>”), pursuant to which CST will act as warrant agent in connection with the issuance, registration, transfer, exchange, redemption, and exercise of the Warrants, the Private Placement Warrants and the Working Capital Warrants.</w:t>
      </w:r>
    </w:p>
    <w:p>
      <w:pPr>
        <w:spacing w:after="0" w:line="18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will enter into a Registration Rights Agreement, dated as of the First Closing Date, with the Sponsor and the other parties thereto, in substantially the form filed as Exhibit 10.3 to the Registration Statement (the “</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pursuant to which the Company will grant certain registration rights in respect of the Founder Shares, the Private Placement Warrants, the Working Capital Warrants and the shares of Class A Common Stock issuable upon the exercise of the Private Placement Warrants and the Working Capital Warrants and upon conversion of the Founder Shares.</w:t>
      </w:r>
    </w:p>
    <w:p>
      <w:pPr>
        <w:spacing w:after="0" w:line="183"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The Company has entered into a letter agreement, dated as of the date hereof, with the Sponsor and the Company’s officers and directors, in substantially the form filed as Exhibit 10.1 to the Registration Statement (the “</w:t>
      </w:r>
      <w:r>
        <w:rPr>
          <w:rFonts w:ascii="Times New Roman" w:cs="Times New Roman" w:eastAsia="Times New Roman" w:hAnsi="Times New Roman"/>
          <w:sz w:val="18"/>
          <w:szCs w:val="18"/>
          <w:b w:val="1"/>
          <w:bCs w:val="1"/>
          <w:color w:val="auto"/>
        </w:rPr>
        <w:t>Insider Letter</w:t>
      </w:r>
      <w:r>
        <w:rPr>
          <w:rFonts w:ascii="Times New Roman" w:cs="Times New Roman" w:eastAsia="Times New Roman" w:hAnsi="Times New Roman"/>
          <w:sz w:val="18"/>
          <w:szCs w:val="18"/>
          <w:color w:val="auto"/>
        </w:rPr>
        <w:t>”).</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ind w:left="660"/>
        <w:spacing w:after="0"/>
        <w:rPr>
          <w:sz w:val="20"/>
          <w:szCs w:val="20"/>
          <w:color w:val="auto"/>
        </w:rPr>
      </w:pPr>
      <w:r>
        <w:rPr>
          <w:rFonts w:ascii="Times New Roman" w:cs="Times New Roman" w:eastAsia="Times New Roman" w:hAnsi="Times New Roman"/>
          <w:sz w:val="18"/>
          <w:szCs w:val="18"/>
          <w:color w:val="auto"/>
        </w:rPr>
        <w:t>The Company hereby confirms its agreements with the Underwriters as follows:</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Section 1. Representations and Warranties of the Company.</w:t>
      </w:r>
    </w:p>
    <w:p>
      <w:pPr>
        <w:spacing w:after="0" w:line="22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Company hereby represents, warrants and covenants to each Underwriter, as of the date of this Agreement, as of the First Closing Date (as defined below) and for the period from the First Closing Date though and as of each Option Closing Date (as defined below), if any, as follows:</w:t>
      </w:r>
    </w:p>
    <w:p>
      <w:pPr>
        <w:spacing w:after="0" w:line="158" w:lineRule="exact"/>
        <w:rPr>
          <w:sz w:val="20"/>
          <w:szCs w:val="20"/>
          <w:color w:val="auto"/>
        </w:rPr>
      </w:pPr>
    </w:p>
    <w:p>
      <w:pPr>
        <w:ind w:right="240" w:firstLine="656"/>
        <w:spacing w:after="0" w:line="262" w:lineRule="auto"/>
        <w:tabs>
          <w:tab w:leader="none" w:pos="903"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Compliance with Registration Requirements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Registration Statement has become effective under the Securities Act. The Company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complied, to the Commission’s satisfaction with all requests of the Commission for additional or supplemental information, if any. No stop order suspending the effectiveness of the Registration Statement is in effect and no proceedings for such purpose have been instituted or are pending or, to the best knowledge of the Company, are contemplated or threatened by the Commission.</w:t>
      </w:r>
    </w:p>
    <w:p>
      <w:pPr>
        <w:spacing w:after="0" w:line="176" w:lineRule="exact"/>
        <w:rPr>
          <w:rFonts w:ascii="Times New Roman" w:cs="Times New Roman" w:eastAsia="Times New Roman" w:hAnsi="Times New Roman"/>
          <w:sz w:val="18"/>
          <w:szCs w:val="18"/>
          <w:b w:val="1"/>
          <w:bCs w:val="1"/>
          <w:color w:val="auto"/>
        </w:rPr>
      </w:pPr>
    </w:p>
    <w:p>
      <w:pPr>
        <w:ind w:firstLine="656"/>
        <w:spacing w:after="0" w:line="252" w:lineRule="auto"/>
        <w:tabs>
          <w:tab w:leader="none" w:pos="913"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Disclosure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preliminary prospectus and the Prospectus when filed complied in all material respects with the Securities Act and, if filed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electronic transmission pursuant to EDGAR, was identical (except as may be permitted by Regulation S-T under the Securities Act) to the copy thereof delivered to the Underwriters for use in connection with the offer and sale of the Offered Securities. Each of the Registration Statement and any post-effective amendment thereto, at the time it became or becomes effective,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Applicable Time, the Time of Sale Prospectus did not, and at the First Closing Date and at each applicable Option Closing Date (as defined in Section 2), will not, contain any untrue statement of a material fact or omit to state a material fact necessary to make the statements therein, in the light of the circumstances under which they were made, not misleading. The Prospectus, as of its date, did not, and at the First Closing Date and at each applicable Option Closing Date,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or any post-effective amendment thereto, or the Prospectus or the Time of Sale Prospectus, or any amendments or supplements thereto, made in reliance upon and in conformity with written information relating to any Underwriter furnished to the Company in writing by the Representative expressly for use therein, it being understood and agreed that the only such information consists of the information described in Section 8(b) below. There are no contracts or other documents required to be described in the Time of Sale Prospectus or the Prospectus or to be filed as an exhibit to the Registration Statement which have not been described or filed as required.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ind w:right="20" w:firstLine="656"/>
        <w:spacing w:after="0" w:line="254" w:lineRule="auto"/>
        <w:tabs>
          <w:tab w:leader="none" w:pos="892"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Free Writing Prospectuses; Road Show</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of the determination date referenced in Rule 164(h) under the Securities Act and as of the date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hereof, the Company was and is an “ineligible issuer” in connection with the Offering pursuant to Rules 164, 405 and 433 under the Securities Act. The Company has not prepared, used or referred to, and will not, without your prior written consent, prepare, use or refer to, any free writing prospectus. Each of the Marketing Materials (including each Road Show), when considered together with the Time of Sale Prospectus, did not, as of the Applicable Time, contain any untrue statement of a material fact or omit to state a material fact necessary to make the statements therein, in the light of the circumstances under which they were made, not misleading. The representation and warranty set forth in the immediately preceding sentence does not apply to statements in or omissions from the Time of Sale Prospectus, or any amendments or supplements thereto, made in reliance upon and in conformity with written information relating to any Underwriter furnished to the Company in writing by the Representative expressly for use therein, it being understood and agreed that the only such information consists of the information described in Section 8(b) below.</w:t>
      </w:r>
    </w:p>
    <w:p>
      <w:pPr>
        <w:spacing w:after="0" w:line="188" w:lineRule="exact"/>
        <w:rPr>
          <w:rFonts w:ascii="Times New Roman" w:cs="Times New Roman" w:eastAsia="Times New Roman" w:hAnsi="Times New Roman"/>
          <w:sz w:val="18"/>
          <w:szCs w:val="18"/>
          <w:b w:val="1"/>
          <w:bCs w:val="1"/>
          <w:color w:val="auto"/>
        </w:rPr>
      </w:pPr>
    </w:p>
    <w:p>
      <w:pPr>
        <w:ind w:right="100" w:firstLine="656"/>
        <w:spacing w:after="0" w:line="262" w:lineRule="auto"/>
        <w:tabs>
          <w:tab w:leader="none" w:pos="913"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Distribution of Offering Material By the Company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 to the later of (i) the expiration or termination of the option granted to the several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Underwriters in Section 2, (ii) the completion of the Underwriters’ distribution of the Offered Securities and (iii) the expiration of 25 days after the date of the Prospectus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Company has not distributed and will not distribute any offering material in connection with the Offering and sale of the Offered Securities other than the Registration Statement, the Time of Sale Prospectus, the Prospectus and any Permitted Section 5(d) Communications.</w:t>
      </w:r>
    </w:p>
    <w:p>
      <w:pPr>
        <w:spacing w:after="0" w:line="176" w:lineRule="exact"/>
        <w:rPr>
          <w:rFonts w:ascii="Times New Roman" w:cs="Times New Roman" w:eastAsia="Times New Roman" w:hAnsi="Times New Roman"/>
          <w:sz w:val="18"/>
          <w:szCs w:val="18"/>
          <w:b w:val="1"/>
          <w:bCs w:val="1"/>
          <w:color w:val="auto"/>
        </w:rPr>
      </w:pPr>
    </w:p>
    <w:p>
      <w:pPr>
        <w:ind w:left="900" w:hanging="244"/>
        <w:spacing w:after="0"/>
        <w:tabs>
          <w:tab w:leader="none" w:pos="9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The Underwriting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Agreement has been duly and validly authorized, executed and delivered by the Company.</w:t>
      </w:r>
    </w:p>
    <w:p>
      <w:pPr>
        <w:spacing w:after="0" w:line="225" w:lineRule="exact"/>
        <w:rPr>
          <w:rFonts w:ascii="Times New Roman" w:cs="Times New Roman" w:eastAsia="Times New Roman" w:hAnsi="Times New Roman"/>
          <w:sz w:val="18"/>
          <w:szCs w:val="18"/>
          <w:b w:val="1"/>
          <w:bCs w:val="1"/>
          <w:color w:val="auto"/>
        </w:rPr>
      </w:pPr>
    </w:p>
    <w:p>
      <w:pPr>
        <w:ind w:firstLine="656"/>
        <w:spacing w:after="0" w:line="262" w:lineRule="auto"/>
        <w:tabs>
          <w:tab w:leader="none" w:pos="873"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Filing of a Form 8-A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has filed with the Commission a registration statement (the “</w:t>
      </w:r>
      <w:r>
        <w:rPr>
          <w:rFonts w:ascii="Times New Roman" w:cs="Times New Roman" w:eastAsia="Times New Roman" w:hAnsi="Times New Roman"/>
          <w:sz w:val="18"/>
          <w:szCs w:val="18"/>
          <w:b w:val="1"/>
          <w:bCs w:val="1"/>
          <w:color w:val="auto"/>
        </w:rPr>
        <w:t>Exchange Act Registration Statement</w:t>
      </w:r>
      <w:r>
        <w:rPr>
          <w:rFonts w:ascii="Times New Roman" w:cs="Times New Roman" w:eastAsia="Times New Roman" w:hAnsi="Times New Roman"/>
          <w:sz w:val="18"/>
          <w:szCs w:val="18"/>
          <w:color w:val="auto"/>
        </w:rPr>
        <w:t>”)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Form 8-A (file number 001-39482) providing for the registration under the Securities Exchange Act of 1934, as amended, and the rules and regulations promulgated thereunder (collectively,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of the Units, the shares of Class A Common Stock and the Public Warrants, which registration is currently effective on the date hereof. The Exchange Act Registration Statement has become effective as provided in Section 12 of the Exchange Act.</w:t>
      </w:r>
    </w:p>
    <w:p>
      <w:pPr>
        <w:spacing w:after="0" w:line="176" w:lineRule="exact"/>
        <w:rPr>
          <w:rFonts w:ascii="Times New Roman" w:cs="Times New Roman" w:eastAsia="Times New Roman" w:hAnsi="Times New Roman"/>
          <w:sz w:val="18"/>
          <w:szCs w:val="18"/>
          <w:b w:val="1"/>
          <w:bCs w:val="1"/>
          <w:color w:val="auto"/>
        </w:rPr>
      </w:pPr>
    </w:p>
    <w:p>
      <w:pPr>
        <w:ind w:right="40" w:firstLine="656"/>
        <w:spacing w:after="0" w:line="286" w:lineRule="auto"/>
        <w:tabs>
          <w:tab w:leader="none" w:pos="903"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Stock Exchange Listing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Offered Securities, the shares of Class A Common Stock and the Public Warrants have been approved for listing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The Nasdaq Capital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subject only to official notice of issuance.</w:t>
      </w:r>
    </w:p>
    <w:p>
      <w:pPr>
        <w:spacing w:after="0" w:line="154" w:lineRule="exact"/>
        <w:rPr>
          <w:rFonts w:ascii="Times New Roman" w:cs="Times New Roman" w:eastAsia="Times New Roman" w:hAnsi="Times New Roman"/>
          <w:sz w:val="18"/>
          <w:szCs w:val="18"/>
          <w:b w:val="1"/>
          <w:bCs w:val="1"/>
          <w:color w:val="auto"/>
        </w:rPr>
      </w:pPr>
    </w:p>
    <w:p>
      <w:pPr>
        <w:ind w:right="360" w:firstLine="656"/>
        <w:spacing w:after="0" w:line="286" w:lineRule="auto"/>
        <w:tabs>
          <w:tab w:leader="none" w:pos="913"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 Integration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Neither the Company nor any of its affiliates has, prior to the date hereof, made any offer or sale of any securities that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required to be “integrated” pursuant to the Securities Act with the offer and sale of the Offered Securities pursuant to the Registration Statement.</w:t>
      </w:r>
    </w:p>
    <w:p>
      <w:pPr>
        <w:spacing w:after="0" w:line="154" w:lineRule="exact"/>
        <w:rPr>
          <w:rFonts w:ascii="Times New Roman" w:cs="Times New Roman" w:eastAsia="Times New Roman" w:hAnsi="Times New Roman"/>
          <w:sz w:val="18"/>
          <w:szCs w:val="18"/>
          <w:b w:val="1"/>
          <w:bCs w:val="1"/>
          <w:color w:val="auto"/>
        </w:rPr>
      </w:pPr>
    </w:p>
    <w:p>
      <w:pPr>
        <w:ind w:right="40" w:firstLine="656"/>
        <w:spacing w:after="0" w:line="259" w:lineRule="auto"/>
        <w:tabs>
          <w:tab w:leader="none" w:pos="863"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Authorization of the Private Placement Warrants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Private Placement Warrants have been duly authorized by the Company and, when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issued and delivered in the manner set forth in the Private Placement Warrants Purchase Agreement against payment therefor, will be duly issued and delivered, and will constitute valid and binding obligations of the Company, enforceable against the Company in accordance with their terms, except as the enforceability thereof may be limited by bankruptcy, insolvency, or similar laws affecting creditors’ rights generally from time to time in effect and by equitable principles of general applicability.</w:t>
      </w:r>
    </w:p>
    <w:p>
      <w:pPr>
        <w:spacing w:after="0" w:line="179" w:lineRule="exact"/>
        <w:rPr>
          <w:rFonts w:ascii="Times New Roman" w:cs="Times New Roman" w:eastAsia="Times New Roman" w:hAnsi="Times New Roman"/>
          <w:sz w:val="18"/>
          <w:szCs w:val="18"/>
          <w:b w:val="1"/>
          <w:bCs w:val="1"/>
          <w:color w:val="auto"/>
        </w:rPr>
      </w:pPr>
    </w:p>
    <w:p>
      <w:pPr>
        <w:ind w:left="880" w:hanging="224"/>
        <w:spacing w:after="0"/>
        <w:tabs>
          <w:tab w:leader="none" w:pos="8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Authorization of the Founder Shares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Founder Shares have been duly authorized, were validly issued and are fully paid and non-</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assessable.</w:t>
      </w:r>
    </w:p>
    <w:p>
      <w:pPr>
        <w:spacing w:after="0" w:line="202" w:lineRule="exact"/>
        <w:rPr>
          <w:rFonts w:ascii="Times New Roman" w:cs="Times New Roman" w:eastAsia="Times New Roman" w:hAnsi="Times New Roman"/>
          <w:sz w:val="18"/>
          <w:szCs w:val="18"/>
          <w:b w:val="1"/>
          <w:bCs w:val="1"/>
          <w:color w:val="auto"/>
        </w:rPr>
      </w:pPr>
    </w:p>
    <w:p>
      <w:pPr>
        <w:ind w:right="40" w:firstLine="656"/>
        <w:spacing w:after="0" w:line="256" w:lineRule="auto"/>
        <w:tabs>
          <w:tab w:leader="none" w:pos="913"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Authorization of the Offered Securities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Offered Securities have been duly authorized for issuance and sale pursuant to this Agreement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when issued and delivered by the Company (by the entry of the name of the registered owner thereof in the register of members of the Company confirming that such securities have been issued credited as fully paid) against payment therefor pursuant to this Agreement, will be duly issued and delivered, and will constitute valid and binding obligations of the Company, enforceable against the Company in accordance with their terms, except as the enforceability thereof may be limited by bankruptcy, insolvency, or similar laws affecting creditors’ rights generally from time to time in effect and by equitable principles of general applicability; and the issuance and sale of the Offered Securities will be free of any preemptive rights, rights of first refusal and similar rights.</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0" w:name="page11"/>
    <w:bookmarkEnd w:id="10"/>
    <w:p>
      <w:pPr>
        <w:ind w:left="-20" w:right="40" w:firstLine="656"/>
        <w:spacing w:after="0" w:line="262" w:lineRule="auto"/>
        <w:tabs>
          <w:tab w:leader="none" w:pos="843"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Authorization of the shares of Class A Common Stock</w:t>
      </w:r>
      <w:r>
        <w:rPr>
          <w:rFonts w:ascii="Times New Roman" w:cs="Times New Roman" w:eastAsia="Times New Roman" w:hAnsi="Times New Roman"/>
          <w:sz w:val="18"/>
          <w:szCs w:val="18"/>
          <w:color w:val="auto"/>
        </w:rPr>
        <w:t>. The shares of Class A Common Stock included in the Units have been duly authorized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when issued and delivered (by the entry of the name of the registered owner thereof in the register of members of the Company confirming that such shares of Class A Common Stock have been issued credited as fully paid) against payment for the Offered Securities by the Underwriters pursuant to this Agreement, will be validly issued, fully paid and non-assessable and free of preemptive rights, rights of first refusal and similar rights.</w:t>
      </w:r>
    </w:p>
    <w:p>
      <w:pPr>
        <w:spacing w:after="0" w:line="176" w:lineRule="exact"/>
        <w:rPr>
          <w:rFonts w:ascii="Times New Roman" w:cs="Times New Roman" w:eastAsia="Times New Roman" w:hAnsi="Times New Roman"/>
          <w:sz w:val="18"/>
          <w:szCs w:val="18"/>
          <w:b w:val="1"/>
          <w:bCs w:val="1"/>
          <w:color w:val="auto"/>
        </w:rPr>
      </w:pPr>
    </w:p>
    <w:p>
      <w:pPr>
        <w:jc w:val="both"/>
        <w:ind w:left="-20" w:right="440" w:firstLine="656"/>
        <w:spacing w:after="0" w:line="259" w:lineRule="auto"/>
        <w:tabs>
          <w:tab w:leader="none" w:pos="943"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Authorization of the Public Warrants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Public Warrants included in the Units have been duly authorized by the Company and, when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issued and delivered in the manner set forth in the Warrant Agreement against payment for the Offered Securities by the Underwriters pursuant to this Agreement, will be duly issued and delivered, and will constitute valid and binding obligations of the Company, enforceable against the Company in accordance with their terms, except as the enforceability thereof may be limited by bankruptcy, insolvency, or similar laws affecting creditors’ rights generally from time to time in effect and by equitable principles of general applicability.</w:t>
      </w:r>
    </w:p>
    <w:p>
      <w:pPr>
        <w:spacing w:after="0" w:line="179" w:lineRule="exact"/>
        <w:rPr>
          <w:rFonts w:ascii="Times New Roman" w:cs="Times New Roman" w:eastAsia="Times New Roman" w:hAnsi="Times New Roman"/>
          <w:sz w:val="18"/>
          <w:szCs w:val="18"/>
          <w:b w:val="1"/>
          <w:bCs w:val="1"/>
          <w:color w:val="auto"/>
        </w:rPr>
      </w:pPr>
    </w:p>
    <w:p>
      <w:pPr>
        <w:ind w:left="-20" w:firstLine="656"/>
        <w:spacing w:after="0" w:line="254" w:lineRule="auto"/>
        <w:tabs>
          <w:tab w:leader="none" w:pos="893"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Authorization of the shares of Class A Common Stock Issuable Upon Exercise of the Public Warrants and the Private Placement Warrants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shares of Class A Common Stock issuable upon exercise of the Public Warrants and the Private Placement Warrants have been duly authorized and reserved for issuance upon exercise thereof and, when issued and delivered (by the entry of the name of the registered owner thereof in the register of members of the Company confirming that such shares of Class A Common Stock have been issued credited as fully paid) against payment therefor pursuant to the Public Warrants and the Private Placement Warrants, as applicable, and the Warrant Agreement, will be validly issued, fully paid and non-assessable. The holders of such shares of Class A Common Stock are not and will not be subject to personal liability by reason of being such holders; such shares of Class A Common Stock are free of preemptive rights, rights of first refusal and similar rights; and all corporate action required to be taken for the authorization, issuance and sale of such shares of Class A Common Stock (other than such execution (if applicable), countersignature (if applicable) and delivery at the time of issuance) has been validly taken.</w:t>
      </w:r>
    </w:p>
    <w:p>
      <w:pPr>
        <w:spacing w:after="0" w:line="188" w:lineRule="exact"/>
        <w:rPr>
          <w:rFonts w:ascii="Times New Roman" w:cs="Times New Roman" w:eastAsia="Times New Roman" w:hAnsi="Times New Roman"/>
          <w:sz w:val="18"/>
          <w:szCs w:val="18"/>
          <w:b w:val="1"/>
          <w:bCs w:val="1"/>
          <w:color w:val="auto"/>
        </w:rPr>
      </w:pPr>
    </w:p>
    <w:p>
      <w:pPr>
        <w:ind w:left="-20" w:right="640" w:firstLine="656"/>
        <w:spacing w:after="0" w:line="262" w:lineRule="auto"/>
        <w:tabs>
          <w:tab w:leader="none" w:pos="883"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The Trust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Trust Agreement has been duly authorized and on the First Closing Date, the Trust Agreement will be duly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executed and delivered by the Company, and will constitute a valid and binding agreement of the Company, enforceable against the Company,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76" w:lineRule="exact"/>
        <w:rPr>
          <w:rFonts w:ascii="Times New Roman" w:cs="Times New Roman" w:eastAsia="Times New Roman" w:hAnsi="Times New Roman"/>
          <w:sz w:val="18"/>
          <w:szCs w:val="18"/>
          <w:b w:val="1"/>
          <w:bCs w:val="1"/>
          <w:color w:val="auto"/>
        </w:rPr>
      </w:pPr>
    </w:p>
    <w:p>
      <w:pPr>
        <w:jc w:val="both"/>
        <w:ind w:left="-20" w:firstLine="656"/>
        <w:spacing w:after="0" w:line="262" w:lineRule="auto"/>
        <w:tabs>
          <w:tab w:leader="none" w:pos="893"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The Warrant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Warrant Agreement has been duly authorized and on the First Closing Date, the Warrant Agreement will be duly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executed and delivered by the Company and will constitute a valid and binding agreement of the Company, enforceable against the Company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76" w:lineRule="exact"/>
        <w:rPr>
          <w:rFonts w:ascii="Times New Roman" w:cs="Times New Roman" w:eastAsia="Times New Roman" w:hAnsi="Times New Roman"/>
          <w:sz w:val="18"/>
          <w:szCs w:val="18"/>
          <w:b w:val="1"/>
          <w:bCs w:val="1"/>
          <w:color w:val="auto"/>
        </w:rPr>
      </w:pPr>
    </w:p>
    <w:p>
      <w:pPr>
        <w:ind w:left="-20" w:right="120" w:firstLine="656"/>
        <w:spacing w:after="0" w:line="262" w:lineRule="auto"/>
        <w:tabs>
          <w:tab w:leader="none" w:pos="893"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The Subscription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Subscription Agreement has been duly authorized, executed and delivered by the Company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Sponsor, and is a valid and binding agreement of the Company and the Sponsor, enforceable against the Company and the Sponsor in accordance with its terms, except as the enforceability thereof may be limited by bankruptcy, insolvency, or similar laws affecting creditors’ rights generally from time to time in effect and by equitable principles of general applicability.</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0" w:right="339" w:bottom="1440" w:gutter="0" w:footer="0" w:header="0"/>
        </w:sectPr>
      </w:pPr>
    </w:p>
    <w:bookmarkStart w:id="11" w:name="page12"/>
    <w:bookmarkEnd w:id="11"/>
    <w:p>
      <w:pPr>
        <w:ind w:left="-100" w:firstLine="656"/>
        <w:spacing w:after="0" w:line="282" w:lineRule="auto"/>
        <w:tabs>
          <w:tab w:leader="none" w:pos="792"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The Forward Purchase Agreements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Forward Purchase Agreements have been duly authorized, executed and delivered by the Company,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Casdin Capital and Corvex Management, and are valid and binding agreements of the Company, Casdin Capital, and Corvex Management, enforceable against the Company, Casdin Capital and Corvex Management in accordance with their terms, except as the enforceability thereof may be limited by bankruptcy, insolvency, or similar laws affecting creditors’ rights generally from time to time in effect and by equitable principles of general applicability.</w:t>
      </w:r>
    </w:p>
    <w:p>
      <w:pPr>
        <w:spacing w:after="0" w:line="161" w:lineRule="exact"/>
        <w:rPr>
          <w:rFonts w:ascii="Times New Roman" w:cs="Times New Roman" w:eastAsia="Times New Roman" w:hAnsi="Times New Roman"/>
          <w:sz w:val="17"/>
          <w:szCs w:val="17"/>
          <w:b w:val="1"/>
          <w:bCs w:val="1"/>
          <w:color w:val="auto"/>
        </w:rPr>
      </w:pPr>
    </w:p>
    <w:p>
      <w:pPr>
        <w:ind w:left="-100" w:right="60" w:firstLine="656"/>
        <w:spacing w:after="0" w:line="282" w:lineRule="auto"/>
        <w:tabs>
          <w:tab w:leader="none" w:pos="783"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The Private Placement Warrants Purchase Agreement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Private Placement Warrants Purchase Agreement has been duly authorized,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executed and delivered by the Company, and the Sponsor, and is a valid and binding agreement of the Company, the Sponsor, Islam and Leproust, enforceable against the Company, the Sponsor, Islam and Leproust,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61" w:lineRule="exact"/>
        <w:rPr>
          <w:rFonts w:ascii="Times New Roman" w:cs="Times New Roman" w:eastAsia="Times New Roman" w:hAnsi="Times New Roman"/>
          <w:sz w:val="17"/>
          <w:szCs w:val="17"/>
          <w:b w:val="1"/>
          <w:bCs w:val="1"/>
          <w:color w:val="auto"/>
        </w:rPr>
      </w:pPr>
    </w:p>
    <w:p>
      <w:pPr>
        <w:ind w:left="-100" w:right="180" w:firstLine="656"/>
        <w:spacing w:after="0" w:line="262" w:lineRule="auto"/>
        <w:tabs>
          <w:tab w:leader="none" w:pos="773"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The Registration Rights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Registration Rights Agreement has been duly authorized and on the First Closing Date,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Registration Rights Agreement will be duly executed and delivered by the Company, and will constitute a valid and binding agreement of the Company, enforceable against the Company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76" w:lineRule="exact"/>
        <w:rPr>
          <w:rFonts w:ascii="Times New Roman" w:cs="Times New Roman" w:eastAsia="Times New Roman" w:hAnsi="Times New Roman"/>
          <w:sz w:val="18"/>
          <w:szCs w:val="18"/>
          <w:b w:val="1"/>
          <w:bCs w:val="1"/>
          <w:color w:val="auto"/>
        </w:rPr>
      </w:pPr>
    </w:p>
    <w:p>
      <w:pPr>
        <w:ind w:left="-100" w:right="260" w:firstLine="656"/>
        <w:spacing w:after="0" w:line="257" w:lineRule="auto"/>
        <w:tabs>
          <w:tab w:leader="none" w:pos="813"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The Insider Letter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Insider Letter has been duly authorized, executed and delivered by the Company and the Sponsor and,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knowledge, each executive officer, director and director nominee, respectively, and is a valid and binding agreement of the Company, the Sponsor and, to the Company’s knowledge, each executive officer, director and director nominee of the Company, respectively, enforceable against the Company, the Sponsor and, to the Company’s knowledge, each executive officer, director and director nominee of the Company, respectively,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82" w:lineRule="exact"/>
        <w:rPr>
          <w:rFonts w:ascii="Times New Roman" w:cs="Times New Roman" w:eastAsia="Times New Roman" w:hAnsi="Times New Roman"/>
          <w:sz w:val="18"/>
          <w:szCs w:val="18"/>
          <w:b w:val="1"/>
          <w:bCs w:val="1"/>
          <w:color w:val="auto"/>
        </w:rPr>
      </w:pPr>
    </w:p>
    <w:p>
      <w:pPr>
        <w:ind w:left="-100" w:right="380" w:firstLine="656"/>
        <w:spacing w:after="0" w:line="286" w:lineRule="auto"/>
        <w:tabs>
          <w:tab w:leader="none" w:pos="803"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 Applicable Registration or Other Similar Rights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There are no persons with registration or other similar rights to have equity or debt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registered for sale under the Registration Statement or included in the offering contemplated by this Agreement.</w:t>
      </w:r>
    </w:p>
    <w:p>
      <w:pPr>
        <w:spacing w:after="0" w:line="154" w:lineRule="exact"/>
        <w:rPr>
          <w:rFonts w:ascii="Times New Roman" w:cs="Times New Roman" w:eastAsia="Times New Roman" w:hAnsi="Times New Roman"/>
          <w:sz w:val="18"/>
          <w:szCs w:val="18"/>
          <w:b w:val="1"/>
          <w:bCs w:val="1"/>
          <w:color w:val="auto"/>
        </w:rPr>
      </w:pPr>
    </w:p>
    <w:p>
      <w:pPr>
        <w:ind w:left="-100" w:right="60" w:firstLine="656"/>
        <w:spacing w:after="0" w:line="259" w:lineRule="auto"/>
        <w:tabs>
          <w:tab w:leader="none" w:pos="843"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Independent Accountants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WithumSmith+Brown, PC (“</w:t>
      </w:r>
      <w:r>
        <w:rPr>
          <w:rFonts w:ascii="Times New Roman" w:cs="Times New Roman" w:eastAsia="Times New Roman" w:hAnsi="Times New Roman"/>
          <w:sz w:val="18"/>
          <w:szCs w:val="18"/>
          <w:b w:val="1"/>
          <w:bCs w:val="1"/>
          <w:color w:val="auto"/>
        </w:rPr>
        <w:t>Withum</w:t>
      </w:r>
      <w:r>
        <w:rPr>
          <w:rFonts w:ascii="Times New Roman" w:cs="Times New Roman" w:eastAsia="Times New Roman" w:hAnsi="Times New Roman"/>
          <w:sz w:val="18"/>
          <w:szCs w:val="18"/>
          <w:color w:val="auto"/>
        </w:rPr>
        <w:t>”), who have certified certain financial statements of the Company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delivered their report with respect to the audited financial statements (which term as used in this Agreement includes the related notes thereto and the supporting schedules, if any) filed with the Commission as a part of the Registration Statement, the Time of Sale Prospectus and the Prospectus, is a registered public accounting firm that is independent with respect to the Company within the meaning of the Securities Act and the Exchange Act and the applicable published rules and regulations thereunder.</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900" w:right="439" w:bottom="1440" w:gutter="0" w:footer="0" w:header="0"/>
        </w:sectPr>
      </w:pPr>
    </w:p>
    <w:bookmarkStart w:id="12" w:name="page13"/>
    <w:bookmarkEnd w:id="12"/>
    <w:p>
      <w:pPr>
        <w:ind w:left="-40" w:right="20" w:firstLine="656"/>
        <w:spacing w:after="0" w:line="254" w:lineRule="auto"/>
        <w:tabs>
          <w:tab w:leader="none" w:pos="863"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Financial Statements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financial statements, including the notes thereto and the supporting schedules, if any, filed with the Commission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part of the Registration Statement, the Time of Sale Prospectus and the Prospectus present fairly the financial position of the Company as of the dates indicated and the results of its operations, changes in stockholders’ equity and cash flows for the periods specified. Such financial statements and supporting schedules, if any, have been prepared in conformity with generally accepted accounting principles as applied in the United States applied on a consistent basis throughout the periods involved, except as may be expressly stated in the related notes thereto. No other financial statements or supporting schedules are required to be included in the Registration Statement, the Time of Sale Prospectus or the Prospectus. The financial data set forth in each of the Registration Statement, the Time of Sale Prospectus and the Prospectus under the captions “Summary Financial Data” and “Capitalization” fairly present the information set forth therein on a basis consistent with that of the audited financial statements contained in the Registration Statement, the Time of Sale Prospectus and the Prospectus. There are no pro forma or as adjusted financial statements that are required to be included in the Registration Statement, the Time of Sale Prospectus and the Prospectus in accordance with Regulation S-X that have not been included as so required.</w:t>
      </w:r>
    </w:p>
    <w:p>
      <w:pPr>
        <w:spacing w:after="0" w:line="185" w:lineRule="exact"/>
        <w:rPr>
          <w:rFonts w:ascii="Times New Roman" w:cs="Times New Roman" w:eastAsia="Times New Roman" w:hAnsi="Times New Roman"/>
          <w:sz w:val="18"/>
          <w:szCs w:val="18"/>
          <w:b w:val="1"/>
          <w:bCs w:val="1"/>
          <w:color w:val="auto"/>
        </w:rPr>
      </w:pPr>
    </w:p>
    <w:p>
      <w:pPr>
        <w:ind w:left="-40" w:right="120" w:firstLine="656"/>
        <w:spacing w:after="0" w:line="259" w:lineRule="auto"/>
        <w:tabs>
          <w:tab w:leader="none" w:pos="863"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Company’s Accounting System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will maintain a system of internal accounting controls sufficient to provide reasonable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assurance that: (i) transactions are executed in accordance with management’s general or specific authorization; (ii) transactions are recorded as necessary to permit preparation of financial statements in conformity with generally accepted accounting principles as applied in the United States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79" w:lineRule="exact"/>
        <w:rPr>
          <w:rFonts w:ascii="Times New Roman" w:cs="Times New Roman" w:eastAsia="Times New Roman" w:hAnsi="Times New Roman"/>
          <w:sz w:val="18"/>
          <w:szCs w:val="18"/>
          <w:b w:val="1"/>
          <w:bCs w:val="1"/>
          <w:color w:val="auto"/>
        </w:rPr>
      </w:pPr>
    </w:p>
    <w:p>
      <w:pPr>
        <w:ind w:left="-40" w:right="240" w:firstLine="656"/>
        <w:spacing w:after="0" w:line="286" w:lineRule="auto"/>
        <w:tabs>
          <w:tab w:leader="none" w:pos="852"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Disclosure Controls and Procedures; Deficiencies in or Changes to Internal Control Over Financial Reporting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maintains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effective “disclosure controls and procedures” as defined under Rule 13a-15(e) under the Exchange Act, to the extent required by such rule.</w:t>
      </w:r>
    </w:p>
    <w:p>
      <w:pPr>
        <w:spacing w:after="0" w:line="155" w:lineRule="exact"/>
        <w:rPr>
          <w:sz w:val="20"/>
          <w:szCs w:val="20"/>
          <w:color w:val="auto"/>
        </w:rPr>
      </w:pPr>
    </w:p>
    <w:p>
      <w:pPr>
        <w:ind w:left="-40" w:right="40" w:firstLine="656"/>
        <w:spacing w:after="0" w:line="259" w:lineRule="auto"/>
        <w:tabs>
          <w:tab w:leader="none" w:pos="953"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Compliance with the Sarbanes-Oxley Act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Solely to the extent that the Sarbanes-Oxley Act of 2002, as amended, and the rules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regulations promulgated by the Commission and Nasdaq thereunder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have been applicable to the Company, there is and has been no failure on the part of the Company to comply in all material respects with any provision of the Sarbanes-Oxley Act. The Company has taken all necessary actions to ensure that it is in compliance with all provisions of the Sarbanes-Oxley Act that are in effect and with which the Company is required to comply.</w:t>
      </w:r>
    </w:p>
    <w:p>
      <w:pPr>
        <w:spacing w:after="0" w:line="179" w:lineRule="exact"/>
        <w:rPr>
          <w:rFonts w:ascii="Times New Roman" w:cs="Times New Roman" w:eastAsia="Times New Roman" w:hAnsi="Times New Roman"/>
          <w:sz w:val="18"/>
          <w:szCs w:val="18"/>
          <w:b w:val="1"/>
          <w:bCs w:val="1"/>
          <w:color w:val="auto"/>
        </w:rPr>
      </w:pPr>
    </w:p>
    <w:p>
      <w:pPr>
        <w:ind w:left="-40" w:right="20" w:firstLine="656"/>
        <w:spacing w:after="0" w:line="257" w:lineRule="auto"/>
        <w:tabs>
          <w:tab w:leader="none" w:pos="973"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Compliance with Nasdaq Rules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There is and has been no failure on the part of the Company or, to the knowledge of the Company, any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Company’s officers or directors, in their capacities as such, to comply with (as and when applicable), and immediately following the Effective Date, the Company will be in compliance with, Nasdaq Marketplace Rule IM-5605. Further, there is and has been no failure on the part of the Company or, to the knowledge of the Company, any of the Company’s officers or directors, in their capacities as such, to comply with (as and when applicable), and immediately following the Effective Date, the Company will be in compliance with, the phase-in requirements and all other provisions of The Nasdaq Stock Market LLC corporate governance requirements set forth in the Nasdaq Marketplace Rules.</w:t>
      </w:r>
    </w:p>
    <w:p>
      <w:pPr>
        <w:spacing w:after="0" w:line="182" w:lineRule="exact"/>
        <w:rPr>
          <w:rFonts w:ascii="Times New Roman" w:cs="Times New Roman" w:eastAsia="Times New Roman" w:hAnsi="Times New Roman"/>
          <w:sz w:val="18"/>
          <w:szCs w:val="18"/>
          <w:b w:val="1"/>
          <w:bCs w:val="1"/>
          <w:color w:val="auto"/>
        </w:rPr>
      </w:pPr>
    </w:p>
    <w:p>
      <w:pPr>
        <w:ind w:left="-40" w:firstLine="656"/>
        <w:spacing w:after="0" w:line="262" w:lineRule="auto"/>
        <w:tabs>
          <w:tab w:leader="none" w:pos="932"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 Fees Related to this Agreement or the Offering of Offered Securities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There are no transfer, stamp, issue, registration, documentary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similar taxes, duties, fees or charges under U.S. federal law or the laws of any state, or any political subdivision thereof, or under the laws of any non-U.S. jurisdiction, required to be paid in connection with the execution and delivery of this Agreement or the issuance or sale by the Company of the Offered Securities.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10795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900" w:right="359" w:bottom="1440" w:gutter="0" w:footer="0" w:header="0"/>
        </w:sectPr>
      </w:pPr>
    </w:p>
    <w:bookmarkStart w:id="13" w:name="page14"/>
    <w:bookmarkEnd w:id="13"/>
    <w:p>
      <w:pPr>
        <w:ind w:left="-20" w:right="20" w:firstLine="656"/>
        <w:spacing w:after="0" w:line="254" w:lineRule="auto"/>
        <w:tabs>
          <w:tab w:leader="none" w:pos="993"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Incorporation and Good Standing of the Company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has been duly incorporated and is validly existing as a corporation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good standing under the laws of the jurisdiction of its incorporation and has the corporate power and authority to own, lease and operate its properties and to conduct its business as described in the Registration Statement, the Time of Sale Prospectus and the Prospectus and to enter into and perform its obligations under this Agreement, the Trust Agreement, the Warrant Agreement, the Subscription Agreement, the Forward Purchase Agreements, the Private Placement Warrants Purchase Agreement, the Registration Rights Agreement and the Insider Letter and to carry out the transactions contemplated hereby and thereby. The Company is duly qualified as a foreign corporation to transact business and is in good standing in each jurisdiction in which such qualification is required, whether by reason of the ownership or leasing of property or the conduct of business, except where the failure to so qualify would not reasonably be expected to have a material adverse effect on the financial condition, earnings, business, properties, operations, assets, liabilities or prospects of the Company (a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on the Company.</w:t>
      </w:r>
    </w:p>
    <w:p>
      <w:pPr>
        <w:spacing w:after="0" w:line="188" w:lineRule="exact"/>
        <w:rPr>
          <w:rFonts w:ascii="Times New Roman" w:cs="Times New Roman" w:eastAsia="Times New Roman" w:hAnsi="Times New Roman"/>
          <w:sz w:val="18"/>
          <w:szCs w:val="18"/>
          <w:b w:val="1"/>
          <w:bCs w:val="1"/>
          <w:color w:val="auto"/>
        </w:rPr>
      </w:pPr>
    </w:p>
    <w:p>
      <w:pPr>
        <w:ind w:left="-20" w:right="220" w:firstLine="656"/>
        <w:spacing w:after="0" w:line="286" w:lineRule="auto"/>
        <w:tabs>
          <w:tab w:leader="none" w:pos="952"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Interests in Other Entities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does not own or control, directly or indirectly, an interest in any corporation, partnership, limited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liability company, joint venture, trust or other entity.</w:t>
      </w:r>
    </w:p>
    <w:p>
      <w:pPr>
        <w:spacing w:after="0" w:line="154" w:lineRule="exact"/>
        <w:rPr>
          <w:rFonts w:ascii="Times New Roman" w:cs="Times New Roman" w:eastAsia="Times New Roman" w:hAnsi="Times New Roman"/>
          <w:sz w:val="18"/>
          <w:szCs w:val="18"/>
          <w:b w:val="1"/>
          <w:bCs w:val="1"/>
          <w:color w:val="auto"/>
        </w:rPr>
      </w:pPr>
    </w:p>
    <w:p>
      <w:pPr>
        <w:ind w:left="-20" w:firstLine="656"/>
        <w:spacing w:after="0" w:line="254" w:lineRule="auto"/>
        <w:tabs>
          <w:tab w:leader="none" w:pos="913"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Capitalization and Other Capital Stock Matters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authorized, issued and outstanding capital stock of the Company is as set forth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Registration Statement, the Time of Sale Prospectus and the Prospectus under the caption “Capitalization” (other than for subsequent issuances, if any, pursuant to employee benefit plans, or upon the exercise of outstanding options or warrants, in each case described in the Registration Statement). The capital stock of the Company conforms in all material respects to the description thereof in the Time of Sale Prospectus, the Registration Statement and the Prospectus. All of the issued and outstanding securities of the Company have been duly authorized and validly issued, are fully paid and non-assessable and have been issued in compliance with all federal and state securities laws, based in part on the representations and warranties of the purchasers of such securities. None of the outstanding securities was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capital stock of the Company other than those described in the Registration Statement, the Time of Sale Prospectus and the Prospectus.</w:t>
      </w:r>
    </w:p>
    <w:p>
      <w:pPr>
        <w:spacing w:after="0" w:line="185" w:lineRule="exact"/>
        <w:rPr>
          <w:rFonts w:ascii="Times New Roman" w:cs="Times New Roman" w:eastAsia="Times New Roman" w:hAnsi="Times New Roman"/>
          <w:sz w:val="18"/>
          <w:szCs w:val="18"/>
          <w:b w:val="1"/>
          <w:bCs w:val="1"/>
          <w:color w:val="auto"/>
        </w:rPr>
      </w:pPr>
    </w:p>
    <w:p>
      <w:pPr>
        <w:ind w:left="-20" w:right="60" w:firstLine="656"/>
        <w:spacing w:after="0" w:line="268" w:lineRule="auto"/>
        <w:tabs>
          <w:tab w:leader="none" w:pos="973"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Sale of Securities of the Company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 securities of the Company have been sold by the Company or by or on behalf of, or for the benefit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person or persons controlling, controlled by, or under common control with the Company from its inception through and including the date hereof, except as disclosed in the Registration Statement, the Time of Sale Prospectus and the Prospectus.</w:t>
      </w:r>
    </w:p>
    <w:p>
      <w:pPr>
        <w:spacing w:after="0" w:line="170" w:lineRule="exact"/>
        <w:rPr>
          <w:rFonts w:ascii="Times New Roman" w:cs="Times New Roman" w:eastAsia="Times New Roman" w:hAnsi="Times New Roman"/>
          <w:sz w:val="18"/>
          <w:szCs w:val="18"/>
          <w:b w:val="1"/>
          <w:bCs w:val="1"/>
          <w:color w:val="auto"/>
        </w:rPr>
      </w:pPr>
    </w:p>
    <w:p>
      <w:pPr>
        <w:ind w:left="-20" w:right="100" w:firstLine="656"/>
        <w:spacing w:after="0" w:line="268" w:lineRule="auto"/>
        <w:tabs>
          <w:tab w:leader="none" w:pos="993"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“Penny Stock” Securities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Upon delivery and payment for the Units on the First Closing Date and any Option Closing Dates,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not be subject to Rule 419 under the Securities Act and none of the Company’s outstanding securities will be deemed to be a “penny stock” as defined in Rule 3a51-1 under the Exchange Act.</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0" w:right="339" w:bottom="1440" w:gutter="0" w:footer="0" w:header="0"/>
        </w:sectPr>
      </w:pPr>
    </w:p>
    <w:bookmarkStart w:id="14" w:name="page15"/>
    <w:bookmarkEnd w:id="14"/>
    <w:p>
      <w:pPr>
        <w:ind w:right="20" w:firstLine="656"/>
        <w:spacing w:after="0" w:line="252" w:lineRule="auto"/>
        <w:tabs>
          <w:tab w:leader="none" w:pos="913"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Non-Contravention of Existing Instruments; No Further Authorizations or Approvals Required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is not in violation of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amended and restated certificate of incorporation, and, as of the First Closing Date, will not be in violation of its second amended and restated certificate of incorporation (as it may be amended from time to time, the “</w:t>
      </w:r>
      <w:r>
        <w:rPr>
          <w:rFonts w:ascii="Times New Roman" w:cs="Times New Roman" w:eastAsia="Times New Roman" w:hAnsi="Times New Roman"/>
          <w:sz w:val="18"/>
          <w:szCs w:val="18"/>
          <w:b w:val="1"/>
          <w:bCs w:val="1"/>
          <w:color w:val="auto"/>
        </w:rPr>
        <w:t>Amended and Restated Certificate of Incorporation</w:t>
      </w:r>
      <w:r>
        <w:rPr>
          <w:rFonts w:ascii="Times New Roman" w:cs="Times New Roman" w:eastAsia="Times New Roman" w:hAnsi="Times New Roman"/>
          <w:sz w:val="18"/>
          <w:szCs w:val="18"/>
          <w:color w:val="auto"/>
        </w:rPr>
        <w:t>”), and is not in default (or, with the giving of notice or lapse of time, would not be in default) (“</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under any indenture, loan, credit agreement, note, lease, license agreement, contract, franchise or other instrument (including, without limitation, any pledge agreement, security agreement, mortgage or other instrument or agreement evidencing, guaranteeing, securing or relating to indebtedness) to which the Company is a party or by which it may be bound, or to which any of the Company’s properties or assets are subject (each, an “</w:t>
      </w:r>
      <w:r>
        <w:rPr>
          <w:rFonts w:ascii="Times New Roman" w:cs="Times New Roman" w:eastAsia="Times New Roman" w:hAnsi="Times New Roman"/>
          <w:sz w:val="18"/>
          <w:szCs w:val="18"/>
          <w:b w:val="1"/>
          <w:bCs w:val="1"/>
          <w:color w:val="auto"/>
        </w:rPr>
        <w:t>Existing Instrument</w:t>
      </w:r>
      <w:r>
        <w:rPr>
          <w:rFonts w:ascii="Times New Roman" w:cs="Times New Roman" w:eastAsia="Times New Roman" w:hAnsi="Times New Roman"/>
          <w:sz w:val="18"/>
          <w:szCs w:val="18"/>
          <w:color w:val="auto"/>
        </w:rPr>
        <w:t>”), except for such Defaults as could not be reasonably expected, individually or in the aggregate, to have a Material Adverse Effect. The Company’s execution, delivery and performance of this Agreement, the Trust Agreement, the Warrant Agreement, the Subscription Agreement, the Forward Purchase Agreements, the Private Placement Warrants Purchase Agreement, the Registration Rights Agreement or the Insider Letter, consummation of the transactions contemplated hereby and thereby and by the Registration Statement, the Time of Sale Prospectus and the Prospectus and the issuance and sale of the Offered Securities (including the use of proceeds from the sale of the Offered Securities as described in the Registration Statement, the Time of Sale Prospectus and the Prospectus under the caption “Use of Proceeds”) (i) will not result in any violation of the provisions of the Amended and Restated Certificate of Incorporation of the Company, (ii) will not conflict with or constitute a breach of, or Default under, or result in the creation or imposition of any lien, charge or encumbrance upon any property or assets of the Company pursuant to, or require the consent of any other party to, any Existing Instrument and (iii) will not result in any violation of any law, administrative regulation or administrative or court decree applicable to the Company. No consent, approval, authorization or other order of, or registration or filing with, any court or other governmental or regulatory authority or agency, is required for, or in connection with, the Company’s execution, delivery and performance of this Agreement, the Trust Agreement, the Warrant Agreement, the Subscription Agreement, the Forward Purchase Agreements, the Private Placement Warrants Purchase Agreement, the Registration Rights Agreement, or the Insider Letter and consummation of the transactions contemplated hereby and thereby and by the Registration Statement, the Time of Sale Prospectus and the Prospectus, except such as have been obtained or made by the Company and are in full force and effect under the Securities Act or Exchange Act and such as may be required under applicable state securities or blue sky laws or the Financial Industry Regulatory Authority, Inc. (the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933"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Compliance with Laws. </w:t>
      </w:r>
      <w:r>
        <w:rPr>
          <w:rFonts w:ascii="Times New Roman" w:cs="Times New Roman" w:eastAsia="Times New Roman" w:hAnsi="Times New Roman"/>
          <w:sz w:val="18"/>
          <w:szCs w:val="18"/>
          <w:color w:val="auto"/>
        </w:rPr>
        <w:t>The Company has been and is in compliance with all applicable laws, rules and regulations, except where failure to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 in compliance could not be expected, individually or in the aggregate, to have a Material Adverse Effect.</w:t>
      </w:r>
    </w:p>
    <w:p>
      <w:pPr>
        <w:spacing w:after="0" w:line="154" w:lineRule="exact"/>
        <w:rPr>
          <w:rFonts w:ascii="Times New Roman" w:cs="Times New Roman" w:eastAsia="Times New Roman" w:hAnsi="Times New Roman"/>
          <w:sz w:val="18"/>
          <w:szCs w:val="18"/>
          <w:b w:val="1"/>
          <w:bCs w:val="1"/>
          <w:color w:val="auto"/>
        </w:rPr>
      </w:pPr>
    </w:p>
    <w:p>
      <w:pPr>
        <w:ind w:right="20" w:firstLine="656"/>
        <w:spacing w:after="0" w:line="257" w:lineRule="auto"/>
        <w:tabs>
          <w:tab w:leader="none" w:pos="1013"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 Material Actions or Proceedings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There is no action, suit, proceeding, inquiry or investigation brought by or before any governmental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entity now pending or, to the knowledge of the Company, threatened, against or affecting the Company or the Sponsor, which could be expected, individually or in the aggregate, to have a Material Adverse Effect or materially and adversely affect the consummation of the transactions contemplated by this Agreement, the Trust Agreement, the Warrant Agreement, the Subscription Agreement, the Forward Purchase Agreements, the Private Placement Warrants Purchase Agreement, the Registration Rights Agreement, or the Insider Letter or the performance by the Company of its obligations hereunder and thereunder.</w:t>
      </w:r>
    </w:p>
    <w:p>
      <w:pPr>
        <w:spacing w:after="0" w:line="182" w:lineRule="exact"/>
        <w:rPr>
          <w:rFonts w:ascii="Times New Roman" w:cs="Times New Roman" w:eastAsia="Times New Roman" w:hAnsi="Times New Roman"/>
          <w:sz w:val="18"/>
          <w:szCs w:val="18"/>
          <w:b w:val="1"/>
          <w:bCs w:val="1"/>
          <w:color w:val="auto"/>
        </w:rPr>
      </w:pPr>
    </w:p>
    <w:p>
      <w:pPr>
        <w:ind w:right="60" w:firstLine="656"/>
        <w:spacing w:after="0" w:line="259" w:lineRule="auto"/>
        <w:tabs>
          <w:tab w:leader="none" w:pos="913"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All Necessary Permits, etc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possesses such valid and current licenses, certificates, authorizations or permits required by state,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federal or foreign regulatory agencies or bodies to conduct its business as currently conducted and as described in the Registration Statement, the Time of Sale Prospectus or the Prospectus. The Company has not received any notice of proceedings relating to the revocation or modification of, or non-compliance with, any such license, certificate, authorization or permit that, individually or in the aggregate, if the subject of an unfavorable decision, ruling or finding, could reasonably be expected to have a Material Adverse Effect.</w:t>
      </w:r>
    </w:p>
    <w:p>
      <w:pPr>
        <w:spacing w:after="0" w:line="179" w:lineRule="exact"/>
        <w:rPr>
          <w:rFonts w:ascii="Times New Roman" w:cs="Times New Roman" w:eastAsia="Times New Roman" w:hAnsi="Times New Roman"/>
          <w:sz w:val="18"/>
          <w:szCs w:val="18"/>
          <w:b w:val="1"/>
          <w:bCs w:val="1"/>
          <w:color w:val="auto"/>
        </w:rPr>
      </w:pPr>
    </w:p>
    <w:p>
      <w:pPr>
        <w:ind w:left="1120" w:hanging="464"/>
        <w:spacing w:after="0"/>
        <w:tabs>
          <w:tab w:leader="none" w:pos="11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Title to Properties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owns or leases all such properties as are necessary to the conduct of its operations as presently conducted.</w:t>
      </w:r>
    </w:p>
    <w:p>
      <w:pPr>
        <w:spacing w:after="0" w:line="225" w:lineRule="exact"/>
        <w:rPr>
          <w:rFonts w:ascii="Times New Roman" w:cs="Times New Roman" w:eastAsia="Times New Roman" w:hAnsi="Times New Roman"/>
          <w:sz w:val="18"/>
          <w:szCs w:val="18"/>
          <w:b w:val="1"/>
          <w:bCs w:val="1"/>
          <w:color w:val="auto"/>
        </w:rPr>
      </w:pPr>
    </w:p>
    <w:p>
      <w:pPr>
        <w:ind w:right="40" w:firstLine="656"/>
        <w:spacing w:after="0" w:line="259" w:lineRule="auto"/>
        <w:tabs>
          <w:tab w:leader="none" w:pos="1013"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Tax Law Compliance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has filed all necessary federal, state and foreign income and franchise tax returns or has properly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requested extensions thereof (except in any case in which the failure to so file would not have a Material Adverse Effect) and has paid all taxes required to be paid by it and, if due and payable, any related or similar assessment, fine or penalty levied against it, except for any such assessment, fine or penalty that is currently being contested in good faith and by appropriate proceedings and for which adequate reserves required by generally accepted accounting principles have been created with respect thereto or as would not have a Material Adverse Effect.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ind w:left="-40" w:right="760" w:firstLine="656"/>
        <w:spacing w:after="0" w:line="286" w:lineRule="auto"/>
        <w:tabs>
          <w:tab w:leader="none" w:pos="953"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ERISA Compliance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has not established or maintained any “employee benefit plan” (as defined under the Employee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Retirement Income Security Act of 1974, as amended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and thus is not subject to ERISA.</w:t>
      </w:r>
    </w:p>
    <w:p>
      <w:pPr>
        <w:spacing w:after="0" w:line="154" w:lineRule="exact"/>
        <w:rPr>
          <w:rFonts w:ascii="Times New Roman" w:cs="Times New Roman" w:eastAsia="Times New Roman" w:hAnsi="Times New Roman"/>
          <w:sz w:val="18"/>
          <w:szCs w:val="18"/>
          <w:b w:val="1"/>
          <w:bCs w:val="1"/>
          <w:color w:val="auto"/>
        </w:rPr>
      </w:pPr>
    </w:p>
    <w:p>
      <w:pPr>
        <w:ind w:left="-40" w:right="100" w:firstLine="656"/>
        <w:spacing w:after="0" w:line="291" w:lineRule="auto"/>
        <w:tabs>
          <w:tab w:leader="none" w:pos="973"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 xml:space="preserve">Company Not an “Investment Company.” </w:t>
      </w:r>
      <w:r>
        <w:rPr>
          <w:rFonts w:ascii="Times New Roman" w:cs="Times New Roman" w:eastAsia="Times New Roman" w:hAnsi="Times New Roman"/>
          <w:sz w:val="17"/>
          <w:szCs w:val="17"/>
          <w:color w:val="auto"/>
        </w:rPr>
        <w:t>The Company is not, and will not be, either after receipt of payment for the Offered Securities 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after the application of the proceeds therefrom as described under “Use of Proceeds” in the Registration Statement, the Time of Sale Prospectus or the Prospectus, required to register as an “investment company” under the Investment Company Act of 1940, as amended (the </w:t>
      </w:r>
      <w:r>
        <w:rPr>
          <w:rFonts w:ascii="Times New Roman" w:cs="Times New Roman" w:eastAsia="Times New Roman" w:hAnsi="Times New Roman"/>
          <w:sz w:val="17"/>
          <w:szCs w:val="17"/>
          <w:b w:val="1"/>
          <w:bCs w:val="1"/>
          <w:color w:val="auto"/>
        </w:rPr>
        <w:t>“Investment Company Act”)</w:t>
      </w:r>
      <w:r>
        <w:rPr>
          <w:rFonts w:ascii="Times New Roman" w:cs="Times New Roman" w:eastAsia="Times New Roman" w:hAnsi="Times New Roman"/>
          <w:sz w:val="17"/>
          <w:szCs w:val="17"/>
          <w:color w:val="auto"/>
        </w:rPr>
        <w:t>.</w:t>
      </w:r>
    </w:p>
    <w:p>
      <w:pPr>
        <w:spacing w:after="0" w:line="152" w:lineRule="exact"/>
        <w:rPr>
          <w:rFonts w:ascii="Times New Roman" w:cs="Times New Roman" w:eastAsia="Times New Roman" w:hAnsi="Times New Roman"/>
          <w:sz w:val="17"/>
          <w:szCs w:val="17"/>
          <w:b w:val="1"/>
          <w:bCs w:val="1"/>
          <w:color w:val="auto"/>
        </w:rPr>
      </w:pPr>
    </w:p>
    <w:p>
      <w:pPr>
        <w:ind w:left="-40" w:right="80" w:firstLine="656"/>
        <w:spacing w:after="0" w:line="268" w:lineRule="auto"/>
        <w:tabs>
          <w:tab w:leader="none" w:pos="973"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 Price Stabilization or Manipulation; Compliance with Regulation 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has not taken, directly or indirectly, any action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designed to or that might cause or result in stabilization or manipulation of the price of any security of the Company, whether to facilitate the sale or resale of the Offered Securities or otherwise, which would directly or indirectly violate Regulation M under the Exchange Act (“</w:t>
      </w:r>
      <w:r>
        <w:rPr>
          <w:rFonts w:ascii="Times New Roman" w:cs="Times New Roman" w:eastAsia="Times New Roman" w:hAnsi="Times New Roman"/>
          <w:sz w:val="18"/>
          <w:szCs w:val="18"/>
          <w:b w:val="1"/>
          <w:bCs w:val="1"/>
          <w:color w:val="auto"/>
        </w:rPr>
        <w:t>Regulation M</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b w:val="1"/>
          <w:bCs w:val="1"/>
          <w:color w:val="auto"/>
        </w:rPr>
      </w:pPr>
    </w:p>
    <w:p>
      <w:pPr>
        <w:ind w:left="-40" w:right="340" w:firstLine="656"/>
        <w:spacing w:after="0" w:line="286" w:lineRule="auto"/>
        <w:tabs>
          <w:tab w:leader="none" w:pos="932"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Related-Party Transactions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There are no business relationships or related-party transactions involving the Company or any other person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required to be described in the Registration Statement, the Time of Sale Prospectus or the Prospectus that have not been described as required.</w:t>
      </w:r>
    </w:p>
    <w:p>
      <w:pPr>
        <w:spacing w:after="0" w:line="154" w:lineRule="exact"/>
        <w:rPr>
          <w:rFonts w:ascii="Times New Roman" w:cs="Times New Roman" w:eastAsia="Times New Roman" w:hAnsi="Times New Roman"/>
          <w:sz w:val="18"/>
          <w:szCs w:val="18"/>
          <w:b w:val="1"/>
          <w:bCs w:val="1"/>
          <w:color w:val="auto"/>
        </w:rPr>
      </w:pPr>
    </w:p>
    <w:p>
      <w:pPr>
        <w:ind w:left="-40" w:right="80" w:firstLine="656"/>
        <w:spacing w:after="0" w:line="262" w:lineRule="auto"/>
        <w:tabs>
          <w:tab w:leader="none" w:pos="913"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FINRA Matters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 of the information provided to the Underwriters or to counsel for the Underwriters by the Sponsor, the Company and,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knowledge of the Company, its counsel, its officers, directors, director nominees and the other holders of any securities (debt or equity) or options to acquire any securities of the Company in connection with the Offering, is true, complete and correct in all material respects and the Company has not become aware of any other information that would cause such provided information to become inaccurate and incorrect in any material respect.</w:t>
      </w:r>
    </w:p>
    <w:p>
      <w:pPr>
        <w:spacing w:after="0" w:line="176" w:lineRule="exact"/>
        <w:rPr>
          <w:rFonts w:ascii="Times New Roman" w:cs="Times New Roman" w:eastAsia="Times New Roman" w:hAnsi="Times New Roman"/>
          <w:sz w:val="18"/>
          <w:szCs w:val="18"/>
          <w:b w:val="1"/>
          <w:bCs w:val="1"/>
          <w:color w:val="auto"/>
        </w:rPr>
      </w:pPr>
    </w:p>
    <w:p>
      <w:pPr>
        <w:ind w:left="-40" w:right="20" w:firstLine="656"/>
        <w:spacing w:after="0" w:line="259" w:lineRule="auto"/>
        <w:tabs>
          <w:tab w:leader="none" w:pos="893"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FINRA Conflict of Interest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 Company’s knowledge after reasonable inquiry, there are no affiliations or associations between (i)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 of FINRA and (ii) the Company or any of the Company’s officers, directors or 5% or greater security holders or any beneficial owner of the Company’s unregistered equity securities that were acquired at any time on or after the 180th day immediately preceding the date the Registration Statement was initially submitted or filed with the Commission, except as disclosed in the Registration Statement (excluding the exhibits thereto), the Time of Sale Prospectus and the Prospectus.</w:t>
      </w:r>
    </w:p>
    <w:p>
      <w:pPr>
        <w:spacing w:after="0" w:line="179" w:lineRule="exact"/>
        <w:rPr>
          <w:rFonts w:ascii="Times New Roman" w:cs="Times New Roman" w:eastAsia="Times New Roman" w:hAnsi="Times New Roman"/>
          <w:sz w:val="18"/>
          <w:szCs w:val="18"/>
          <w:b w:val="1"/>
          <w:bCs w:val="1"/>
          <w:color w:val="auto"/>
        </w:rPr>
      </w:pPr>
    </w:p>
    <w:p>
      <w:pPr>
        <w:ind w:left="-40" w:right="260" w:firstLine="656"/>
        <w:spacing w:after="0" w:line="262" w:lineRule="auto"/>
        <w:tabs>
          <w:tab w:leader="none" w:pos="973"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Non-Compete/Non-Solicit</w:t>
      </w:r>
      <w:r>
        <w:rPr>
          <w:rFonts w:ascii="Times New Roman" w:cs="Times New Roman" w:eastAsia="Times New Roman" w:hAnsi="Times New Roman"/>
          <w:sz w:val="18"/>
          <w:szCs w:val="18"/>
          <w:color w:val="auto"/>
        </w:rPr>
        <w:t>. Except as described in the Registration Statement, the Time of Sale Prospectus and the Prospectus,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knowledge, none of the Sponsor, officers, directors or director nominees of the Company is subject to a non-competition agreement or non-solicitation agreement with any employer or prior employer that could materially affect its, his or her ability to be and act in the capacity of stockholder, officer or director of the Company, as applicable.</w:t>
      </w:r>
    </w:p>
    <w:p>
      <w:pPr>
        <w:spacing w:after="0" w:line="176" w:lineRule="exact"/>
        <w:rPr>
          <w:rFonts w:ascii="Times New Roman" w:cs="Times New Roman" w:eastAsia="Times New Roman" w:hAnsi="Times New Roman"/>
          <w:sz w:val="18"/>
          <w:szCs w:val="18"/>
          <w:b w:val="1"/>
          <w:bCs w:val="1"/>
          <w:color w:val="auto"/>
        </w:rPr>
      </w:pPr>
    </w:p>
    <w:p>
      <w:pPr>
        <w:ind w:left="-40" w:firstLine="656"/>
        <w:spacing w:after="0" w:line="268" w:lineRule="auto"/>
        <w:tabs>
          <w:tab w:leader="none" w:pos="953"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Statistical and Market-Related Data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 statistical, industry-related and market-related data included in the Registration Statement, the Time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Sale Prospectus or the Prospectus are based on or derived from sources that the Company reasonably and in good faith believes to be reliable and accurate. To the extent required, the Company has obtained the written consent to the use of such data from such sources.</w:t>
      </w:r>
    </w:p>
    <w:p>
      <w:pPr>
        <w:spacing w:after="0" w:line="170" w:lineRule="exact"/>
        <w:rPr>
          <w:rFonts w:ascii="Times New Roman" w:cs="Times New Roman" w:eastAsia="Times New Roman" w:hAnsi="Times New Roman"/>
          <w:sz w:val="18"/>
          <w:szCs w:val="18"/>
          <w:b w:val="1"/>
          <w:bCs w:val="1"/>
          <w:color w:val="auto"/>
        </w:rPr>
      </w:pPr>
    </w:p>
    <w:p>
      <w:pPr>
        <w:ind w:left="-40" w:right="100" w:firstLine="656"/>
        <w:spacing w:after="0" w:line="268" w:lineRule="auto"/>
        <w:tabs>
          <w:tab w:leader="none" w:pos="1033"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 Unlawful Contributions or Other Payments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None of the Company, the Sponsor, or, to the knowledge of the Company, any director,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 nominee, officer, employee or controlled affiliate of the Company, has made any contribution or other payment to any official of, or candidate for, any federal, state or foreign office in violation of the FCPA (as defined below).</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10795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900" w:right="359" w:bottom="1440" w:gutter="0" w:footer="0" w:header="0"/>
        </w:sectPr>
      </w:pPr>
    </w:p>
    <w:bookmarkStart w:id="16" w:name="page17"/>
    <w:bookmarkEnd w:id="16"/>
    <w:p>
      <w:pPr>
        <w:ind w:left="-60" w:firstLine="656"/>
        <w:spacing w:after="0" w:line="254" w:lineRule="auto"/>
        <w:tabs>
          <w:tab w:leader="none" w:pos="933"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Foreign Corrupt Practices Act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None of the Company, the Sponsor, or, to the knowledge of the Company, any director, director nominee,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employee or controlled affiliate of the Company, has, in the course of its, his or her actions for, or on behalf of, the Company (i) used any corporate funds for any unlawful contribution, gift, entertainment or other unlawful expenses relating to political activity; (ii) made any direct or indirect unlawful payment to any domestic government official, “foreign official” (as defined in the U.S. Foreign Corrupt Practices Act of 1977, as amended, and the rules and regulations thereunder (collectively, the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or employee from corporate funds; (iii) violated or is in violation of any provision of the FCPA or the OECD Convention on Bribery of Foreign Public Officials in International Business Transactions; or (iv) made any unlawful bribe, rebate, payoff, influence payment, kickback or other unlawful payment to any domestic government official, such foreign official or employee; and the Company, the Sponsor, and, to the knowledge of the Company, the Company’s directors, director nominees, officers, agents, employees and affiliates have conducted the business of the Company and their respective businesses on behalf of the Company in compliance with the FCPA and have instituted and maintain policies and procedures designed to ensure, and which are reasonably expected to continue to ensure, continued compliance therewith.</w:t>
      </w:r>
    </w:p>
    <w:p>
      <w:pPr>
        <w:spacing w:after="0" w:line="185" w:lineRule="exact"/>
        <w:rPr>
          <w:rFonts w:ascii="Times New Roman" w:cs="Times New Roman" w:eastAsia="Times New Roman" w:hAnsi="Times New Roman"/>
          <w:sz w:val="18"/>
          <w:szCs w:val="18"/>
          <w:b w:val="1"/>
          <w:bCs w:val="1"/>
          <w:color w:val="auto"/>
        </w:rPr>
      </w:pPr>
    </w:p>
    <w:p>
      <w:pPr>
        <w:ind w:left="-60" w:right="20" w:firstLine="656"/>
        <w:spacing w:after="0" w:line="257" w:lineRule="auto"/>
        <w:tabs>
          <w:tab w:leader="none" w:pos="933"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Money Laundering Laws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operations of the Company and the Sponsor have been conducted at all times, in compliance with applicable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Times New Roman" w:cs="Times New Roman" w:eastAsia="Times New Roman" w:hAnsi="Times New Roman"/>
          <w:sz w:val="18"/>
          <w:szCs w:val="18"/>
          <w:b w:val="1"/>
          <w:bCs w:val="1"/>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with respect to the Money Laundering Laws is pending or, to the knowledge of the Company, threatened.</w:t>
      </w:r>
    </w:p>
    <w:p>
      <w:pPr>
        <w:spacing w:after="0" w:line="182" w:lineRule="exact"/>
        <w:rPr>
          <w:rFonts w:ascii="Times New Roman" w:cs="Times New Roman" w:eastAsia="Times New Roman" w:hAnsi="Times New Roman"/>
          <w:sz w:val="18"/>
          <w:szCs w:val="18"/>
          <w:b w:val="1"/>
          <w:bCs w:val="1"/>
          <w:color w:val="auto"/>
        </w:rPr>
      </w:pPr>
    </w:p>
    <w:p>
      <w:pPr>
        <w:ind w:left="-60" w:firstLine="656"/>
        <w:spacing w:after="0" w:line="255" w:lineRule="auto"/>
        <w:tabs>
          <w:tab w:leader="none" w:pos="912"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OFAC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None of the Company, the Sponsor, or, to the knowledge of the Company, any director, director nominee, officer, employee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controlled affiliate of the Company is currently subject to any U.S. sanctions administered by the Office of Foreign Assets Control of the U.S. Treasury Department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the United Nations Security Council (“</w:t>
      </w:r>
      <w:r>
        <w:rPr>
          <w:rFonts w:ascii="Times New Roman" w:cs="Times New Roman" w:eastAsia="Times New Roman" w:hAnsi="Times New Roman"/>
          <w:sz w:val="18"/>
          <w:szCs w:val="18"/>
          <w:b w:val="1"/>
          <w:bCs w:val="1"/>
          <w:color w:val="auto"/>
        </w:rPr>
        <w:t>UNSC</w:t>
      </w:r>
      <w:r>
        <w:rPr>
          <w:rFonts w:ascii="Times New Roman" w:cs="Times New Roman" w:eastAsia="Times New Roman" w:hAnsi="Times New Roman"/>
          <w:sz w:val="18"/>
          <w:szCs w:val="18"/>
          <w:color w:val="auto"/>
        </w:rPr>
        <w:t>”), the European Union, Her Majesty’s Treasury (“</w:t>
      </w:r>
      <w:r>
        <w:rPr>
          <w:rFonts w:ascii="Times New Roman" w:cs="Times New Roman" w:eastAsia="Times New Roman" w:hAnsi="Times New Roman"/>
          <w:sz w:val="18"/>
          <w:szCs w:val="18"/>
          <w:b w:val="1"/>
          <w:bCs w:val="1"/>
          <w:color w:val="auto"/>
        </w:rPr>
        <w:t>HMT</w:t>
      </w:r>
      <w:r>
        <w:rPr>
          <w:rFonts w:ascii="Times New Roman" w:cs="Times New Roman" w:eastAsia="Times New Roman" w:hAnsi="Times New Roman"/>
          <w:sz w:val="18"/>
          <w:szCs w:val="18"/>
          <w:color w:val="auto"/>
        </w:rPr>
        <w:t>”), or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nor is the Company located, organized or resident in a country or territory that is the subject of Sanctions; and the Company will not directly or indirectly use the proceeds of this Offering, or lend, contribute or otherwise make available such proceeds to any subsidiary, or any joint venture partner or other person or entity, for the purpose of financing the activities of or business with any person, or in any country or territory, that currently is subject to any Sanctions or in any other manner that will result in a violation by any person (including any person participating in the transaction whether as underwriter, advisor, investor or otherwise) of such Sanctions.</w:t>
      </w:r>
    </w:p>
    <w:p>
      <w:pPr>
        <w:spacing w:after="0" w:line="185" w:lineRule="exact"/>
        <w:rPr>
          <w:sz w:val="20"/>
          <w:szCs w:val="20"/>
          <w:color w:val="auto"/>
        </w:rPr>
      </w:pPr>
    </w:p>
    <w:p>
      <w:pPr>
        <w:ind w:left="-60" w:right="280" w:firstLine="656"/>
        <w:spacing w:after="0" w:line="268" w:lineRule="auto"/>
        <w:tabs>
          <w:tab w:leader="none" w:pos="1023"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Brokers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Except as described in the Registration Statement, the Time of Sale Prospectus and the Prospectus, there is no broker, finder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party that is entitled to receive from the Company any brokerage or finder’s fee or other fee or commission as a result of any transactions contemplated by this Agreement.</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10795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80" w:top="900" w:right="399" w:bottom="1440" w:gutter="0" w:footer="0" w:header="0"/>
        </w:sectPr>
      </w:pPr>
    </w:p>
    <w:bookmarkStart w:id="17" w:name="page18"/>
    <w:bookmarkEnd w:id="17"/>
    <w:p>
      <w:pPr>
        <w:ind w:right="40" w:firstLine="656"/>
        <w:spacing w:after="0" w:line="252" w:lineRule="auto"/>
        <w:tabs>
          <w:tab w:leader="none" w:pos="1113"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Cybersecurity. </w:t>
      </w:r>
      <w:r>
        <w:rPr>
          <w:rFonts w:ascii="Times New Roman" w:cs="Times New Roman" w:eastAsia="Times New Roman" w:hAnsi="Times New Roman"/>
          <w:sz w:val="18"/>
          <w:szCs w:val="18"/>
          <w:color w:val="auto"/>
        </w:rPr>
        <w:t>The Company’s information technology assets and equipment, computers, systems, networks, hardware, software, websites,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applications, and databases (collectively, “</w:t>
      </w:r>
      <w:r>
        <w:rPr>
          <w:rFonts w:ascii="Times New Roman" w:cs="Times New Roman" w:eastAsia="Times New Roman" w:hAnsi="Times New Roman"/>
          <w:sz w:val="18"/>
          <w:szCs w:val="18"/>
          <w:b w:val="1"/>
          <w:bCs w:val="1"/>
          <w:color w:val="auto"/>
        </w:rPr>
        <w:t>IT Systems</w:t>
      </w:r>
      <w:r>
        <w:rPr>
          <w:rFonts w:ascii="Times New Roman" w:cs="Times New Roman" w:eastAsia="Times New Roman" w:hAnsi="Times New Roman"/>
          <w:sz w:val="18"/>
          <w:szCs w:val="18"/>
          <w:color w:val="auto"/>
        </w:rPr>
        <w:t>”) are adequate for, and operate and perform in all material respects as required in connection with the operation of the business of the Company as currently conducted, free and clear of all material bugs, errors, defects, Trojan horses, time bombs, malware and other corruptants. The Company has implemented and maintained commercially reasonable physical, technical and administrative controls, policies, procedures, and safeguards to maintain and protect its material confidential information and the integrity, continuous operation, redundancy and security of all IT Systems and data, including “Personal Data,” used in connection with their businesses. “</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European Union General Data Protection Regulation (EU 2016/679); and (iv) any other piece of information that allows the identification of such natural person, or his or her family, or permits the collection or analysis of any data related to an identified person’s health or sexual orientation. To the Company’s knowledge,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is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and the Company has implemented backup and disaster recovery technology consistent with industry standards and practices.</w:t>
      </w:r>
    </w:p>
    <w:p>
      <w:pPr>
        <w:spacing w:after="0" w:line="193" w:lineRule="exact"/>
        <w:rPr>
          <w:rFonts w:ascii="Times New Roman" w:cs="Times New Roman" w:eastAsia="Times New Roman" w:hAnsi="Times New Roman"/>
          <w:sz w:val="18"/>
          <w:szCs w:val="18"/>
          <w:b w:val="1"/>
          <w:bCs w:val="1"/>
          <w:color w:val="auto"/>
        </w:rPr>
      </w:pPr>
    </w:p>
    <w:p>
      <w:pPr>
        <w:ind w:right="60" w:firstLine="656"/>
        <w:spacing w:after="0" w:line="262" w:lineRule="auto"/>
        <w:tabs>
          <w:tab w:leader="none" w:pos="1052"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Emerging Growth Company Status</w:t>
      </w:r>
      <w:r>
        <w:rPr>
          <w:rFonts w:ascii="Times New Roman" w:cs="Times New Roman" w:eastAsia="Times New Roman" w:hAnsi="Times New Roman"/>
          <w:sz w:val="18"/>
          <w:szCs w:val="18"/>
          <w:color w:val="auto"/>
        </w:rPr>
        <w:t>. From the time of the initial confidential submission of the Registration Statement to the Commission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if earlier, the first date on which the Company engaged in any Section 5(d) Written Communication or any Section 5(d) Oral Communication) through the date hereof, the Company has been and is an “emerging growth company,” as defined in Section 2(a) of the Securities Act (an “</w:t>
      </w:r>
      <w:r>
        <w:rPr>
          <w:rFonts w:ascii="Times New Roman" w:cs="Times New Roman" w:eastAsia="Times New Roman" w:hAnsi="Times New Roman"/>
          <w:sz w:val="18"/>
          <w:szCs w:val="18"/>
          <w:b w:val="1"/>
          <w:bCs w:val="1"/>
          <w:color w:val="auto"/>
        </w:rPr>
        <w:t>Emerging Growth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b w:val="1"/>
          <w:bCs w:val="1"/>
          <w:color w:val="auto"/>
        </w:rPr>
      </w:pPr>
    </w:p>
    <w:p>
      <w:pPr>
        <w:jc w:val="both"/>
        <w:ind w:right="280" w:firstLine="656"/>
        <w:spacing w:after="0" w:line="268" w:lineRule="auto"/>
        <w:tabs>
          <w:tab w:leader="none" w:pos="1113"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Communications with Potential Business Combination Targets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 to the date hereof, neither the Company nor anyone on its behalf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and as of the First Closing Date, neither the Company nor anyone on its behalf will have selected any Business Combination target or initiated any substantive discussions, directly or indirectly, with any Business Combination target.</w:t>
      </w:r>
    </w:p>
    <w:p>
      <w:pPr>
        <w:spacing w:after="0" w:line="170" w:lineRule="exact"/>
        <w:rPr>
          <w:rFonts w:ascii="Times New Roman" w:cs="Times New Roman" w:eastAsia="Times New Roman" w:hAnsi="Times New Roman"/>
          <w:sz w:val="18"/>
          <w:szCs w:val="18"/>
          <w:b w:val="1"/>
          <w:bCs w:val="1"/>
          <w:color w:val="auto"/>
        </w:rPr>
      </w:pPr>
    </w:p>
    <w:p>
      <w:pPr>
        <w:ind w:firstLine="656"/>
        <w:spacing w:after="0" w:line="254" w:lineRule="auto"/>
        <w:tabs>
          <w:tab w:leader="none" w:pos="1052"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Communications</w:t>
      </w:r>
      <w:r>
        <w:rPr>
          <w:rFonts w:ascii="Times New Roman" w:cs="Times New Roman" w:eastAsia="Times New Roman" w:hAnsi="Times New Roman"/>
          <w:sz w:val="18"/>
          <w:szCs w:val="18"/>
          <w:color w:val="auto"/>
        </w:rPr>
        <w:t>. The Company (i) has not alone engaged in communications with potential investors in reliance on Section 5(d)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Act other than Permitted Section 5(d) Communications with the consent of the Representative with entities that are QIBs or IAIs and (ii) has not authorized anyone other than the Representative to engage in such communications; the Company reconfirms that the Representative has been authorized to act on its behalf in undertaking Marketing Materials, Section 5(d) Oral Communications and Section 5(d) Written Communications; as of the Applicable Time, each Permitted Section 5(d) Communication, when considered together with the Time of Sale Prospectus, did not, as of the Applicable Time, include an untrue statement of a material fact or omit to state a material fact necessary in order to make the statements therein, in the light of the circumstances under which they were made, not misleading; and each Permitted Section 5(d) Communication, if any, does not, as of the date hereof, conflict with the information contained in the Registration Statement, the Preliminary Prospectus and the Prospectus; and the Company has filed publicly on EDGAR at least 15 calendar days prior to any “road show” (as defined in Rule 433 under the Securities Act), any confidentially submitted registration statement and registration statement amendments relating to the offer and sale of the Offered Securities.</w:t>
      </w:r>
    </w:p>
    <w:p>
      <w:pPr>
        <w:spacing w:after="0" w:line="18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Any certificate signed by any officer of the Company and delivered to the Representative, any Underwriters or to counsel for the Underwriters in connection with the Offering, or the purchase and sale, of the Offered Securities shall be deemed a representation and warranty by the Company to each Underwriter as to the matters covered thereby.</w:t>
      </w: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8" w:name="page19"/>
    <w:bookmarkEnd w:id="18"/>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Company has a reasonable basis for making each of the representations set forth in this Section 1. The Company acknowledges that the Underwriters and, for purposes of the opinions to be delivered pursuant to Section 5 hereof, counsel to the Company and counsel to the Underwriters, will rely upon the accuracy and truthfulness of the foregoing representations and hereby consents to such reliance.</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Section 2. Purchase, Sale and Delivery of the Offered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656"/>
        <w:spacing w:after="0" w:line="262" w:lineRule="auto"/>
        <w:tabs>
          <w:tab w:leader="none" w:pos="903"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The Firm Securities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Upon the terms herein set forth, the Company agrees to issue and sell to the several Underwriters an aggregate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38,500,000 Units. On the basis of the representations, warranties and agreements herein contained, and upon the terms but subject to the conditions herein set forth, the Underwriters agree, severally and not jointly, to purchase from the Company the respective number of Firm Securities set forth opposite their names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The purchase price per Unit to be paid by the several Underwriters to the Company shall be $9.80 per Unit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b w:val="1"/>
          <w:bCs w:val="1"/>
          <w:color w:val="auto"/>
        </w:rPr>
      </w:pPr>
    </w:p>
    <w:p>
      <w:pPr>
        <w:ind w:right="80" w:firstLine="656"/>
        <w:spacing w:after="0" w:line="256" w:lineRule="auto"/>
        <w:tabs>
          <w:tab w:leader="none" w:pos="913"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The First Closing Date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Delivery of the Firm Securities to be purchased by the Underwriters and payment therefor shall be made at 9:00 a.m.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New York City time, on September 4, 2020, or such other time and date not later than 1:30 p.m. New York City time on September 18, 2020 as the Representative shall designate by notice to the Company (the time and date of such closing are called the “</w:t>
      </w:r>
      <w:r>
        <w:rPr>
          <w:rFonts w:ascii="Times New Roman" w:cs="Times New Roman" w:eastAsia="Times New Roman" w:hAnsi="Times New Roman"/>
          <w:sz w:val="18"/>
          <w:szCs w:val="18"/>
          <w:b w:val="1"/>
          <w:bCs w:val="1"/>
          <w:color w:val="auto"/>
        </w:rPr>
        <w:t>First Closing Date</w:t>
      </w:r>
      <w:r>
        <w:rPr>
          <w:rFonts w:ascii="Times New Roman" w:cs="Times New Roman" w:eastAsia="Times New Roman" w:hAnsi="Times New Roman"/>
          <w:sz w:val="18"/>
          <w:szCs w:val="18"/>
          <w:color w:val="auto"/>
        </w:rPr>
        <w:t>”). The Company hereby acknowledges that circumstances under which the Representative may provide notice to postpone the First Closing Date as originally scheduled include, but are not limited to, any determination by the Company or the Representative to recirculate to the public copies of an amended or supplemented Prospectus or a delay as contemplated by the provisions of Section 10. Delivery of the Firm Securities shall be made through the facilities of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unless the Representative shall otherwise instruct.</w:t>
      </w:r>
    </w:p>
    <w:p>
      <w:pPr>
        <w:spacing w:after="0" w:line="182" w:lineRule="exact"/>
        <w:rPr>
          <w:rFonts w:ascii="Times New Roman" w:cs="Times New Roman" w:eastAsia="Times New Roman" w:hAnsi="Times New Roman"/>
          <w:sz w:val="18"/>
          <w:szCs w:val="18"/>
          <w:b w:val="1"/>
          <w:bCs w:val="1"/>
          <w:color w:val="auto"/>
        </w:rPr>
      </w:pPr>
    </w:p>
    <w:p>
      <w:pPr>
        <w:ind w:firstLine="656"/>
        <w:spacing w:after="0" w:line="253" w:lineRule="auto"/>
        <w:tabs>
          <w:tab w:leader="none" w:pos="892"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The Optional Securities; Option Closing Date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addition, on the basis of the representations, warranties and agreements herein contained,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upon the terms but subject to the conditions herein set forth, the Company hereby grants an option to the several Underwriters to purchase, severally and not jointly, up to an aggregate of 5,775,000 Units from the Company at the purchase price per Unit to be paid by the Underwriters for the Firm Securities. The option granted hereunder may be exercised at any time and from time to time in whole or in part upon notice by the Representative to the Company, which notice may be given at any time within 45 days from the date of this Agreement. Such notice shall set forth (i) the aggregate number of Optional Securities as to which the Underwriters are exercising the option and (ii) the time, date and place at which the Optional Securities will be delivered (which time and date may be simultaneous with, but not earlier than, the First Closing Date; and in the event that such time and date are simultaneous with the First Closing Date, the term “</w:t>
      </w:r>
      <w:r>
        <w:rPr>
          <w:rFonts w:ascii="Times New Roman" w:cs="Times New Roman" w:eastAsia="Times New Roman" w:hAnsi="Times New Roman"/>
          <w:sz w:val="18"/>
          <w:szCs w:val="18"/>
          <w:b w:val="1"/>
          <w:bCs w:val="1"/>
          <w:color w:val="auto"/>
        </w:rPr>
        <w:t>First Closing Date</w:t>
      </w:r>
      <w:r>
        <w:rPr>
          <w:rFonts w:ascii="Times New Roman" w:cs="Times New Roman" w:eastAsia="Times New Roman" w:hAnsi="Times New Roman"/>
          <w:sz w:val="18"/>
          <w:szCs w:val="18"/>
          <w:color w:val="auto"/>
        </w:rPr>
        <w:t>” shall refer to the time and date of delivery of the Firm Securities and such Optional Securities). Any such time and date of delivery, if subsequent to the First Closing Date, is called an “</w:t>
      </w:r>
      <w:r>
        <w:rPr>
          <w:rFonts w:ascii="Times New Roman" w:cs="Times New Roman" w:eastAsia="Times New Roman" w:hAnsi="Times New Roman"/>
          <w:sz w:val="18"/>
          <w:szCs w:val="18"/>
          <w:b w:val="1"/>
          <w:bCs w:val="1"/>
          <w:color w:val="auto"/>
        </w:rPr>
        <w:t>Option Closing Date</w:t>
      </w:r>
      <w:r>
        <w:rPr>
          <w:rFonts w:ascii="Times New Roman" w:cs="Times New Roman" w:eastAsia="Times New Roman" w:hAnsi="Times New Roman"/>
          <w:sz w:val="18"/>
          <w:szCs w:val="18"/>
          <w:color w:val="auto"/>
        </w:rPr>
        <w:t xml:space="preserve">,” and shall be determined by the Representative and shall not be earlier than two or later than five full business days after delivery of such notice of exercise. If any Optional Securities are to be purchased, each Underwriter agrees, severally and not jointly, to purchase the number of Optional Securities (subject to such adjustments to eliminate fractional shares as the Representative may determine) that bears the same proportion to the total number of Optional Securities to be purchased as the number of Firm Securities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opposite the name of such Underwriter bears to the total number of Firm Securities. The Representative may cancel the option at any time prior to its expiration by giving written notice of such cancellation to the Company.</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9" w:name="page20"/>
    <w:bookmarkEnd w:id="19"/>
    <w:p>
      <w:pPr>
        <w:ind w:right="20" w:firstLine="656"/>
        <w:spacing w:after="0" w:line="262" w:lineRule="auto"/>
        <w:tabs>
          <w:tab w:leader="none" w:pos="913"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Public Offering of the Offered Securities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Representative hereby advises the Company that the Underwriters intend to offer for sale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public, on the terms set forth in the Registration Statement, the Time of Sale Prospectus and the Prospectus, their respective portions of the Offered Securities as soon after this Agreement has been executed and the Registration Statement has been declared effective as the Representative, in its sole judgment, has determined is advisable and practicable.</w:t>
      </w:r>
    </w:p>
    <w:p>
      <w:pPr>
        <w:spacing w:after="0" w:line="176" w:lineRule="exact"/>
        <w:rPr>
          <w:rFonts w:ascii="Times New Roman" w:cs="Times New Roman" w:eastAsia="Times New Roman" w:hAnsi="Times New Roman"/>
          <w:sz w:val="18"/>
          <w:szCs w:val="18"/>
          <w:b w:val="1"/>
          <w:bCs w:val="1"/>
          <w:color w:val="auto"/>
        </w:rPr>
      </w:pPr>
    </w:p>
    <w:p>
      <w:pPr>
        <w:ind w:right="120" w:firstLine="656"/>
        <w:spacing w:after="0" w:line="256" w:lineRule="auto"/>
        <w:tabs>
          <w:tab w:leader="none" w:pos="892"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Delivery and Payment for the Offered Securities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 In addition to the discount from the public offering price represented by the Purchase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Price set forth in the last sentence of Section 2(a) of this Agreement, the Company hereby agrees to pay to the Underwriters a deferred discount of $0.35 per Unit (including both Firm Securities and Optional Securities) purchased hereunder (the “</w:t>
      </w:r>
      <w:r>
        <w:rPr>
          <w:rFonts w:ascii="Times New Roman" w:cs="Times New Roman" w:eastAsia="Times New Roman" w:hAnsi="Times New Roman"/>
          <w:sz w:val="18"/>
          <w:szCs w:val="18"/>
          <w:b w:val="1"/>
          <w:bCs w:val="1"/>
          <w:color w:val="auto"/>
        </w:rPr>
        <w:t>Deferred Discount</w:t>
      </w:r>
      <w:r>
        <w:rPr>
          <w:rFonts w:ascii="Times New Roman" w:cs="Times New Roman" w:eastAsia="Times New Roman" w:hAnsi="Times New Roman"/>
          <w:sz w:val="18"/>
          <w:szCs w:val="18"/>
          <w:color w:val="auto"/>
        </w:rPr>
        <w:t>”). The Underwriters hereby agree that if no Business Combination is consummated within the time period provided in the Trust Agreement and the funds held under the Trust Agreement are distributed to the holders of the shares of Class A Common Stock included in the Offered Securities sold pursuant to this Agreement (the “</w:t>
      </w:r>
      <w:r>
        <w:rPr>
          <w:rFonts w:ascii="Times New Roman" w:cs="Times New Roman" w:eastAsia="Times New Roman" w:hAnsi="Times New Roman"/>
          <w:sz w:val="18"/>
          <w:szCs w:val="18"/>
          <w:b w:val="1"/>
          <w:bCs w:val="1"/>
          <w:color w:val="auto"/>
        </w:rPr>
        <w:t>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 (x) the Underwriters will forfeit any rights or claims to the Deferred Discount and (y) the trustee under the Trust Agreement is authorized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distribute the Deferred Discount to the Public Stockholders on a pro rata basis.</w:t>
      </w:r>
    </w:p>
    <w:p>
      <w:pPr>
        <w:spacing w:after="0" w:line="186" w:lineRule="exact"/>
        <w:rPr>
          <w:rFonts w:ascii="Times New Roman" w:cs="Times New Roman" w:eastAsia="Times New Roman" w:hAnsi="Times New Roman"/>
          <w:sz w:val="18"/>
          <w:szCs w:val="18"/>
          <w:b w:val="1"/>
          <w:bCs w:val="1"/>
          <w:color w:val="auto"/>
        </w:rPr>
      </w:pPr>
    </w:p>
    <w:p>
      <w:pPr>
        <w:ind w:right="20" w:firstLine="1304"/>
        <w:spacing w:after="0" w:line="255" w:lineRule="auto"/>
        <w:tabs>
          <w:tab w:leader="none" w:pos="156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understood that the Representative has been authorized, for its own account and the accounts of the several Underwriters, to accept delivery of and receipt for, and make payment by wire transfer payable in same-day funds to an account specified by the Company and to the Trust Account as described below in this Section of the purchase price for, the Firm Securities and any Optional Securities the Underwriters have agreed to purchase. The Representative, individually and not as the Representative of the Underwriters, may (but shall not be obligated to) make payment for any Offered Securities to be purchased by any Underwriter whose funds shall not have been received by the Representative by the First Closing Date or the applicable Option Closing Date, as the case may be, for the account of such Underwriter, but any such payment shall not relieve such Underwriter from any of its obligations under this Agreement.</w:t>
      </w:r>
    </w:p>
    <w:p>
      <w:pPr>
        <w:spacing w:after="0" w:line="188" w:lineRule="exact"/>
        <w:rPr>
          <w:rFonts w:ascii="Times New Roman" w:cs="Times New Roman" w:eastAsia="Times New Roman" w:hAnsi="Times New Roman"/>
          <w:sz w:val="18"/>
          <w:szCs w:val="18"/>
          <w:color w:val="auto"/>
        </w:rPr>
      </w:pPr>
    </w:p>
    <w:p>
      <w:pPr>
        <w:ind w:firstLine="1304"/>
        <w:spacing w:after="0" w:line="253" w:lineRule="auto"/>
        <w:tabs>
          <w:tab w:leader="none" w:pos="161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for the Firm Securities shall be made as follows: The net proceeds for the Firm Securities (including the Deferred Discount) shall be deposited in the Trust Account pursuant to the terms of the Trust Agreement along with such portion of the proceeds of the sale of the Private Placement Warrants in order for the Trust Account to equal the product of the number of Units sold and the public offering price per Unit as set forth on the cover of the Prospectus upon delivery to the Representative of the Firm Securities through the facilities of DTC or, if the Representative has otherwise instructed, upon delivery to the Representative of certificates (in form and substance satisfactory to the Representative) representing the Firm Securities, in each case for the account of the Underwriters. The Firm Securities shall be registered in such name or names and in such authorized denominations as the Representative may request in writing at least one business day prior to the First Closing Date. If delivery is not made through the facilities of DTC, the Company will permit the Representative to examine and package the Firm Securities for delivery, at least one business day prior to the First Closing Date at a location in New York City as the Representative may designate. The Company shall not be obligated to sell or deliver the Firm Securities except upon tender of payment by the Representative for all the Firm Securities.</w:t>
      </w:r>
    </w:p>
    <w:p>
      <w:pPr>
        <w:spacing w:after="0" w:line="194" w:lineRule="exact"/>
        <w:rPr>
          <w:rFonts w:ascii="Times New Roman" w:cs="Times New Roman" w:eastAsia="Times New Roman" w:hAnsi="Times New Roman"/>
          <w:sz w:val="18"/>
          <w:szCs w:val="18"/>
          <w:color w:val="auto"/>
        </w:rPr>
      </w:pPr>
    </w:p>
    <w:p>
      <w:pPr>
        <w:ind w:right="80" w:firstLine="1304"/>
        <w:spacing w:after="0" w:line="254" w:lineRule="auto"/>
        <w:tabs>
          <w:tab w:leader="none" w:pos="160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for the Optional Securities shall be made as follows: $9.80 per Optional Security (including any Deferred Discount attributable to the Optional Securities) shall be deposited in the Trust Account pursuant to the terms of the Trust Agreement upon delivery to the Representative of the Optional Securities through the facilities of DTC or, if the Representative has otherwise instructed, upon delivery to the Representative of certificates (in form and substance satisfactory to the Representative) representing the Optional Securities for the account of the Underwriters. The Optional Securities shall be registered in such name or names and in such authorized denominations as the Representative may request in writing at least two business days prior to the Option Closing Date. If delivery is not made through the facilities of DTC, the Company will permit the Representative to examine and package the Optional Securities for delivery, at least one business day prior to the Option Closing Date. The Company shall not be obligated to sell or deliver the Optional Securities except upon tender of payment by the Representative for all the Optional Securities.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ind w:left="1300"/>
        <w:spacing w:after="0"/>
        <w:rPr>
          <w:sz w:val="20"/>
          <w:szCs w:val="20"/>
          <w:color w:val="auto"/>
        </w:rPr>
      </w:pPr>
      <w:r>
        <w:rPr>
          <w:rFonts w:ascii="Times New Roman" w:cs="Times New Roman" w:eastAsia="Times New Roman" w:hAnsi="Times New Roman"/>
          <w:sz w:val="18"/>
          <w:szCs w:val="18"/>
          <w:b w:val="1"/>
          <w:bCs w:val="1"/>
          <w:color w:val="auto"/>
        </w:rPr>
        <w:t>Section 3. Additional Covenants of the Company.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further covenants and agrees with each Underwriter as follows:</w:t>
      </w:r>
    </w:p>
    <w:p>
      <w:pPr>
        <w:spacing w:after="0" w:line="221" w:lineRule="exact"/>
        <w:rPr>
          <w:sz w:val="20"/>
          <w:szCs w:val="20"/>
          <w:color w:val="auto"/>
        </w:rPr>
      </w:pPr>
    </w:p>
    <w:p>
      <w:pPr>
        <w:ind w:firstLine="656"/>
        <w:spacing w:after="0" w:line="259" w:lineRule="auto"/>
        <w:tabs>
          <w:tab w:leader="none" w:pos="903"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Delivery of Registration Statement, Time of Sale Prospectus and Prospectus. </w:t>
      </w:r>
      <w:r>
        <w:rPr>
          <w:rFonts w:ascii="Times New Roman" w:cs="Times New Roman" w:eastAsia="Times New Roman" w:hAnsi="Times New Roman"/>
          <w:sz w:val="18"/>
          <w:szCs w:val="18"/>
          <w:color w:val="auto"/>
        </w:rPr>
        <w:t>The Company shall furnish to you in New York City, without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charge, prior to 10:00 a.m. New York City time on the business day next succeeding the date of this Agreement and during the period when a prospectus relating to the Offered Securities is required by the Securities Act to be delivered (whether physically or through compliance with Rule 172 under the Securities Act or any similar rule) in connection with sales of the Offered Securities, as many copies of the Time of Sale Prospectus, the Prospectus and any supplements and amendments thereto or to the Registration Statement as you may reasonably request.</w:t>
      </w:r>
    </w:p>
    <w:p>
      <w:pPr>
        <w:spacing w:after="0" w:line="179" w:lineRule="exact"/>
        <w:rPr>
          <w:rFonts w:ascii="Times New Roman" w:cs="Times New Roman" w:eastAsia="Times New Roman" w:hAnsi="Times New Roman"/>
          <w:sz w:val="18"/>
          <w:szCs w:val="18"/>
          <w:b w:val="1"/>
          <w:bCs w:val="1"/>
          <w:color w:val="auto"/>
        </w:rPr>
      </w:pPr>
    </w:p>
    <w:p>
      <w:pPr>
        <w:ind w:right="80" w:firstLine="656"/>
        <w:spacing w:after="0" w:line="254" w:lineRule="auto"/>
        <w:tabs>
          <w:tab w:leader="none" w:pos="913"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Representative’s Review of Proposed Amendments and Supplements. </w:t>
      </w:r>
      <w:r>
        <w:rPr>
          <w:rFonts w:ascii="Times New Roman" w:cs="Times New Roman" w:eastAsia="Times New Roman" w:hAnsi="Times New Roman"/>
          <w:sz w:val="18"/>
          <w:szCs w:val="18"/>
          <w:color w:val="auto"/>
        </w:rPr>
        <w:t>During the period when a prospectus relating to the Offered Securities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required by the Securities Act to be delivered (whether physically or through compliance with Rule 172 under the Securities Act or any similar rule), the Company (i) will furnish to the Representative for review, a reasonable period of time prior to the proposed time of filing of any proposed amendment or supplement to the Registration Statement, a copy of each such amendment or supplement and (ii) will not amend or supplement the Registration Statement without the Representative’s prior written consent. Prior to amending or supplementing any preliminary prospectus, the Time of Sale Prospectus or the Prospectus, the Company shall furnish to the Representative for review, a reasonable amount of time prior to the time of filing or use of the proposed amendment or supplement, a copy of each such proposed amendment or supplement. The Company shall not file or use any such proposed amendment or supplement without the Representative’s prior written consent. The Company shall file with the Commission within the applicable period specified in Rule 424(b) under the Securities Act any prospectus required to be filed pursuant to such rule.</w:t>
      </w:r>
    </w:p>
    <w:p>
      <w:pPr>
        <w:spacing w:after="0" w:line="188" w:lineRule="exact"/>
        <w:rPr>
          <w:rFonts w:ascii="Times New Roman" w:cs="Times New Roman" w:eastAsia="Times New Roman" w:hAnsi="Times New Roman"/>
          <w:sz w:val="18"/>
          <w:szCs w:val="18"/>
          <w:b w:val="1"/>
          <w:bCs w:val="1"/>
          <w:color w:val="auto"/>
        </w:rPr>
      </w:pPr>
    </w:p>
    <w:p>
      <w:pPr>
        <w:ind w:right="20" w:firstLine="656"/>
        <w:spacing w:after="0" w:line="317" w:lineRule="auto"/>
        <w:tabs>
          <w:tab w:leader="none" w:pos="892"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 xml:space="preserve">Free Writing Prospectuses. </w:t>
      </w:r>
      <w:r>
        <w:rPr>
          <w:rFonts w:ascii="Times New Roman" w:cs="Times New Roman" w:eastAsia="Times New Roman" w:hAnsi="Times New Roman"/>
          <w:sz w:val="17"/>
          <w:szCs w:val="17"/>
          <w:color w:val="auto"/>
        </w:rPr>
        <w:t>The Company will not make any offer relating to the Units that constitutes or would constitute a free writing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prospectus or a portion thereof required to be filed by the Company with the Commission or retained by the Company under Rule 433 of the Securities Act.</w:t>
      </w:r>
    </w:p>
    <w:p>
      <w:pPr>
        <w:spacing w:after="0" w:line="131" w:lineRule="exact"/>
        <w:rPr>
          <w:rFonts w:ascii="Times New Roman" w:cs="Times New Roman" w:eastAsia="Times New Roman" w:hAnsi="Times New Roman"/>
          <w:sz w:val="17"/>
          <w:szCs w:val="17"/>
          <w:b w:val="1"/>
          <w:bCs w:val="1"/>
          <w:color w:val="auto"/>
        </w:rPr>
      </w:pPr>
    </w:p>
    <w:p>
      <w:pPr>
        <w:ind w:firstLine="656"/>
        <w:spacing w:after="0" w:line="253" w:lineRule="auto"/>
        <w:tabs>
          <w:tab w:leader="none" w:pos="913"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Amendments and Supplements to Time of Sale Prospectus. </w:t>
      </w:r>
      <w:r>
        <w:rPr>
          <w:rFonts w:ascii="Times New Roman" w:cs="Times New Roman" w:eastAsia="Times New Roman" w:hAnsi="Times New Roman"/>
          <w:sz w:val="18"/>
          <w:szCs w:val="18"/>
          <w:color w:val="auto"/>
        </w:rPr>
        <w:t>If the Time of Sale Prospectus is being used to solicit offers to buy the Offered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at a time when the Prospectus is not yet available to prospective purchasers, and any event shall occur or condition exist as a result of which it is necessary to amend or supplement the Time of Sale Prospectus so that the Time of Sale Prospectus does not include an untrue statement of a material fact or omit to state a material fact necessary in order to make the statements therein, in the light of the circumstances when delivered to a prospective purchaser, not misleading, or if any event shall occur or condition exist as a result of which the Time of Sale Prospectus conflicts with the information contained in the Registration Statement, or if it shall be necessary to amend or supplement the Time of Sale Prospectus to comply with the Securities Act or the rules thereunder, the Company shall (subject to Section 3(b) and Section 3(e) hereof) promptly prepare, file with the Commission and furnish, at its own expense, to the Underwriters and to any dealer upon request, either amendments or supplements to the Time of Sale Prospectus so that the statements in the Time of Sale Prospectus as so amended or supplemented will not include an untrue statement of a material fact or omit to state a material fact necessary in order to make the statements therein, in the light of the circumstances when delivered to a prospective purchaser, not misleading or so that the Time of Sale Prospectus, as amended or supplemented, will no longer conflict with the information contained in the Registration Statement or so that the Time of Sale Prospectus, as amended or supplemented, will comply with the Securities Act or the rules thereunder.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ind w:left="900" w:hanging="244"/>
        <w:spacing w:after="0"/>
        <w:tabs>
          <w:tab w:leader="none" w:pos="9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Certain Notifications and Required Actions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After the date of this Agreement, the Company shall promptly advise the Representative in</w:t>
      </w:r>
    </w:p>
    <w:p>
      <w:pPr>
        <w:spacing w:after="0" w:line="31" w:lineRule="exact"/>
        <w:rPr>
          <w:rFonts w:ascii="Times New Roman" w:cs="Times New Roman" w:eastAsia="Times New Roman" w:hAnsi="Times New Roman"/>
          <w:sz w:val="18"/>
          <w:szCs w:val="18"/>
          <w:b w:val="1"/>
          <w:bCs w:val="1"/>
          <w:color w:val="auto"/>
        </w:rPr>
      </w:pPr>
    </w:p>
    <w:p>
      <w:pPr>
        <w:ind w:right="8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writing of: (i) the receipt of any comments of, or requests for additional or supplemental information from, the Commission; (ii) the time and date of any filing of any post-effective amendment to the Registration Statement or any amendment or supplement to any preliminary prospectus, the Time of Sale Prospectus, the Prospectus or the Exchange Act Registration Statement; (iii) the time and date that any post-effective amendment to the Registration Statement becomes effective; and (iv) the issuance by the Commission of any stop order suspending the effectiveness of the Registration Statement or any post-effective amendment thereto or any amendment or supplement to any preliminary prospectus, the Time of Sale Prospectus, the Prospectus or the Exchange Act Registration Statement or of any order preventing or suspending the use of any preliminary prospectus, the Time of Sale Prospectus, or the Prospectus, or of any proceedings to remove, suspend or terminate from listing or quotation the Units from any securities exchange upon which they are listed for trading or included or designated for quotation, or of the threatening or initiation of any proceedings for any of such purposes. If, at any time, the Commission shall enter any such stop order, the Company will use its best efforts to obtain the lifting of such order at the earliest possible moment. Additionally, the Company agrees that it shall comply in all material respects with all applicable provisions of Rule 424(b) and Rule 430A under the Securities Act and will use its reasonable efforts to confirm that any filings made by the Company under Rule 424(b) were received in a timely manner by the Commission.</w:t>
      </w:r>
    </w:p>
    <w:p>
      <w:pPr>
        <w:spacing w:after="0" w:line="188" w:lineRule="exact"/>
        <w:rPr>
          <w:rFonts w:ascii="Times New Roman" w:cs="Times New Roman" w:eastAsia="Times New Roman" w:hAnsi="Times New Roman"/>
          <w:sz w:val="18"/>
          <w:szCs w:val="18"/>
          <w:b w:val="1"/>
          <w:bCs w:val="1"/>
          <w:color w:val="auto"/>
        </w:rPr>
      </w:pPr>
    </w:p>
    <w:p>
      <w:pPr>
        <w:ind w:firstLine="656"/>
        <w:spacing w:after="0" w:line="253" w:lineRule="auto"/>
        <w:tabs>
          <w:tab w:leader="none" w:pos="873"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Amendments and Supplements to the Prospectus and Other Securities Act Matters. </w:t>
      </w:r>
      <w:r>
        <w:rPr>
          <w:rFonts w:ascii="Times New Roman" w:cs="Times New Roman" w:eastAsia="Times New Roman" w:hAnsi="Times New Roman"/>
          <w:sz w:val="18"/>
          <w:szCs w:val="18"/>
          <w:color w:val="auto"/>
        </w:rPr>
        <w:t>If, at any time when a prospectus relating to the Offered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is required to be delivered under the Securities Act,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if it shall be necessary to amend the Registration Statement or supplement the Prospectus to comply with the Securities Act or rules thereunder, the Company agrees (subject to Section 3(b) and Section 3(c) hereof) to promptly prepare, file with the Commission and furnish, at its own expense, to the Underwriters and to any dealer upon request,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so that the Prospectus, as amended or supplemented, will comply with the Securities Act or the rules thereunder. Neither the Representative’s consent to, nor delivery of, any such amendment or supplement shall constitute a waiver of any of the Company’s obligations under Section 3(b) or Section 3(e).</w:t>
      </w:r>
    </w:p>
    <w:p>
      <w:pPr>
        <w:spacing w:after="0" w:line="189" w:lineRule="exact"/>
        <w:rPr>
          <w:rFonts w:ascii="Times New Roman" w:cs="Times New Roman" w:eastAsia="Times New Roman" w:hAnsi="Times New Roman"/>
          <w:sz w:val="18"/>
          <w:szCs w:val="18"/>
          <w:b w:val="1"/>
          <w:bCs w:val="1"/>
          <w:color w:val="auto"/>
        </w:rPr>
      </w:pPr>
    </w:p>
    <w:p>
      <w:pPr>
        <w:ind w:right="20" w:firstLine="656"/>
        <w:spacing w:after="0" w:line="254" w:lineRule="auto"/>
        <w:tabs>
          <w:tab w:leader="none" w:pos="903"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Blue Sky Compliance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shall cooperate with the Representative and counsel for the Underwriters to qualify or register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Offered Securities for sale under (or obtain exemptions from the application of) the state securities or blue sky laws or Canadian provincial securities laws of those jurisdictions designated by the Representative, shall comply with such laws and shall continue such qualifications, registrations and exemptions in effect so long as required for the distribution of the Offered Securities.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Representative promptly of the suspension of the qualification or registration of (or any such exemption relating to) the Offered Securities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at the earliest possible moment.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2" w:name="page23"/>
    <w:bookmarkEnd w:id="22"/>
    <w:p>
      <w:pPr>
        <w:jc w:val="both"/>
        <w:ind w:right="180" w:firstLine="656"/>
        <w:spacing w:after="0" w:line="268" w:lineRule="auto"/>
        <w:tabs>
          <w:tab w:leader="none" w:pos="913"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Use of Proceeds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shall apply the net proceeds from the sale of the Offered Securities and the Private Placement Warrants sold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it in a manner consistent in all material respects with the applications described under the caption “Use of Proceeds” in the Registration Statement, the Time of Sale Prospectus and the Prospectus.</w:t>
      </w:r>
    </w:p>
    <w:p>
      <w:pPr>
        <w:spacing w:after="0" w:line="170" w:lineRule="exact"/>
        <w:rPr>
          <w:rFonts w:ascii="Times New Roman" w:cs="Times New Roman" w:eastAsia="Times New Roman" w:hAnsi="Times New Roman"/>
          <w:sz w:val="18"/>
          <w:szCs w:val="18"/>
          <w:b w:val="1"/>
          <w:bCs w:val="1"/>
          <w:color w:val="auto"/>
        </w:rPr>
      </w:pPr>
    </w:p>
    <w:p>
      <w:pPr>
        <w:ind w:right="20" w:firstLine="656"/>
        <w:spacing w:after="0" w:line="259" w:lineRule="auto"/>
        <w:tabs>
          <w:tab w:leader="none" w:pos="863"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Transfer and Warrant Agent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a period commencing on the Effective Date and ending at least five years from the date of the consummation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Business Combination or until such earlier time at which the distributions of the Trust Account to the Public Stockholders in connection with the redemption of the shares of Class A Common Stock held by the Public Stockholders pursuant to the terms of the Company’s Amended and Restated Certificate of Incorporation, if the Company fails to consummate a Business Combination (the “</w:t>
      </w:r>
      <w:r>
        <w:rPr>
          <w:rFonts w:ascii="Times New Roman" w:cs="Times New Roman" w:eastAsia="Times New Roman" w:hAnsi="Times New Roman"/>
          <w:sz w:val="18"/>
          <w:szCs w:val="18"/>
          <w:b w:val="1"/>
          <w:bCs w:val="1"/>
          <w:color w:val="auto"/>
        </w:rPr>
        <w:t>Liquidation</w:t>
      </w:r>
      <w:r>
        <w:rPr>
          <w:rFonts w:ascii="Times New Roman" w:cs="Times New Roman" w:eastAsia="Times New Roman" w:hAnsi="Times New Roman"/>
          <w:sz w:val="18"/>
          <w:szCs w:val="18"/>
          <w:color w:val="auto"/>
        </w:rPr>
        <w:t>”) occurs or the shares of Class A Common Stock and Public Warrants cease to be registered under the Exchange Act, the Company shall retain a transfer agent and warrant agent.</w:t>
      </w:r>
    </w:p>
    <w:p>
      <w:pPr>
        <w:spacing w:after="0" w:line="179" w:lineRule="exact"/>
        <w:rPr>
          <w:rFonts w:ascii="Times New Roman" w:cs="Times New Roman" w:eastAsia="Times New Roman" w:hAnsi="Times New Roman"/>
          <w:sz w:val="18"/>
          <w:szCs w:val="18"/>
          <w:b w:val="1"/>
          <w:bCs w:val="1"/>
          <w:color w:val="auto"/>
        </w:rPr>
      </w:pPr>
    </w:p>
    <w:p>
      <w:pPr>
        <w:ind w:right="80" w:firstLine="656"/>
        <w:spacing w:after="0" w:line="262" w:lineRule="auto"/>
        <w:tabs>
          <w:tab w:leader="none" w:pos="873"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Earnings Statement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will make generally available to its security holders and to the Representative as soon as practicable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earnings statement (which need not be audited) covering a period of at least 12 months beginning with the first fiscal quarter of the Company commencing after the date of this Agreement that will satisfy the provisions of Section 11(a) of the Securities Act and the rules and regulations of the Commission thereunder.</w:t>
      </w:r>
    </w:p>
    <w:p>
      <w:pPr>
        <w:spacing w:after="0" w:line="176" w:lineRule="exact"/>
        <w:rPr>
          <w:rFonts w:ascii="Times New Roman" w:cs="Times New Roman" w:eastAsia="Times New Roman" w:hAnsi="Times New Roman"/>
          <w:sz w:val="18"/>
          <w:szCs w:val="18"/>
          <w:b w:val="1"/>
          <w:bCs w:val="1"/>
          <w:color w:val="auto"/>
        </w:rPr>
      </w:pPr>
    </w:p>
    <w:p>
      <w:pPr>
        <w:ind w:firstLine="656"/>
        <w:spacing w:after="0" w:line="257" w:lineRule="auto"/>
        <w:tabs>
          <w:tab w:leader="none" w:pos="913"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Continued Compliance with Securities Laws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will comply with the Securities Act and the Exchange Act so as to permit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completion of the distribution of the Offered Securities as contemplated by this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Registration Statement, the Time of Sale Prospectus and the Prospectus. Without limiting the generality of the foregoing, the Company will, during the period when a prospectus relating to the Offered Securities is required by the Securities Act to be delivered (whether physically or through compliance with Rule 172 under the Securities Act or any similar rule), file on a timely basis with the Commission and Nasdaq all reports and documents required to be filed under the Exchange Act. Additionally, the Company shall report the use of proceeds from the issuance of the Offered Securities as may be required under Rule 463 under the Securities Act.</w:t>
      </w:r>
    </w:p>
    <w:p>
      <w:pPr>
        <w:spacing w:after="0" w:line="182" w:lineRule="exact"/>
        <w:rPr>
          <w:rFonts w:ascii="Times New Roman" w:cs="Times New Roman" w:eastAsia="Times New Roman" w:hAnsi="Times New Roman"/>
          <w:sz w:val="18"/>
          <w:szCs w:val="18"/>
          <w:b w:val="1"/>
          <w:bCs w:val="1"/>
          <w:color w:val="auto"/>
        </w:rPr>
      </w:pPr>
    </w:p>
    <w:p>
      <w:pPr>
        <w:ind w:right="120" w:firstLine="656"/>
        <w:spacing w:after="0" w:line="257" w:lineRule="auto"/>
        <w:tabs>
          <w:tab w:leader="none" w:pos="863"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Continued Registration of the Securities of the Company. </w:t>
      </w:r>
      <w:r>
        <w:rPr>
          <w:rFonts w:ascii="Times New Roman" w:cs="Times New Roman" w:eastAsia="Times New Roman" w:hAnsi="Times New Roman"/>
          <w:sz w:val="18"/>
          <w:szCs w:val="18"/>
          <w:color w:val="auto"/>
        </w:rPr>
        <w:t>For a period commencing on the Effective Date and ending at least five years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date of the consummation of the Business Combination or until such earlier time at which the Liquidation occurs, the Company will use its best efforts to maintain the registration of the Units, shares of Class A Common Stock, and Public Warrants under the provisions of the Exchange Act, except after giving effect to a going private transaction after the completion of a Business Combination. The Company will not deregister the Units, shares of Class A Common Stock or Public Warrants under the Exchange Act (except in connection with a going private transaction after the completion of a Business Combination) without the prior written consent of the Representative.</w:t>
      </w:r>
    </w:p>
    <w:p>
      <w:pPr>
        <w:spacing w:after="0" w:line="182" w:lineRule="exact"/>
        <w:rPr>
          <w:rFonts w:ascii="Times New Roman" w:cs="Times New Roman" w:eastAsia="Times New Roman" w:hAnsi="Times New Roman"/>
          <w:sz w:val="18"/>
          <w:szCs w:val="18"/>
          <w:b w:val="1"/>
          <w:bCs w:val="1"/>
          <w:color w:val="auto"/>
        </w:rPr>
      </w:pPr>
    </w:p>
    <w:p>
      <w:pPr>
        <w:ind w:right="20" w:firstLine="656"/>
        <w:spacing w:after="0" w:line="259" w:lineRule="auto"/>
        <w:tabs>
          <w:tab w:leader="none" w:pos="963"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Listing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will use commercially reasonable efforts to effect and maintain the listing of (x) the Units and the Public Warrants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Nasdaq for a period commencing on the Effective Date and ending on the date of the consummation of the Business Combination or until such earlier time at which the Liquidation occurs or the Public Warrants cease to be publicly traded, and (y) the Class A Common Stock on Nasdaq for a period commencing on the Effective Date and ending at least five years from the date of the consummation of the initial Business Combination or until such earlier time at which the Liquidation occurs or the shares of Class A Common Stock cease to be publicly traded.</w:t>
      </w:r>
    </w:p>
    <w:p>
      <w:pPr>
        <w:spacing w:after="0" w:line="179" w:lineRule="exact"/>
        <w:rPr>
          <w:sz w:val="20"/>
          <w:szCs w:val="20"/>
          <w:color w:val="auto"/>
        </w:rPr>
      </w:pPr>
    </w:p>
    <w:p>
      <w:pPr>
        <w:ind w:right="100" w:firstLine="656"/>
        <w:spacing w:after="0" w:line="268" w:lineRule="auto"/>
        <w:tabs>
          <w:tab w:leader="none" w:pos="963"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Reservation of Unissued Securities of the Company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will reserve and keep available that maximum number of its authorized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but unissued securities that are issuable upon exercise of any of the Public Warrants and Private Placement Warrants outstanding from time to time and the conversion of the Founder Shares.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ind w:left="-8" w:right="40" w:firstLine="656"/>
        <w:spacing w:after="0" w:line="255" w:lineRule="auto"/>
        <w:tabs>
          <w:tab w:leader="none" w:pos="905"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Agreement Not to Issue Additional Shares of Class A Common Stock or Warrants</w:t>
      </w:r>
      <w:r>
        <w:rPr>
          <w:rFonts w:ascii="Times New Roman" w:cs="Times New Roman" w:eastAsia="Times New Roman" w:hAnsi="Times New Roman"/>
          <w:sz w:val="18"/>
          <w:szCs w:val="18"/>
          <w:color w:val="auto"/>
        </w:rPr>
        <w:t>. Prior to the consummation of a Business Combination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Liquidation, the Company shall not issue any shares of Class A Common Stock, Public Warrants, Private Placement Warrants or any options or other securities convertible into or exercisable or exchangeable for shares of Class A Common Stock, or any shares of preferred stock, in each case, that would entitle the holders thereof to (i) receive funds from the Trust Account or (ii) vote as a class with the shares of Class A Common Stock (a) on a Business Combination or on any other proposal presented to the Public Stockholders prior to or in connection with the completion of a Business Combination or (b) to approve an amendment to the Amended and Restated Certificate of Incorporation to (x) extend the time the Company has to consummate a Business Combination beyond 24 months from the First Closing Date or (y) amend such other provisions as set forth in the Registration Statement, Time of Sale Prospectus or the Prospectus.</w:t>
      </w:r>
    </w:p>
    <w:p>
      <w:pPr>
        <w:spacing w:after="0" w:line="184" w:lineRule="exact"/>
        <w:rPr>
          <w:rFonts w:ascii="Times New Roman" w:cs="Times New Roman" w:eastAsia="Times New Roman" w:hAnsi="Times New Roman"/>
          <w:sz w:val="18"/>
          <w:szCs w:val="18"/>
          <w:b w:val="1"/>
          <w:bCs w:val="1"/>
          <w:color w:val="auto"/>
        </w:rPr>
      </w:pPr>
    </w:p>
    <w:p>
      <w:pPr>
        <w:ind w:left="-8" w:firstLine="656"/>
        <w:spacing w:after="0" w:line="252" w:lineRule="auto"/>
        <w:tabs>
          <w:tab w:leader="none" w:pos="895"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Agreement Not to Offer or Sell Additional Securities of the Company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During the period commencing on and including the date hereof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continuing through and including the 180th day following the date of the Prospectus (such period, as extended as described below, being referred to herein as the “Lock-up Period”), the Company will not, without the prior written consent of the Representative, (x) offer, sell, contract to sell, pledge or otherwise dispose of (or enter into any transaction that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and the rules and regulations of the Commission promulgated thereunder with respect to, any other units, shares of Class A Common Stock, Public Warrants, Private Placement Warrants and their underlying securities or any securities convertible into, or exercisable or exchangeable for, shares of Class A Common Stock or publicly announce an intention to effect any such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may (1) issue and sell the Private Placement Warrants, (2) issue and sell the Optional Securities on exercise of the option provided for in Section 2 hereof,</w:t>
      </w:r>
    </w:p>
    <w:p>
      <w:pPr>
        <w:spacing w:after="0" w:line="7" w:lineRule="exact"/>
        <w:rPr>
          <w:rFonts w:ascii="Times New Roman" w:cs="Times New Roman" w:eastAsia="Times New Roman" w:hAnsi="Times New Roman"/>
          <w:sz w:val="18"/>
          <w:szCs w:val="18"/>
          <w:b w:val="1"/>
          <w:bCs w:val="1"/>
          <w:color w:val="auto"/>
        </w:rPr>
      </w:pPr>
    </w:p>
    <w:p>
      <w:pPr>
        <w:ind w:left="-8" w:right="100" w:firstLine="8"/>
        <w:spacing w:after="0" w:line="253" w:lineRule="auto"/>
        <w:tabs>
          <w:tab w:leader="none" w:pos="24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with the Commission pursuant to the Registration Rights Agreement, in accordance with the terms of the Registration Rights Agreement, the resale of the Founder Shares, the Private Placement Warrants and their underlying securities, the Working Capital Warrants or the Public Warrants and the shares of Class A Common Stock issuable upon exercise of such warrants or Founder Shares and, (4) issue securities in connection with a Business Combination, or (y) release the Sponsor or any officer, director or director nominee from the 180-day lock-up contained in the Insider Letter.</w:t>
      </w:r>
    </w:p>
    <w:p>
      <w:pPr>
        <w:spacing w:after="0" w:line="184" w:lineRule="exact"/>
        <w:rPr>
          <w:rFonts w:ascii="Times New Roman" w:cs="Times New Roman" w:eastAsia="Times New Roman" w:hAnsi="Times New Roman"/>
          <w:sz w:val="18"/>
          <w:szCs w:val="18"/>
          <w:color w:val="auto"/>
        </w:rPr>
      </w:pPr>
    </w:p>
    <w:p>
      <w:pPr>
        <w:ind w:left="-8" w:right="60" w:firstLine="656"/>
        <w:spacing w:after="0" w:line="268" w:lineRule="auto"/>
        <w:tabs>
          <w:tab w:leader="none" w:pos="905" w:val="left"/>
        </w:tabs>
        <w:numPr>
          <w:ilvl w:val="1"/>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Investment Limitation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shall not invest or otherwise use the proceeds received by the Company from its sale of the Offered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and the Private Placement Warrants in such a manner as would require the Company to register as an investment company under the Investment Company Act.</w:t>
      </w:r>
    </w:p>
    <w:p>
      <w:pPr>
        <w:spacing w:after="0" w:line="170" w:lineRule="exact"/>
        <w:rPr>
          <w:rFonts w:ascii="Times New Roman" w:cs="Times New Roman" w:eastAsia="Times New Roman" w:hAnsi="Times New Roman"/>
          <w:sz w:val="18"/>
          <w:szCs w:val="18"/>
          <w:b w:val="1"/>
          <w:bCs w:val="1"/>
          <w:color w:val="auto"/>
        </w:rPr>
      </w:pPr>
    </w:p>
    <w:p>
      <w:pPr>
        <w:ind w:left="-8" w:right="60" w:firstLine="656"/>
        <w:spacing w:after="0" w:line="268" w:lineRule="auto"/>
        <w:tabs>
          <w:tab w:leader="none" w:pos="905" w:val="left"/>
        </w:tabs>
        <w:numPr>
          <w:ilvl w:val="1"/>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 Stabilization or Manipulation; Compliance with Regulation 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will not take, directly or indirectly, any action designed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that might cause or result in stabilization or manipulation of the price of any security of the Company, whether to facilitate the sale or resale of the Offered Securities or otherwise in violation of Regulation M, and the Company will comply with all applicable provisions of Regulation M.</w:t>
      </w:r>
    </w:p>
    <w:p>
      <w:pPr>
        <w:spacing w:after="0" w:line="381"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2"/>
          </w:cols>
          <w:pgMar w:left="328" w:top="900" w:right="379" w:bottom="1440" w:gutter="0" w:footer="0" w:header="0"/>
        </w:sectPr>
      </w:pPr>
    </w:p>
    <w:bookmarkStart w:id="24" w:name="page25"/>
    <w:bookmarkEnd w:id="24"/>
    <w:p>
      <w:pPr>
        <w:ind w:left="-40" w:right="20" w:firstLine="656"/>
        <w:spacing w:after="0" w:line="254" w:lineRule="auto"/>
        <w:tabs>
          <w:tab w:leader="none" w:pos="852"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Company to File a Current Report on Form 8-K</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shall, on or prior to the date hereof, retain its independent registered public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accounting firm to audit the balance sheet of the Company as of the First Closing Date (the “</w:t>
      </w:r>
      <w:r>
        <w:rPr>
          <w:rFonts w:ascii="Times New Roman" w:cs="Times New Roman" w:eastAsia="Times New Roman" w:hAnsi="Times New Roman"/>
          <w:sz w:val="18"/>
          <w:szCs w:val="18"/>
          <w:b w:val="1"/>
          <w:bCs w:val="1"/>
          <w:color w:val="auto"/>
        </w:rPr>
        <w:t>Audited Balance Sheet</w:t>
      </w:r>
      <w:r>
        <w:rPr>
          <w:rFonts w:ascii="Times New Roman" w:cs="Times New Roman" w:eastAsia="Times New Roman" w:hAnsi="Times New Roman"/>
          <w:sz w:val="18"/>
          <w:szCs w:val="18"/>
          <w:color w:val="auto"/>
        </w:rPr>
        <w:t>”) reflecting the receipt by the Company of the proceeds of the sale of the Offered Securities as set forth in the Prospectus on the First Closing Date. As soon as the Audited Balance Sheet becomes available, the Company shall promptly, but not later than four business days after the First Closing Date, file the Closing Form 8-K with the Commission, which report shall contain the Company’s Audited Balance Sheet. Additionally, upon the Company’s receipt of the proceeds from the exercise of all or any portion of the option provided for in Section 2 hereof, the Company shall promptly, but not later than four business days after the receipt of such proceeds, file a Current Report on Form 8-K with the Commission, which report shall disclose the Company’s sale of the Optional Securities and its receipt of the proceeds therefrom, unless the receipt of such proceeds are reflected in the Current Report on Form 8-K referenced in the immediately prior sentence.</w:t>
      </w:r>
    </w:p>
    <w:p>
      <w:pPr>
        <w:spacing w:after="0" w:line="188" w:lineRule="exact"/>
        <w:rPr>
          <w:rFonts w:ascii="Times New Roman" w:cs="Times New Roman" w:eastAsia="Times New Roman" w:hAnsi="Times New Roman"/>
          <w:sz w:val="18"/>
          <w:szCs w:val="18"/>
          <w:b w:val="1"/>
          <w:bCs w:val="1"/>
          <w:color w:val="auto"/>
        </w:rPr>
      </w:pPr>
    </w:p>
    <w:p>
      <w:pPr>
        <w:ind w:left="-40" w:right="140" w:firstLine="656"/>
        <w:spacing w:after="0" w:line="257" w:lineRule="auto"/>
        <w:tabs>
          <w:tab w:leader="none" w:pos="843"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Company to Procure Review of Unaudited Quarterly Financial Statements</w:t>
      </w:r>
      <w:r>
        <w:rPr>
          <w:rFonts w:ascii="Times New Roman" w:cs="Times New Roman" w:eastAsia="Times New Roman" w:hAnsi="Times New Roman"/>
          <w:sz w:val="18"/>
          <w:szCs w:val="18"/>
          <w:color w:val="auto"/>
        </w:rPr>
        <w:t>. For a period commencing on the Effective Date and ending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least five years from the date of the consummation of the Business Combination or until such earlier time at which the Liquidation occurs or the shares of Class A Common Stock and Public Warrants cease to be publicly traded, the Company, at its expense, shall cause its regularly engaged independent registered public accounting firm to review (but not audit) the Company’s financial statements for each of the first three fiscal quarters of the year prior to the announcement of quarterly financial information, the filing of the Company’s Quarterly Reports on Form 10-Q and the mailing, if any, of quarterly financial information to stockholders.</w:t>
      </w:r>
    </w:p>
    <w:p>
      <w:pPr>
        <w:spacing w:after="0" w:line="182" w:lineRule="exact"/>
        <w:rPr>
          <w:rFonts w:ascii="Times New Roman" w:cs="Times New Roman" w:eastAsia="Times New Roman" w:hAnsi="Times New Roman"/>
          <w:sz w:val="18"/>
          <w:szCs w:val="18"/>
          <w:b w:val="1"/>
          <w:bCs w:val="1"/>
          <w:color w:val="auto"/>
        </w:rPr>
      </w:pPr>
    </w:p>
    <w:p>
      <w:pPr>
        <w:ind w:left="-40" w:firstLine="656"/>
        <w:spacing w:after="0" w:line="254" w:lineRule="auto"/>
        <w:tabs>
          <w:tab w:leader="none" w:pos="833"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Future Reports to the Representative. </w:t>
      </w:r>
      <w:r>
        <w:rPr>
          <w:rFonts w:ascii="Times New Roman" w:cs="Times New Roman" w:eastAsia="Times New Roman" w:hAnsi="Times New Roman"/>
          <w:sz w:val="18"/>
          <w:szCs w:val="18"/>
          <w:color w:val="auto"/>
        </w:rPr>
        <w:t>For a period commencing on the Effective Date and ending at least five years from the date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consummation of the Business Combination or until such earlier time at which the Liquidation occurs, the Company will furnish to the Representative, c/o Jefferies, at 520 Madison Avenue, New York, New York 10022, Attention: Global Head of Syndicate: (i) as soon as practicable after the end of each fiscal year, copies of the Annual Report of the Company containing the balance sheet of the Company as of the close of such fiscal year and statements of income, stockholders’ equity and cash flows for the year then ended and the opinion thereon of the Company’s independent public or certified public accountants; (ii) as soon as practicable after the filing thereof, copies of each proxy statement, Annual Report on Form 10-K, Quarterly Report on Form 10-Q, Current Report on Form 8-K or other report filed by the Company with the Commission or any securities exchange; (iii) as soon as available, copies of any report or communication of the Company furnished or made available generally to holders of its capital stock; and (iv) such additional documents and information with respect to the Company and the affairs of any future subsidiaries of the Company as the Representative may from time to time reasonably request;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requirements of this Section 3(u) shall be satisfied to the extent that such reports, statement, communications, financial statements or other documents are available on EDGAR.</w:t>
      </w:r>
    </w:p>
    <w:p>
      <w:pPr>
        <w:spacing w:after="0" w:line="182" w:lineRule="exact"/>
        <w:rPr>
          <w:rFonts w:ascii="Times New Roman" w:cs="Times New Roman" w:eastAsia="Times New Roman" w:hAnsi="Times New Roman"/>
          <w:sz w:val="18"/>
          <w:szCs w:val="18"/>
          <w:b w:val="1"/>
          <w:bCs w:val="1"/>
          <w:color w:val="auto"/>
        </w:rPr>
      </w:pPr>
    </w:p>
    <w:p>
      <w:pPr>
        <w:ind w:left="-40" w:firstLine="656"/>
        <w:spacing w:after="0" w:line="259" w:lineRule="auto"/>
        <w:tabs>
          <w:tab w:leader="none" w:pos="873"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Amendments and Supplements to Permitted Section 5(d)Communications</w:t>
      </w:r>
      <w:r>
        <w:rPr>
          <w:rFonts w:ascii="Times New Roman" w:cs="Times New Roman" w:eastAsia="Times New Roman" w:hAnsi="Times New Roman"/>
          <w:sz w:val="18"/>
          <w:szCs w:val="18"/>
          <w:color w:val="auto"/>
        </w:rPr>
        <w:t>. If at any time following the distribution of any Permitted Section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5(d) Communication, there occurred or occurs an event or development as a result of which such Permitted Section 5(d)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 and will promptly amend or supplement, at its own expense, such Permitted Section 5(d) Communication to eliminate or correct such untrue statement or omission.</w:t>
      </w:r>
    </w:p>
    <w:p>
      <w:pPr>
        <w:spacing w:after="0" w:line="179" w:lineRule="exact"/>
        <w:rPr>
          <w:rFonts w:ascii="Times New Roman" w:cs="Times New Roman" w:eastAsia="Times New Roman" w:hAnsi="Times New Roman"/>
          <w:sz w:val="18"/>
          <w:szCs w:val="18"/>
          <w:b w:val="1"/>
          <w:bCs w:val="1"/>
          <w:color w:val="auto"/>
        </w:rPr>
      </w:pPr>
    </w:p>
    <w:p>
      <w:pPr>
        <w:ind w:left="-40" w:right="80" w:firstLine="656"/>
        <w:spacing w:after="0" w:line="262" w:lineRule="auto"/>
        <w:tabs>
          <w:tab w:leader="none" w:pos="863"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Emerging Growth Company Status</w:t>
      </w:r>
      <w:r>
        <w:rPr>
          <w:rFonts w:ascii="Times New Roman" w:cs="Times New Roman" w:eastAsia="Times New Roman" w:hAnsi="Times New Roman"/>
          <w:sz w:val="18"/>
          <w:szCs w:val="18"/>
          <w:color w:val="auto"/>
        </w:rPr>
        <w:t>. The Company will promptly notify the Representative if the Company ceases to be an Emerging Growth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at any time prior to the later of (i) the time when a prospectus relating to the Offered Securities is not required by the Securities Act to be delivered (whether physically or through compliance with Rule 172 under the Securities Act or any similar rule) and (ii) the expiration of the Lock-Up Period.</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10795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900" w:right="359" w:bottom="1440" w:gutter="0" w:footer="0" w:header="0"/>
        </w:sectPr>
      </w:pPr>
    </w:p>
    <w:bookmarkStart w:id="25" w:name="page26"/>
    <w:bookmarkEnd w:id="25"/>
    <w:p>
      <w:pPr>
        <w:ind w:left="-20" w:right="100" w:firstLine="656"/>
        <w:spacing w:after="0" w:line="256" w:lineRule="auto"/>
        <w:tabs>
          <w:tab w:leader="none" w:pos="923"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Announcement of Release or Waiver of the Transfer Restrictions. </w:t>
      </w:r>
      <w:r>
        <w:rPr>
          <w:rFonts w:ascii="Times New Roman" w:cs="Times New Roman" w:eastAsia="Times New Roman" w:hAnsi="Times New Roman"/>
          <w:sz w:val="18"/>
          <w:szCs w:val="18"/>
          <w:color w:val="auto"/>
        </w:rPr>
        <w:t>If the Representative, in its sole discretion, agrees to release or waive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transfer restrictions set forth in any Insider Letter for the Sponsor or an officer, director or director nominee of the Company and provides the Company with notice of the impending release or waiver at least three business days before the effective date of the release or waiver, the Company agrees to announce the impending release or waiver by a press release substantially in the form of Exhibit A hereto through a major news service at least two business days before the effective date of the release or waiver;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announcement by the Company shall be made of any release or waiver granted solely to permit a transfer of securities that is not for consideration and where the transferee has agreed in writing to be bound by the terms of an Insider Letter.</w:t>
      </w:r>
    </w:p>
    <w:p>
      <w:pPr>
        <w:spacing w:after="0" w:line="182" w:lineRule="exact"/>
        <w:rPr>
          <w:rFonts w:ascii="Times New Roman" w:cs="Times New Roman" w:eastAsia="Times New Roman" w:hAnsi="Times New Roman"/>
          <w:sz w:val="18"/>
          <w:szCs w:val="18"/>
          <w:b w:val="1"/>
          <w:bCs w:val="1"/>
          <w:color w:val="auto"/>
        </w:rPr>
      </w:pPr>
    </w:p>
    <w:p>
      <w:pPr>
        <w:ind w:left="-20" w:firstLine="656"/>
        <w:spacing w:after="0" w:line="254" w:lineRule="auto"/>
        <w:tabs>
          <w:tab w:leader="none" w:pos="883"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 Business Combination with Affiliates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will not consummate a Business Combination with any entity that is affiliated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 Sponsor or any of the Company’s officers or directors unless it, or a committee of its independent directors, obtains an opinion from an independent investment banking firm which is a member of FINRA or an independent valuation or accounting firm that such Business Combination is fair to the Company from a financial point of view;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this Section 3(y), an entity will not be deemed an affiliate solely by virtue of ownership by the Sponsor or its affiliates, or any of their or the Company’s executive officers or directors, of less than 10% of its common stock, individually or in the aggregate. Other than as set forth in this subsection, the Company shall not pay the Sponsor or its affiliates or any of the Company’s executive officers, directors or any of their respective affiliates any fees or compensation for services rendered to the Company prior to, or in connection with, the consummation of a Business Combination;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officers, directors and affiliates (i) may receive reimbursement for out-of-pocket expenses incurred by them related to identifying, investigating, negotiating and completing a Business Combination to the extent that such expenses do not exceed the amount of available proceeds not deposited in the Trust Account; and (ii) may be repaid for loans as described in the Registration Statement.</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0" w:right="339" w:bottom="1440" w:gutter="0" w:footer="0" w:header="0"/>
        </w:sectPr>
      </w:pPr>
    </w:p>
    <w:bookmarkStart w:id="26" w:name="page27"/>
    <w:bookmarkEnd w:id="26"/>
    <w:p>
      <w:pPr>
        <w:ind w:left="-8" w:firstLine="656"/>
        <w:spacing w:after="0" w:line="266" w:lineRule="auto"/>
        <w:tabs>
          <w:tab w:leader="none" w:pos="895" w:val="left"/>
        </w:tabs>
        <w:numPr>
          <w:ilvl w:val="1"/>
          <w:numId w:val="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Consummation of the Initial Business Combination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Company may consummate the initial Business Combination and conduct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redemptions of the shares of Class A Common Stock for cash upon consummation of such Business Combination without a stockholder vote pursuant to Rule 13e-4 and Regulation 14E of the Exchange Act, including by means of the filing of tender offer documents with the Commission. Such tender offer documents will contain substantially the same financial and other information about the initial Business Combination and the redemption rights as is required under the Commission’s proxy rules and will provide each stockholder of the Company with the opportunity prior to the consummation of the initial Business Combination to redeem the shares of Class A Common Stock held by such stockholder for an amount of cash per share equal to (A) the aggregate amount then on deposit in the Trust Account calculated as of two business days prior to the consummation of the initial Business Combination representing (x) proceeds held in the Trust Account from the Offering and proceeds from the sale of the Private Placement Warrants and (y) any interest earned on the funds held in the Trust Account and not previously released to the Company to pay its income taxes, divided by (B) the total number of shares of Class A Common Stock sold as part of the Units in the Offering (the “</w:t>
      </w:r>
      <w:r>
        <w:rPr>
          <w:rFonts w:ascii="Times New Roman" w:cs="Times New Roman" w:eastAsia="Times New Roman" w:hAnsi="Times New Roman"/>
          <w:sz w:val="17"/>
          <w:szCs w:val="17"/>
          <w:b w:val="1"/>
          <w:bCs w:val="1"/>
          <w:color w:val="auto"/>
        </w:rPr>
        <w:t>Public Shares</w:t>
      </w:r>
      <w:r>
        <w:rPr>
          <w:rFonts w:ascii="Times New Roman" w:cs="Times New Roman" w:eastAsia="Times New Roman" w:hAnsi="Times New Roman"/>
          <w:sz w:val="17"/>
          <w:szCs w:val="17"/>
          <w:color w:val="auto"/>
        </w:rPr>
        <w:t>”) then outstanding. If, however, the Company elects not to file such tender offer documents, a stockholder vote is required by applicable law or stock exchange rule in connection with the initial Business Combination, or the Company decides to hold a stockholder vote for business or other legal reasons, the Company will submit such Business Combination to the Company’s stockholders for their approval (“</w:t>
      </w:r>
      <w:r>
        <w:rPr>
          <w:rFonts w:ascii="Times New Roman" w:cs="Times New Roman" w:eastAsia="Times New Roman" w:hAnsi="Times New Roman"/>
          <w:sz w:val="17"/>
          <w:szCs w:val="17"/>
          <w:b w:val="1"/>
          <w:bCs w:val="1"/>
          <w:color w:val="auto"/>
        </w:rPr>
        <w:t>Business Combination Vote</w:t>
      </w:r>
      <w:r>
        <w:rPr>
          <w:rFonts w:ascii="Times New Roman" w:cs="Times New Roman" w:eastAsia="Times New Roman" w:hAnsi="Times New Roman"/>
          <w:sz w:val="17"/>
          <w:szCs w:val="17"/>
          <w:color w:val="auto"/>
        </w:rPr>
        <w:t>”). With respect to the initial Business Combination Vote, if any, the Sponsor and each of the Company’s directors and officers party to the Insider Letter has agreed to vote all of his, her or its respective Founder Shares and any other shares of Class A Common Stock purchased by him, her or it during or after the Offering in favor of the Company’s initial Business Combination. If the Company seeks stockholder approval of the initial Business Combination, the Company will offer to each Public Stockholder holding shares of Class A Common Stock the right to have such Public Stockholder’s shares of Class A Common Stock redeemed in conjunction with a proxy solicitation pursuant to the proxy rules of the Commission at a per share redemption price (the “</w:t>
      </w:r>
      <w:r>
        <w:rPr>
          <w:rFonts w:ascii="Times New Roman" w:cs="Times New Roman" w:eastAsia="Times New Roman" w:hAnsi="Times New Roman"/>
          <w:sz w:val="17"/>
          <w:szCs w:val="17"/>
          <w:b w:val="1"/>
          <w:bCs w:val="1"/>
          <w:color w:val="auto"/>
        </w:rPr>
        <w:t>Redemption Price</w:t>
      </w:r>
      <w:r>
        <w:rPr>
          <w:rFonts w:ascii="Times New Roman" w:cs="Times New Roman" w:eastAsia="Times New Roman" w:hAnsi="Times New Roman"/>
          <w:sz w:val="17"/>
          <w:szCs w:val="17"/>
          <w:color w:val="auto"/>
        </w:rPr>
        <w:t>”) equal to (I) the aggregate amount then on deposit in the Trust Account calculated as of two business days prior to the consummation of the initial Business Combination representing (1) proceeds held in the Trust Account from the Offering and proceeds from the sale of the Private Placement Warrants and (2) any interest earned on the funds held in the Trust Account and not previously released to the Company to pay its income taxes, divided by (II) the total number of Public Shares then issued and outstanding. If the Company seeks stockholder approval of the initial Business Combination, the Company may proceed with such Business Combination only if a majority of the outstanding shares of common stock, represented in person or by proxy and entitled to vote thereon, voted by the stockholders at a duly held stockholders meeting are voted in favor of such Business Combination. If, after seeking and receiving such stockholder approval, the Company elects to so proceed, it will redeem the shares of Class A Common Stock, at the Redemption Price, from those Public Stockholders who affirmatively requested such redemption. Only Public Stockholders holding shares of Class A Common Stock who properly exercise their redemption rights in accordance with the applicable tender offer or proxy materials related to such Business Combination, shall be entitled to receive distributions from the Trust Account in connection with an initial Business Combination, and the Company shall pay no distributions with respect to any other holders or capital stock of the Company in connection therewith. In the event that the Company does not effect a Business Combination by 24 months from the closing of the Offering (or such later date as may be approved by the Company’s stockholders), the Company will (i) cease all operations except for the purpose of winding up, (ii) as promptly as reasonably possible but not more than 10 business days thereafter, redeem 100% of the Public Shares, at a per-share price, payable in cash, equal to the aggregate amount then on deposit in the Trust Account, including interest earned on the funds held in the Trust Account and not previously released to the Company to pay income taxes, if any (less up to $100,000 of interest to pay the Company’s dissolution expenses), divided by the number of then-outstanding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liquidate and dissolve, subject in each case to the Company’s obligations under Delaware law to provide for claims of creditors and the requirements of other applicable law. Only Public Stockholders holding shares of Class A Common Stock included in the Offered Securities shall be entitled to receive such redemption amounts and the Company shall pay no such redemption amounts or any distributions in liquidation with respect to any other holders or capital stock of the Company. The Sponsor, and the Company’s officers, directors and director nominees will not propose any amendment to the Company’s Amended and Restated Certificate of Incorporation</w:t>
      </w:r>
    </w:p>
    <w:p>
      <w:pPr>
        <w:spacing w:after="0" w:line="200" w:lineRule="exact"/>
        <w:rPr>
          <w:rFonts w:ascii="Times New Roman" w:cs="Times New Roman" w:eastAsia="Times New Roman" w:hAnsi="Times New Roman"/>
          <w:sz w:val="17"/>
          <w:szCs w:val="17"/>
          <w:b w:val="1"/>
          <w:bCs w:val="1"/>
          <w:color w:val="auto"/>
        </w:rPr>
      </w:pPr>
    </w:p>
    <w:p>
      <w:pPr>
        <w:spacing w:after="0" w:line="229" w:lineRule="exact"/>
        <w:rPr>
          <w:rFonts w:ascii="Times New Roman" w:cs="Times New Roman" w:eastAsia="Times New Roman" w:hAnsi="Times New Roman"/>
          <w:sz w:val="17"/>
          <w:szCs w:val="17"/>
          <w:b w:val="1"/>
          <w:bCs w:val="1"/>
          <w:color w:val="auto"/>
        </w:rPr>
      </w:pPr>
    </w:p>
    <w:p>
      <w:pPr>
        <w:ind w:left="-8" w:right="120" w:firstLine="8"/>
        <w:spacing w:after="0" w:line="265" w:lineRule="auto"/>
        <w:tabs>
          <w:tab w:leader="none" w:pos="287"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would modify the substance or timing of the Company’s obligation to redeem 100% of the Public Shares if the Company does not complete its initial Business Combination within 24 months from the closing of the Offering (or such later date as may be approved by the Company’s stockholders) or</w:t>
      </w:r>
    </w:p>
    <w:p>
      <w:pPr>
        <w:ind w:left="-8" w:right="80" w:firstLine="8"/>
        <w:spacing w:after="0" w:line="260" w:lineRule="auto"/>
        <w:tabs>
          <w:tab w:leader="none" w:pos="27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other provision relating to the rights of holders of the shares of Class A Common Stock, unless the Company offers the opportunity to redeem the Public Shares upon approval of any such amendment at the Redemption Price.</w:t>
      </w:r>
    </w:p>
    <w:p>
      <w:pPr>
        <w:spacing w:after="0" w:line="177" w:lineRule="exact"/>
        <w:rPr>
          <w:rFonts w:ascii="Times New Roman" w:cs="Times New Roman" w:eastAsia="Times New Roman" w:hAnsi="Times New Roman"/>
          <w:sz w:val="18"/>
          <w:szCs w:val="18"/>
          <w:color w:val="auto"/>
        </w:rPr>
      </w:pPr>
    </w:p>
    <w:p>
      <w:pPr>
        <w:ind w:left="-8" w:right="40" w:firstLine="656"/>
        <w:spacing w:after="0" w:line="256" w:lineRule="auto"/>
        <w:tabs>
          <w:tab w:leader="none" w:pos="884"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Announcement of the Consummation of the Initial Business Combination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event that the Company desires or is required by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applicable law or regulation to cause an announcement (“</w:t>
      </w:r>
      <w:r>
        <w:rPr>
          <w:rFonts w:ascii="Times New Roman" w:cs="Times New Roman" w:eastAsia="Times New Roman" w:hAnsi="Times New Roman"/>
          <w:sz w:val="18"/>
          <w:szCs w:val="18"/>
          <w:b w:val="1"/>
          <w:bCs w:val="1"/>
          <w:color w:val="auto"/>
        </w:rPr>
        <w:t>Business Combination Announcement</w:t>
      </w:r>
      <w:r>
        <w:rPr>
          <w:rFonts w:ascii="Times New Roman" w:cs="Times New Roman" w:eastAsia="Times New Roman" w:hAnsi="Times New Roman"/>
          <w:sz w:val="18"/>
          <w:szCs w:val="18"/>
          <w:color w:val="auto"/>
        </w:rPr>
        <w:t>”) to be placed in The Wall Street Journal, The New York Times or any other news or media publication or outlet or to be made via a public filing with the Commission announcing the consummation of the Business Combination that indicates that the Underwriters were the underwriters in the Offering, the Company shall supply the Representative with a draft of the Business Combination Announcement and provide the Representative with a reasonable advance opportunity to comment thereon, subject to the agreement of the Underwriters to keep confidential such draft announcement in accordance with the Representative’s standard policies regarding confidential information.</w:t>
      </w:r>
    </w:p>
    <w:p>
      <w:pPr>
        <w:spacing w:after="0" w:line="39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27" w:name="page28"/>
    <w:bookmarkEnd w:id="27"/>
    <w:p>
      <w:pPr>
        <w:ind w:left="-20" w:firstLine="656"/>
        <w:spacing w:after="0" w:line="255" w:lineRule="auto"/>
        <w:tabs>
          <w:tab w:leader="none" w:pos="973"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Payment of Deferred Discount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Upon the consummation of the initial Business Combination, the Company will pay to the Representative,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behalf of the Underwriters, the Deferred Discount. Payment of the Deferred Discount will be made out of the proceeds of the Offering held in the Trust Account, and the Company will instruct CST to transfer the Deferred Discount to the Representative concurrent with any transfer of the funds held in the Trust Account to the Company or any other person. The Underwriters shall have no claim to payment of any interest earned on the portion of the proceeds held in the Trust Account representing the Deferred Discount. If the Company fails to consummate its initial Business Combination within 24 months from the closing of the Offering (or such later date as may be approved by the Company’s stockholders), the Deferred Discount will not be paid to the Representative and will, instead, be included in the Liquidation distribution of the proceeds held in the Trust Account made to the Public Stockholders. In connection with any such Liquidation, the Underwriters forfeit any rights or claims to the Deferred Discount.</w:t>
      </w:r>
    </w:p>
    <w:p>
      <w:pPr>
        <w:spacing w:after="0" w:line="184" w:lineRule="exact"/>
        <w:rPr>
          <w:rFonts w:ascii="Times New Roman" w:cs="Times New Roman" w:eastAsia="Times New Roman" w:hAnsi="Times New Roman"/>
          <w:sz w:val="18"/>
          <w:szCs w:val="18"/>
          <w:b w:val="1"/>
          <w:bCs w:val="1"/>
          <w:color w:val="auto"/>
        </w:rPr>
      </w:pPr>
    </w:p>
    <w:p>
      <w:pPr>
        <w:ind w:left="-20" w:right="40" w:firstLine="656"/>
        <w:spacing w:after="0" w:line="257" w:lineRule="auto"/>
        <w:tabs>
          <w:tab w:leader="none" w:pos="993"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Cancellation of Founder Shares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Upon the earlier to occur of the expiration or termination of the Underwriters’ over-allotment option,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shall cancel or otherwise effect the forfeiture of Founder Shares from the Sponsor in an aggregate amount equal to the number of Founder Shares determined by multiplying (a) 1,443,750 by (b) a fraction, (i) the numerator of which is 5,775,000 minus the number of Optional Securities purchased by the Underwriters upon the exercise of their over-allotment option, and (ii) the denominator of which is 5,775,000. For the avoidance of doubt, if the Underwriters exercise their over-allotment option in full, the Company shall not cancel or otherwise effect the forfeiture of any of the Founder Shares pursuant to this subsection.</w:t>
      </w:r>
    </w:p>
    <w:p>
      <w:pPr>
        <w:spacing w:after="0" w:line="182" w:lineRule="exact"/>
        <w:rPr>
          <w:rFonts w:ascii="Times New Roman" w:cs="Times New Roman" w:eastAsia="Times New Roman" w:hAnsi="Times New Roman"/>
          <w:sz w:val="18"/>
          <w:szCs w:val="18"/>
          <w:b w:val="1"/>
          <w:bCs w:val="1"/>
          <w:color w:val="auto"/>
        </w:rPr>
      </w:pPr>
    </w:p>
    <w:p>
      <w:pPr>
        <w:ind w:left="-20" w:right="280" w:firstLine="656"/>
        <w:spacing w:after="0" w:line="268" w:lineRule="auto"/>
        <w:tabs>
          <w:tab w:leader="none" w:pos="952"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Review of All Payments to the Sponsor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 to the consummation of the initial Business Combination or the Liquidation, the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audit committee will review on a quarterly basis all payments made by the Company to the Sponsor, to the Company’s officers or directors, or to the Company’s or any of such other persons’ respective affiliates.</w:t>
      </w:r>
    </w:p>
    <w:p>
      <w:pPr>
        <w:spacing w:after="0" w:line="170" w:lineRule="exact"/>
        <w:rPr>
          <w:rFonts w:ascii="Times New Roman" w:cs="Times New Roman" w:eastAsia="Times New Roman" w:hAnsi="Times New Roman"/>
          <w:sz w:val="18"/>
          <w:szCs w:val="18"/>
          <w:b w:val="1"/>
          <w:bCs w:val="1"/>
          <w:color w:val="auto"/>
        </w:rPr>
      </w:pPr>
    </w:p>
    <w:p>
      <w:pPr>
        <w:ind w:left="-20" w:right="200" w:firstLine="656"/>
        <w:spacing w:after="0" w:line="262" w:lineRule="auto"/>
        <w:tabs>
          <w:tab w:leader="none" w:pos="993"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Compliance with the “Penny Stock” Laws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agrees that it will use commercially reasonable efforts to prevent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becoming subject to Rule 419 under the Securities Act prior to the consummation of any Business Combination, including, but not limited to, using its best efforts to prevent any of the Company’s outstanding securities from being deemed to be a “penny stock” as defined in Rule 3a51-1 under the Exchange Act during such period.</w:t>
      </w:r>
    </w:p>
    <w:p>
      <w:pPr>
        <w:spacing w:after="0" w:line="176" w:lineRule="exact"/>
        <w:rPr>
          <w:rFonts w:ascii="Times New Roman" w:cs="Times New Roman" w:eastAsia="Times New Roman" w:hAnsi="Times New Roman"/>
          <w:sz w:val="18"/>
          <w:szCs w:val="18"/>
          <w:b w:val="1"/>
          <w:bCs w:val="1"/>
          <w:color w:val="auto"/>
        </w:rPr>
      </w:pPr>
    </w:p>
    <w:p>
      <w:pPr>
        <w:ind w:left="-20" w:right="60" w:firstLine="656"/>
        <w:spacing w:after="0" w:line="257" w:lineRule="auto"/>
        <w:tabs>
          <w:tab w:leader="none" w:pos="952"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Maintenance of Disclosure Controls, Procedures and Internal Accounting Controls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 extent required by Rule 13a-15 under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Exchange Act, the Company will maintain “disclosure controls and procedures” (as defined under Rule 13a-15(e) under the Exchange Act) and a system of internal accounting controls sufficient to provide reasonable assurances that (i) transactions are executed in accordance with management’s general or specific authorization, (ii) transactions are recorded as necessary in order to permit preparation of financial statements in accordance with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82" w:lineRule="exact"/>
        <w:rPr>
          <w:rFonts w:ascii="Times New Roman" w:cs="Times New Roman" w:eastAsia="Times New Roman" w:hAnsi="Times New Roman"/>
          <w:sz w:val="18"/>
          <w:szCs w:val="18"/>
          <w:b w:val="1"/>
          <w:bCs w:val="1"/>
          <w:color w:val="auto"/>
        </w:rPr>
      </w:pPr>
    </w:p>
    <w:p>
      <w:pPr>
        <w:ind w:left="-20" w:right="80" w:firstLine="656"/>
        <w:spacing w:after="0" w:line="268" w:lineRule="auto"/>
        <w:tabs>
          <w:tab w:leader="none" w:pos="913"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Compliance with the Sarbanes-Oxley Act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soon as legally required to do so, the Company and its directors and officers, in their capacities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such, shall take all actions necessary to comply with any provision of the Sarbanes-Oxley Act, including Section 402 related to loans and Sections 302 and 906 related to certifications, and to comply with the Nasdaq Marketplace Rules.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0" w:right="339" w:bottom="1440" w:gutter="0" w:footer="0" w:header="0"/>
        </w:sectPr>
      </w:pPr>
    </w:p>
    <w:bookmarkStart w:id="28" w:name="page29"/>
    <w:bookmarkEnd w:id="28"/>
    <w:p>
      <w:pPr>
        <w:ind w:left="-40" w:right="320" w:firstLine="656"/>
        <w:spacing w:after="0" w:line="286" w:lineRule="auto"/>
        <w:tabs>
          <w:tab w:leader="none" w:pos="953"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Compliance with the Organizational Documents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shall not take any action or omit to take any action that would cause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to be in breach or violation of the Amended and Restated Certificate of Incorporation.</w:t>
      </w:r>
    </w:p>
    <w:p>
      <w:pPr>
        <w:spacing w:after="0" w:line="154" w:lineRule="exact"/>
        <w:rPr>
          <w:rFonts w:ascii="Times New Roman" w:cs="Times New Roman" w:eastAsia="Times New Roman" w:hAnsi="Times New Roman"/>
          <w:sz w:val="18"/>
          <w:szCs w:val="18"/>
          <w:b w:val="1"/>
          <w:bCs w:val="1"/>
          <w:color w:val="auto"/>
        </w:rPr>
      </w:pPr>
    </w:p>
    <w:p>
      <w:pPr>
        <w:ind w:left="-40" w:right="20" w:firstLine="656"/>
        <w:spacing w:after="0" w:line="256" w:lineRule="auto"/>
        <w:tabs>
          <w:tab w:leader="none" w:pos="973"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Waiver of Interests to the Funds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 to the consummation of the initial Business Combination, the Company will seek to have all vendors,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 providers (other than the Company’s independent registered public accounting firm), prospective target businesses, and other entities with which it does business execute agreements with it waiving any right, title, interest or claim of any kind in or to any monies held in the Trust Account for the benefit of the Public Stockholders. If any third party refuses to execute an agreement waiving such claims to the monies held in the Trust Account, prior to the consummation of the initial Business Combination, the Company’s management will consider whether competitive alternatives are reasonably available and will only enter into an agreement with a third party that has not executed such wavier if the Company’s management believes that such third party’s engagement would be in the best interests of the company under the circumstances.</w:t>
      </w:r>
    </w:p>
    <w:p>
      <w:pPr>
        <w:spacing w:after="0" w:line="182" w:lineRule="exact"/>
        <w:rPr>
          <w:rFonts w:ascii="Times New Roman" w:cs="Times New Roman" w:eastAsia="Times New Roman" w:hAnsi="Times New Roman"/>
          <w:sz w:val="18"/>
          <w:szCs w:val="18"/>
          <w:b w:val="1"/>
          <w:bCs w:val="1"/>
          <w:color w:val="auto"/>
        </w:rPr>
      </w:pPr>
    </w:p>
    <w:p>
      <w:pPr>
        <w:ind w:left="-40" w:firstLine="656"/>
        <w:spacing w:after="0" w:line="254" w:lineRule="auto"/>
        <w:tabs>
          <w:tab w:leader="none" w:pos="873"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Maintenance of Funds in the Trust Account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During the period prior to the Company’s initial Business Combination or Liquidation,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Company may instruct the trustee under the Trust Agreement to release from the Trust Account funds (i) solely from interest income earned on the funds held in the Trust Account, the amounts necessary to pay taxes and (ii) to Public Stockholders who properly redeem their Public Shares in connection with a vote to approve an amendment to the Amended and Restated Certificate of Incorporation (A) that would modify the substance or timing of the Company’s obligation to redeem 100% of the Public Shares if the Company does not complete its initial Business Combination within 24 months from the closing of the Offering (or such later date as may be approved by the Company’s stockholders) or (B) with respect to any other material provisions relating to the rights of holders of the shares of Class A Common Stock. Otherwise, all funds held in the Trust Account (including any interest income earned on the amounts held in the Trust Account (which interest shall be net of taxes payable)) will remain in the Trust Account until the earlier of the consummation of the Company’s initial Business Combination and the Liquidation;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event of the Liquidation, up to $100,000 of interest income may be released to the Company if the proceeds of the Offering held outside of the Trust Account are not sufficient to cover the costs and expenses associated with implementing the Company’s plan of dissolution.</w:t>
      </w:r>
    </w:p>
    <w:p>
      <w:pPr>
        <w:spacing w:after="0" w:line="182" w:lineRule="exact"/>
        <w:rPr>
          <w:rFonts w:ascii="Times New Roman" w:cs="Times New Roman" w:eastAsia="Times New Roman" w:hAnsi="Times New Roman"/>
          <w:sz w:val="18"/>
          <w:szCs w:val="18"/>
          <w:b w:val="1"/>
          <w:bCs w:val="1"/>
          <w:color w:val="auto"/>
        </w:rPr>
      </w:pPr>
    </w:p>
    <w:p>
      <w:pPr>
        <w:ind w:left="-40" w:firstLine="656"/>
        <w:spacing w:after="0" w:line="254" w:lineRule="auto"/>
        <w:tabs>
          <w:tab w:leader="none" w:pos="893"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Notification and Disclosure of Arrangements Relating to a Business Combination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a period of 90 days following the Effective Date,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event any person or entity (regardless of any FINRA affiliation or association) is engaged to assist the Company in its search for a merger candidate or to provide any other merger and acquisition services, or has provided or will provide any investment banking, financial, advisory and/or consulting services to the Company, the Company agrees that it shall promptly provide to FINRA (via a FINRA submission), the Representative and its counsel a notification prior to entering into the agreement or transaction relating to a potential Business Combination: (i) the identity of the person or entity providing any such services; (ii) complete details of all such services and copies of all agreements governing such services prior to entering into the agreement or transaction; and (iii) justification as to why the value received by any person or entity for such services is not underwriting compensation for the Offering. The Company also agrees that proper disclosure of such arrangement or potential arrangement will be made in the tender offer materials or proxy statement, as applicable, which the Company may file in connection with the Business Combination for purposes of offering redemption of shares held by its stockholders or for soliciting stockholder approval, as applicable.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10795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900" w:right="359" w:bottom="1440" w:gutter="0" w:footer="0" w:header="0"/>
        </w:sectPr>
      </w:pPr>
    </w:p>
    <w:bookmarkStart w:id="29" w:name="page30"/>
    <w:bookmarkEnd w:id="29"/>
    <w:p>
      <w:pPr>
        <w:ind w:right="320" w:firstLine="656"/>
        <w:spacing w:after="0" w:line="317" w:lineRule="auto"/>
        <w:tabs>
          <w:tab w:leader="none" w:pos="1013" w:val="left"/>
        </w:tabs>
        <w:numPr>
          <w:ilvl w:val="0"/>
          <w:numId w:val="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FINRA Conflict of Interest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Company shall advise FINRA, the Representative and its counsel if it is aware that any 5% or greater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stockholder of the Company becomes an affiliate or associated person of a member of FINRA participating in the distribution of the Offered Securities.</w:t>
      </w:r>
    </w:p>
    <w:p>
      <w:pPr>
        <w:spacing w:after="0" w:line="13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Representative, on behalf of the several Underwriters, may, in its sole discretion, waive in writing the performance by the Company of any one or more of the foregoing covenants or extend the time for their performance.</w:t>
      </w:r>
    </w:p>
    <w:p>
      <w:pPr>
        <w:spacing w:after="0" w:line="158" w:lineRule="exact"/>
        <w:rPr>
          <w:sz w:val="20"/>
          <w:szCs w:val="20"/>
          <w:color w:val="auto"/>
        </w:rPr>
      </w:pPr>
    </w:p>
    <w:p>
      <w:pPr>
        <w:ind w:right="20" w:firstLine="1296"/>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4. Payment of Expenses. </w:t>
      </w:r>
      <w:r>
        <w:rPr>
          <w:rFonts w:ascii="Times New Roman" w:cs="Times New Roman" w:eastAsia="Times New Roman" w:hAnsi="Times New Roman"/>
          <w:sz w:val="18"/>
          <w:szCs w:val="18"/>
          <w:color w:val="auto"/>
        </w:rPr>
        <w:t>The Company agrees to pay all costs, fees and expenses incurred in connection with the 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its obligations hereunder and in connection with the transactions contemplated hereby, including without limitation (i) all expenses incident to the issuance and delivery of the Offered Securities (including all printing and engraving costs), (ii) all fees and expenses of the registrar and transfer agent of the Offered Securities, (iii) all necessary issue, transfer and other stamp taxes in connection with the issuance and sale of the Offered Securities to the Underwriters, (iv) all fees and expenses of the Company’s counsel, independent registered public accounting firm and other advisors, (v) all costs and expenses incurred in connection with the preparation, printing, filing, shipping and distribution of the Exchange Act Registration Statement and the Registration Statement (including financial statements, exhibits, schedules, consents and certificates of experts), the Time of Sale Prospectus, the Prospectus and each preliminary prospectus, each Permitted Section 5(d) Communication, and all amendments and supplements thereto, and this Agreement, (vi) all filing fees, attorneys’ fees and expenses incurred by the Company or the Underwriters in connection with qualifying or registering (or obtaining exemptions from the qualification or registration of) all or any part of the Offered Securities for offer and sale under the state securities or blue sky laws or the provincial securities laws of Canada, and, if requested by the Representative, preparing and printing a “Blue Sky Survey” or memorandum and a “Canadian wrapper”, and any supplements thereto, advising the Underwriters of such qualifications, registrations and exemptions, in each case, to the extent reasonably requested, (vii) the fees and disbursements of counsel for the Underwriters in an amount not to exceed $25,000 in connection with, the required review by FINRA, (viii) the costs and expenses of the Company (and not the Representative) relating to investor presentations on any Road Show, any Permitted Section 5(d) Communication or any Section 5(d) Oral Communication undertaken in connection with the Offering,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not the Representative) and any such consultants, and the cost of any aircraft and any other transportation chartered in connection with the Road Show with the prior consent of the Company, (ix) the fees and expenses associated with listing the Offered Securities on Nasdaq, and (x) all other fees, costs and expenses of the nature referred to in Item 13 of Part II of the Registration Statement. Except as provided in this Section 4 or in Section 6, Section 8 or Section 9 hereof, the Underwriters shall pay their own expenses, including the fees and disbursements of their counsel.</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ind w:right="140"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 Conditions of the Obligations of the Underwriters. </w:t>
      </w:r>
      <w:r>
        <w:rPr>
          <w:rFonts w:ascii="Times New Roman" w:cs="Times New Roman" w:eastAsia="Times New Roman" w:hAnsi="Times New Roman"/>
          <w:sz w:val="18"/>
          <w:szCs w:val="18"/>
          <w:color w:val="auto"/>
        </w:rPr>
        <w:t>The respective obligations of the several Underwriters hereunder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and pay for the Offered Securities as provided herein on the First Closing Date and, with respect to the Optional Securities, each Option Closing Date, shall be subject to the accuracy of the representations and warranties on the part of the Company set forth in Section 1 hereof as of the date hereof and as of the First Closing Date as though then made and, with respect to the Optional Securities, as of each Option Closing Date as though then made, to the timely performance by the Company of its covenants and other obligations hereunder, and to each of the following additional conditions:</w:t>
      </w:r>
    </w:p>
    <w:p>
      <w:pPr>
        <w:spacing w:after="0" w:line="179" w:lineRule="exact"/>
        <w:rPr>
          <w:sz w:val="20"/>
          <w:szCs w:val="20"/>
          <w:color w:val="auto"/>
        </w:rPr>
      </w:pPr>
    </w:p>
    <w:p>
      <w:pPr>
        <w:ind w:right="120" w:firstLine="656"/>
        <w:spacing w:after="0" w:line="274" w:lineRule="auto"/>
        <w:tabs>
          <w:tab w:leader="none" w:pos="903" w:val="left"/>
        </w:tabs>
        <w:numPr>
          <w:ilvl w:val="0"/>
          <w:numId w:val="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Comfort Letter</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On the date hereof, the Representative shall have received from Withum, independent registered public accountants for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Company, a letter dated the date hereof addressed to the Underwriters, in form and substance satisfactory to the Representative, containing statements and information of the type ordinarily included in accountant’s “comfort letters” to underwriters, delivered according to Statement of Auditing Standards No.</w:t>
      </w:r>
    </w:p>
    <w:p>
      <w:pPr>
        <w:ind w:right="20"/>
        <w:spacing w:after="0" w:line="26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72 (or any successor bulletin), with respect to the audited and unaudited financial statements and certain financial information contained in the Registration Statement, the Time of Sale Prospectus and the Prospectus.</w:t>
      </w:r>
    </w:p>
    <w:p>
      <w:pPr>
        <w:spacing w:after="0" w:line="177" w:lineRule="exact"/>
        <w:rPr>
          <w:rFonts w:ascii="Times New Roman" w:cs="Times New Roman" w:eastAsia="Times New Roman" w:hAnsi="Times New Roman"/>
          <w:sz w:val="17"/>
          <w:szCs w:val="17"/>
          <w:b w:val="1"/>
          <w:bCs w:val="1"/>
          <w:color w:val="auto"/>
        </w:rPr>
      </w:pPr>
    </w:p>
    <w:p>
      <w:pPr>
        <w:ind w:left="920" w:hanging="264"/>
        <w:spacing w:after="0"/>
        <w:tabs>
          <w:tab w:leader="none" w:pos="92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Compliance with Registration Requirements; No Stop Order; No Objection from FINRA.</w:t>
      </w:r>
    </w:p>
    <w:p>
      <w:pPr>
        <w:spacing w:after="0" w:line="229" w:lineRule="exact"/>
        <w:rPr>
          <w:rFonts w:ascii="Times New Roman" w:cs="Times New Roman" w:eastAsia="Times New Roman" w:hAnsi="Times New Roman"/>
          <w:sz w:val="18"/>
          <w:szCs w:val="18"/>
          <w:b w:val="1"/>
          <w:bCs w:val="1"/>
          <w:color w:val="auto"/>
        </w:rPr>
      </w:pPr>
    </w:p>
    <w:p>
      <w:pPr>
        <w:ind w:right="500" w:firstLine="1304"/>
        <w:spacing w:after="0" w:line="282" w:lineRule="auto"/>
        <w:tabs>
          <w:tab w:leader="none" w:pos="151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filed the Prospectus with the Commission (including the information required by Rule 430A under the Securities Act) in the manner and within the time period required by Rule 424(b) under the Securities Act.</w:t>
      </w:r>
    </w:p>
    <w:p>
      <w:pPr>
        <w:spacing w:after="0" w:line="161" w:lineRule="exact"/>
        <w:rPr>
          <w:rFonts w:ascii="Times New Roman" w:cs="Times New Roman" w:eastAsia="Times New Roman" w:hAnsi="Times New Roman"/>
          <w:sz w:val="18"/>
          <w:szCs w:val="18"/>
          <w:color w:val="auto"/>
        </w:rPr>
      </w:pPr>
    </w:p>
    <w:p>
      <w:pPr>
        <w:ind w:right="620" w:firstLine="1304"/>
        <w:spacing w:after="0" w:line="282" w:lineRule="auto"/>
        <w:tabs>
          <w:tab w:leader="none" w:pos="156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stop order suspending the effectiveness of the Registration Statement or any post-effective amendment to the Registration Statement shall be in effect, and no proceedings for such purpose shall have been instituted or threatened by the Commission.</w:t>
      </w:r>
    </w:p>
    <w:p>
      <w:pPr>
        <w:spacing w:after="0" w:line="161"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FINRA shall have raised no objection to the fairness and reasonableness of the underwriting terms and arrangements.</w:t>
      </w:r>
    </w:p>
    <w:p>
      <w:pPr>
        <w:spacing w:after="0" w:line="221" w:lineRule="exact"/>
        <w:rPr>
          <w:rFonts w:ascii="Times New Roman" w:cs="Times New Roman" w:eastAsia="Times New Roman" w:hAnsi="Times New Roman"/>
          <w:sz w:val="18"/>
          <w:szCs w:val="18"/>
          <w:color w:val="auto"/>
        </w:rPr>
      </w:pPr>
    </w:p>
    <w:p>
      <w:pPr>
        <w:ind w:right="40" w:firstLine="656"/>
        <w:spacing w:after="0" w:line="268" w:lineRule="auto"/>
        <w:tabs>
          <w:tab w:leader="none" w:pos="892"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No Prevention or Suspension. </w:t>
      </w:r>
      <w:r>
        <w:rPr>
          <w:rFonts w:ascii="Times New Roman" w:cs="Times New Roman" w:eastAsia="Times New Roman" w:hAnsi="Times New Roman"/>
          <w:sz w:val="18"/>
          <w:szCs w:val="18"/>
          <w:color w:val="auto"/>
        </w:rPr>
        <w:t>No order preventing or suspending the sale of the Units in any jurisdiction designated by the Representative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pursuant to Section 3(g) hereof shall have been issued as of the First Closing Date and each Option Closing Date, and no proceedings for that purpose shall have been instituted or shall have been threatened.</w:t>
      </w:r>
    </w:p>
    <w:p>
      <w:pPr>
        <w:spacing w:after="0" w:line="170" w:lineRule="exact"/>
        <w:rPr>
          <w:rFonts w:ascii="Times New Roman" w:cs="Times New Roman" w:eastAsia="Times New Roman" w:hAnsi="Times New Roman"/>
          <w:sz w:val="18"/>
          <w:szCs w:val="18"/>
          <w:b w:val="1"/>
          <w:bCs w:val="1"/>
          <w:color w:val="auto"/>
        </w:rPr>
      </w:pPr>
    </w:p>
    <w:p>
      <w:pPr>
        <w:ind w:right="60" w:firstLine="656"/>
        <w:spacing w:after="0" w:line="268" w:lineRule="auto"/>
        <w:tabs>
          <w:tab w:leader="none" w:pos="913"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 Material Adverse Effect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period from and after the date of this Agreement and through and including the First Closing Date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respect to any Optional Securities purchased after the First Closing Date, each Option Closing Date, in the judgment of the Representative, there shall not have been any Material Adverse Effect.</w:t>
      </w:r>
    </w:p>
    <w:p>
      <w:pPr>
        <w:spacing w:after="0" w:line="170"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892"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Opinion of Counsel for the Company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each of the First Closing Date and each Option Closing Date, the Representative shall have received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opinion of White &amp; Case LLP, U.S. counsel for the Company, dated as of such date, in form and substance satisfactory to the Representative.</w:t>
      </w:r>
    </w:p>
    <w:p>
      <w:pPr>
        <w:spacing w:after="0" w:line="154" w:lineRule="exact"/>
        <w:rPr>
          <w:rFonts w:ascii="Times New Roman" w:cs="Times New Roman" w:eastAsia="Times New Roman" w:hAnsi="Times New Roman"/>
          <w:sz w:val="18"/>
          <w:szCs w:val="18"/>
          <w:b w:val="1"/>
          <w:bCs w:val="1"/>
          <w:color w:val="auto"/>
        </w:rPr>
      </w:pPr>
    </w:p>
    <w:p>
      <w:pPr>
        <w:jc w:val="both"/>
        <w:ind w:right="180" w:firstLine="656"/>
        <w:spacing w:after="0" w:line="262" w:lineRule="auto"/>
        <w:tabs>
          <w:tab w:leader="none" w:pos="873"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Opinion of Counsel for the Underwriters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each of the First Closing Date and each Option Closing Date the Representative shall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received the opinion of Skadden, Arps, Slate, Meagher &amp; Flom LLP, counsel for the Underwriters in connection with the offer and sale of the Offered Securities, in form and substance satisfactory to the Representative, dated as of such date, with executed copies for each of the other Underwriters named on the Prospectus cover page.</w:t>
      </w:r>
    </w:p>
    <w:p>
      <w:pPr>
        <w:spacing w:after="0" w:line="176" w:lineRule="exact"/>
        <w:rPr>
          <w:rFonts w:ascii="Times New Roman" w:cs="Times New Roman" w:eastAsia="Times New Roman" w:hAnsi="Times New Roman"/>
          <w:sz w:val="18"/>
          <w:szCs w:val="18"/>
          <w:b w:val="1"/>
          <w:bCs w:val="1"/>
          <w:color w:val="auto"/>
        </w:rPr>
      </w:pPr>
    </w:p>
    <w:p>
      <w:pPr>
        <w:ind w:right="20" w:firstLine="656"/>
        <w:spacing w:after="0" w:line="268" w:lineRule="auto"/>
        <w:tabs>
          <w:tab w:leader="none" w:pos="903"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Officers’ Certificate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each of the First Closing Date and each Option Closing Date, the Representative shall have received a certificate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executed by the Chief Executive Officer and the Chief Financial Officer of the Company, dated as of such date, to the effect set forth in Section 5(b)(ii) and further to the effect that:</w:t>
      </w:r>
    </w:p>
    <w:p>
      <w:pPr>
        <w:spacing w:after="0" w:line="174" w:lineRule="exact"/>
        <w:rPr>
          <w:rFonts w:ascii="Times New Roman" w:cs="Times New Roman" w:eastAsia="Times New Roman" w:hAnsi="Times New Roman"/>
          <w:sz w:val="18"/>
          <w:szCs w:val="18"/>
          <w:b w:val="1"/>
          <w:bCs w:val="1"/>
          <w:color w:val="auto"/>
        </w:rPr>
      </w:pPr>
    </w:p>
    <w:p>
      <w:pPr>
        <w:ind w:left="1520" w:hanging="216"/>
        <w:spacing w:after="0"/>
        <w:tabs>
          <w:tab w:leader="none" w:pos="15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from and including the date of this Agreement through and including such date, there has been no Material Adverse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1" w:name="page32"/>
    <w:bookmarkEnd w:id="31"/>
    <w:p>
      <w:pPr>
        <w:ind w:left="-20" w:right="180" w:firstLine="1304"/>
        <w:spacing w:after="0" w:line="282" w:lineRule="auto"/>
        <w:tabs>
          <w:tab w:leader="none" w:pos="154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warranties, and covenants of the Company set forth in Section 1 of this Agreement are true and correct with the same force and effect as though expressly made on and as of such date; and</w:t>
      </w:r>
    </w:p>
    <w:p>
      <w:pPr>
        <w:spacing w:after="0" w:line="161" w:lineRule="exact"/>
        <w:rPr>
          <w:rFonts w:ascii="Times New Roman" w:cs="Times New Roman" w:eastAsia="Times New Roman" w:hAnsi="Times New Roman"/>
          <w:sz w:val="18"/>
          <w:szCs w:val="18"/>
          <w:color w:val="auto"/>
        </w:rPr>
      </w:pPr>
    </w:p>
    <w:p>
      <w:pPr>
        <w:ind w:left="-20" w:right="120" w:firstLine="1304"/>
        <w:spacing w:after="0" w:line="282" w:lineRule="auto"/>
        <w:tabs>
          <w:tab w:leader="none" w:pos="159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complied with all the agreements hereunder and satisfied all the conditions on its part to be performed or satisfied hereunder at or prior to such date.</w:t>
      </w:r>
    </w:p>
    <w:p>
      <w:pPr>
        <w:spacing w:after="0" w:line="157" w:lineRule="exact"/>
        <w:rPr>
          <w:rFonts w:ascii="Times New Roman" w:cs="Times New Roman" w:eastAsia="Times New Roman" w:hAnsi="Times New Roman"/>
          <w:sz w:val="18"/>
          <w:szCs w:val="18"/>
          <w:color w:val="auto"/>
        </w:rPr>
      </w:pPr>
    </w:p>
    <w:p>
      <w:pPr>
        <w:ind w:left="-20" w:right="60" w:firstLine="656"/>
        <w:spacing w:after="0" w:line="259" w:lineRule="auto"/>
        <w:tabs>
          <w:tab w:leader="none" w:pos="893"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Secretary’s Certificate. </w:t>
      </w:r>
      <w:r>
        <w:rPr>
          <w:rFonts w:ascii="Times New Roman" w:cs="Times New Roman" w:eastAsia="Times New Roman" w:hAnsi="Times New Roman"/>
          <w:sz w:val="18"/>
          <w:szCs w:val="18"/>
          <w:color w:val="auto"/>
        </w:rPr>
        <w:t>The Company shall have furnished to the Representative a certificate signed by the Secretary or Assistant Secretary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dated the First Closing Date and each Option Closing Date, certifying (i) that the Amended and Restated Certificate of Incorporation is true and complete, has not been modified and is in full force and effect, (ii) that the resolutions relating to the Offering contemplated by this Agreement are in full force and effect and have not been modified, (iii) copies of all correspondence between the Company or its counsel and the Commission, and (iv) as to the incumbency of the officers of the Company. The documents referred to in such certificate shall be attached to such certificate.</w:t>
      </w:r>
    </w:p>
    <w:p>
      <w:pPr>
        <w:spacing w:after="0" w:line="179" w:lineRule="exact"/>
        <w:rPr>
          <w:rFonts w:ascii="Times New Roman" w:cs="Times New Roman" w:eastAsia="Times New Roman" w:hAnsi="Times New Roman"/>
          <w:sz w:val="18"/>
          <w:szCs w:val="18"/>
          <w:b w:val="1"/>
          <w:bCs w:val="1"/>
          <w:color w:val="auto"/>
        </w:rPr>
      </w:pPr>
    </w:p>
    <w:p>
      <w:pPr>
        <w:ind w:left="-20" w:right="60" w:firstLine="656"/>
        <w:spacing w:after="0" w:line="259" w:lineRule="auto"/>
        <w:tabs>
          <w:tab w:leader="none" w:pos="843"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Bring-down Comfort Letter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each of the First Closing Date and each Option Closing Date the Representative shall have received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Withum, independent registered public accountants for the Company, a letter dated such date, in form and substance satisfactory to the Representative, which letter shall: (i) reaffirm the statements made in the letter furnished by them pursuant to Section 5(a), except that the specified date referred to therein for the carrying out of procedures shall be no more than three business days prior to the First Closing Date or the applicable Option Closing Date, as the case may be; and (ii) cover certain financial information contained in the Prospectus.</w:t>
      </w:r>
    </w:p>
    <w:p>
      <w:pPr>
        <w:spacing w:after="0" w:line="179" w:lineRule="exact"/>
        <w:rPr>
          <w:rFonts w:ascii="Times New Roman" w:cs="Times New Roman" w:eastAsia="Times New Roman" w:hAnsi="Times New Roman"/>
          <w:sz w:val="18"/>
          <w:szCs w:val="18"/>
          <w:b w:val="1"/>
          <w:bCs w:val="1"/>
          <w:color w:val="auto"/>
        </w:rPr>
      </w:pPr>
    </w:p>
    <w:p>
      <w:pPr>
        <w:ind w:left="-20" w:right="140" w:firstLine="656"/>
        <w:spacing w:after="0" w:line="257" w:lineRule="auto"/>
        <w:tabs>
          <w:tab w:leader="none" w:pos="853"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Transactional Documents</w:t>
      </w:r>
      <w:r>
        <w:rPr>
          <w:rFonts w:ascii="Times New Roman" w:cs="Times New Roman" w:eastAsia="Times New Roman" w:hAnsi="Times New Roman"/>
          <w:sz w:val="18"/>
          <w:szCs w:val="18"/>
          <w:color w:val="auto"/>
        </w:rPr>
        <w:t>. On or prior to the First Closing Date, the Company shall have delivered to the Representative executed copies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Trust Agreement, the Warrant Agreement, the Subscription Agreement, the Private Placement Warrants Purchase Agreement, the Forward Purchase Agreements, the Insider Letter, and the Registration Rights Agreement, and each such agreement shall be in full force and effect on each of the First Closing Date and each Option Closing Date. With regard to the Insider Letter, if any additional persons shall become executive officers, directors or director nominees of the Company prior to the end of the Lock-up Period, the Company shall cause each such person, prior to or contemporaneously with their appointment or election as an executive officer, director or director nominee to execute a joinder to the Insider Letter.</w:t>
      </w:r>
    </w:p>
    <w:p>
      <w:pPr>
        <w:spacing w:after="0" w:line="182" w:lineRule="exact"/>
        <w:rPr>
          <w:rFonts w:ascii="Times New Roman" w:cs="Times New Roman" w:eastAsia="Times New Roman" w:hAnsi="Times New Roman"/>
          <w:sz w:val="18"/>
          <w:szCs w:val="18"/>
          <w:b w:val="1"/>
          <w:bCs w:val="1"/>
          <w:color w:val="auto"/>
        </w:rPr>
      </w:pPr>
    </w:p>
    <w:p>
      <w:pPr>
        <w:ind w:left="-20" w:firstLine="656"/>
        <w:spacing w:after="0" w:line="259" w:lineRule="auto"/>
        <w:tabs>
          <w:tab w:leader="none" w:pos="893"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Deposit to the Trust Account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Sponsor (at least one business day prior to the First Closing Date and each Option Closing Date), shall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caused proceeds from the sale of the Private Placement Warrants to be deposited into the Trust Account so that together with proceeds for the Firm Securities (including the Deferred Discount), or with respect to the Optional Securities, proceeds from the Optional Securities (including the Deferred Discount), the aggregate amount of money deposited into the Trust Account would equal the product of the number of Units issued and the public offering price per Unit as set forth on the cover of the Prospectus.</w:t>
      </w:r>
    </w:p>
    <w:p>
      <w:pPr>
        <w:spacing w:after="0" w:line="179" w:lineRule="exact"/>
        <w:rPr>
          <w:rFonts w:ascii="Times New Roman" w:cs="Times New Roman" w:eastAsia="Times New Roman" w:hAnsi="Times New Roman"/>
          <w:sz w:val="18"/>
          <w:szCs w:val="18"/>
          <w:b w:val="1"/>
          <w:bCs w:val="1"/>
          <w:color w:val="auto"/>
        </w:rPr>
      </w:pPr>
    </w:p>
    <w:p>
      <w:pPr>
        <w:ind w:left="-20" w:right="260" w:firstLine="656"/>
        <w:spacing w:after="0" w:line="268" w:lineRule="auto"/>
        <w:tabs>
          <w:tab w:leader="none" w:pos="843"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Rule 462(b) Registration Statement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event that a Rule 462(b) Registration Statement is filed in connection with the Offering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contemplated by this Agreement, such Rule 462(b) Registration Statement shall have been filed with the Commission on the date of this Agreement and shall have become effective automatically upon such filing.</w:t>
      </w:r>
    </w:p>
    <w:p>
      <w:pPr>
        <w:spacing w:after="0" w:line="170" w:lineRule="exact"/>
        <w:rPr>
          <w:rFonts w:ascii="Times New Roman" w:cs="Times New Roman" w:eastAsia="Times New Roman" w:hAnsi="Times New Roman"/>
          <w:sz w:val="18"/>
          <w:szCs w:val="18"/>
          <w:b w:val="1"/>
          <w:bCs w:val="1"/>
          <w:color w:val="auto"/>
        </w:rPr>
      </w:pPr>
    </w:p>
    <w:p>
      <w:pPr>
        <w:ind w:left="-20" w:right="100" w:firstLine="656"/>
        <w:spacing w:after="0" w:line="286" w:lineRule="auto"/>
        <w:tabs>
          <w:tab w:leader="none" w:pos="943"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Approval of Listing</w:t>
      </w:r>
      <w:r>
        <w:rPr>
          <w:rFonts w:ascii="Times New Roman" w:cs="Times New Roman" w:eastAsia="Times New Roman" w:hAnsi="Times New Roman"/>
          <w:sz w:val="18"/>
          <w:szCs w:val="18"/>
          <w:color w:val="auto"/>
        </w:rPr>
        <w:t>. At the First Closing Date, the Offered Securities shall have been approved for listing on Nasdaq, subject only to official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notice of issuance.</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4" w:right="359" w:bottom="1440" w:gutter="0" w:footer="0" w:header="0"/>
        </w:sectPr>
      </w:pPr>
    </w:p>
    <w:bookmarkStart w:id="32" w:name="page33"/>
    <w:bookmarkEnd w:id="32"/>
    <w:p>
      <w:pPr>
        <w:ind w:right="40" w:firstLine="656"/>
        <w:spacing w:after="0" w:line="257" w:lineRule="auto"/>
        <w:tabs>
          <w:tab w:leader="none" w:pos="913"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Additional Documents</w:t>
      </w:r>
      <w:r>
        <w:rPr>
          <w:rFonts w:ascii="Times New Roman" w:cs="Times New Roman" w:eastAsia="Times New Roman" w:hAnsi="Times New Roman"/>
          <w:sz w:val="18"/>
          <w:szCs w:val="18"/>
          <w:color w:val="auto"/>
        </w:rPr>
        <w:t>. On or before each of the First Closing Date and each Option Closing Date, the Representative and counsel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Underwriters shall have received such information, documents and opinions as they may reasonably request for the purposes of enabling them to pass upon the issuance and sale of the Offered Securities as contemplated herein, or in order to evidence the accuracy of any of the representations and warranties, or the satisfaction of any of the conditions or agreements, herein contained; and all proceedings taken by the Company in connection with the issuance and sale of the Offered Securities as contemplated herein and in connection with the other transactions contemplated by this Agreement shall be satisfactory in form and substance to the Representative and counsel for the Underwriters.</w:t>
      </w:r>
    </w:p>
    <w:p>
      <w:pPr>
        <w:spacing w:after="0" w:line="186"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If any condition specified in this Section 5 is not satisfied when and as required to be satisfied, this Agreement may be terminated by the Representative by notice from the Representative to the Company at any time on or prior to the First Closing Date and, with respect to the Optional Securities, at any time on or prior to the applicable Option Closing Date, which termination shall be without liability on the part of any party to any other party, except that Section 4, Section 6, Section 8 and Section 9 shall at all times be effective and shall survive such termination.</w:t>
      </w:r>
    </w:p>
    <w:p>
      <w:pPr>
        <w:spacing w:after="0" w:line="176"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b w:val="1"/>
          <w:bCs w:val="1"/>
          <w:color w:val="auto"/>
        </w:rPr>
        <w:t>Section 6. Reimbursement of Underwriters’ Expenses</w:t>
      </w:r>
      <w:r>
        <w:rPr>
          <w:rFonts w:ascii="Times New Roman" w:cs="Times New Roman" w:eastAsia="Times New Roman" w:hAnsi="Times New Roman"/>
          <w:sz w:val="18"/>
          <w:szCs w:val="18"/>
          <w:color w:val="auto"/>
        </w:rPr>
        <w:t>. If this Agreement is terminated by the Representative pursuant to Section 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10 or Section 11, or if the sale to the Underwriters of the Offered Securities on the First Closing Date is not consummated because of any refusal, inability or failure on the part of the Company to perform any agreement herein or to comply with any provision hereof, the Company agrees to reimburse the Representative and the other Underwriters (or such Underwriters as have terminated this Agreement with respect to themselves), severally, upon demand for all out-of-pocket expenses that shall have been reasonably incurred by the Representative and the Underwriters in connection with the proposed purchase and the Offering and sale of the Offered Securities, including, but not limited to, reasonable fees and disbursements of counsel, printing expenses, travel expenses, postage, facsimile and telephone charges.</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Section 7. Effectiveness of this Agreement</w:t>
      </w:r>
      <w:r>
        <w:rPr>
          <w:rFonts w:ascii="Times New Roman" w:cs="Times New Roman" w:eastAsia="Times New Roman" w:hAnsi="Times New Roman"/>
          <w:sz w:val="18"/>
          <w:szCs w:val="18"/>
          <w:color w:val="auto"/>
        </w:rPr>
        <w:t>. This Agreement shall become effective upon the execution and delivery hereof by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hereto.</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Section 8.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56"/>
        <w:spacing w:after="0" w:line="252" w:lineRule="auto"/>
        <w:tabs>
          <w:tab w:leader="none" w:pos="903"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Indemnification of the Underwriters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agrees to indemnify and hold harmless each Underwriter, its affiliates, directors, officers,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employees and agents, and each person, if any, who controls any Underwriter within the meaning of the Securities Act or the Exchange Act against any loss, claim, damage, liability or expense, as incurred, to which such Underwriter or such affiliate, director, officer, employee, agent or controlling person may become subject, under the Securities Act, the Exchange Act, other federal or state statutory law or regulation, or the laws or regulations of foreign jurisdictions where Offered Securities have been offered or sold or at common law or otherwise (including in settlement of any litigation, if such settlement is effected with the written consent of the Company), insofar as such loss, claim, damage, liability or expense (or actions in respect thereof as contemplated below) arises out of or is based upon (i) any untrue statement or alleged untrue statement of a material fact contained in the Registration Statement, or any amendment thereto, or the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Marketing Material, any Section 5(d) Written Communication or the Prospectus (or any amendment or supplement to the foregoing), or the omission or alleged omission to state therein a material fact necessary in order to make the statements, in the light of the circumstances under which they were made, not misleading; or (iii) any act or failure to act or any alleged act or failure to act by any Underwriter in connection with, or relating in any manner to, the securities of the Company or the Offering contemplated hereby, and which is included as part of or referred to in any loss, claim, damage, liability or action arising out of or based upon any matter covered by clause (i) or (ii) above; and to reimburse each Underwriter and each such affiliate, director, officer, employee, agent and controlling person for any and all expenses (including the fees and disbursements of counsel) as such expenses are incurred by such Underwriter or such affiliate, director, officer, employee, agent or controlling person in connection with investigating, defending, settling, compromising or paying any such loss, claim, damage, liability, expense or 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information relating to any Underwriter furnished to the Company by the Representative in writing expressly for use in the Registration Statement, any preliminary prospectus, the Time of Sale Prospectus, any Marketing Material, any Section 5(d) Written Communication or the Prospectus (or any amendment or supplement thereto), it being understood and agreed that the only such information consists of the information described in Section 8(b) below. The indemnity agreement set forth in this Section 8(a) shall be in addition to any liabilities that the Company may otherwise have.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ind w:firstLine="656"/>
        <w:spacing w:after="0" w:line="251" w:lineRule="auto"/>
        <w:tabs>
          <w:tab w:leader="none" w:pos="913"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Indemnification of the Company, its Directors and Officers</w:t>
      </w:r>
      <w:r>
        <w:rPr>
          <w:rFonts w:ascii="Times New Roman" w:cs="Times New Roman" w:eastAsia="Times New Roman" w:hAnsi="Times New Roman"/>
          <w:sz w:val="18"/>
          <w:szCs w:val="18"/>
          <w:color w:val="auto"/>
        </w:rPr>
        <w:t>. Each Underwriter agrees, severally and not jointly, to indemnify and hold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the laws or regulations of foreign jurisdictions where the Offered Securities have been offered or sold or at common law or otherwise (including in settlement of any litigation, if such settlement is effected with the written consent of such Underwriter), insofar as such loss, claim, damage, liability or expense (or actions in respect thereof as contemplated below) arises out of or is based upon (i) any untrue statement or alleged untrue statement of a material fact contained in the Registration Statement, or any amendment thereto, or any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Marketing Material, any Section 5(d) Written Communication or the Prospectus (or any such amendment or supplement) or the omission or alleged omission to state therein a material fact necessary in order to make the statements, in the light of the circumstances under which they were made, not misleading, in each case to the extent, but only to the extent, that such untrue statement or alleged untrue statement or omission or alleged omission was made in the Registration Statement, such preliminary prospectus, the Time of Sale Prospectus, such Marketing Material, such Section 5(d) Written Communication or the Prospectus (or any such amendment or supplement), in reliance upon and in conformity with information relating to such Underwriter furnished to the Company by the Representative in writing expressly for use therein; and to reimburse the Company, or any such director, officer or controlling person for any and all expenses (including the fees and disbursements of counsel) as such expenses are incurred by the Company, or any such director, officer or controlling person in connection with investigating, defending, settling, compromising or paying any such loss, claim, damage, liability, expense or action. The Company hereby acknowledges that the only information that the Representative has furnished to the Company expressly for use in the Registration Statement, any preliminary prospectus, the Time of Sale Prospectus, any Marketing Material, any Section 5(d) Written Communication or the Prospectus (or any amendment or supplement to the foregoing) are the following statements set forth under the heading “Underwriting”: (x) the list of Underwriters and their respective roles and participation in the sale of the Offered Securities, (y) the first sentence in the third paragraph, the third sentence in the fourth paragraph, the fifth paragraph (except for the last sentence therein), and (z) the first sentence in the first paragraph, the third sentence in the second paragraph and the first sentence in the sixth paragraph under the heading “Stabilization”, in the Preliminary Prospectus and the Prospectus. The indemnity agreement set forth in this Section 8(b) shall be in addition to any liabilities that each Underwriter may otherwise have.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ind w:left="-20" w:firstLine="656"/>
        <w:spacing w:after="0" w:line="252" w:lineRule="auto"/>
        <w:tabs>
          <w:tab w:leader="none" w:pos="872"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Notifications and Other Indemnification Procedures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Promptly after receipt by an indemnified party under this Section 8 of notice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commencement of any action, such indemnified party will, if a claim in respect thereof is to be made against an indemnifying party under this Section 8, notify the indemnifying party in writing of the commencement thereof, but the omission to so notify the indemnifying party will not relieve the indemnifying party from any liability which it may have to any indemnified party to the extent the indemnifying party is not materially prejudiced as a proximate result of such failure and shall not in any event relieve the indemnifying party from any liability that it may have otherwise than on account of this indemnity agreement.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Section 8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Representative (in the case of counsel for the indemnified parties referred to in Section 8(a) above) or by the Company (in the case of counsel for the indemnified parties referred to in Section 8(b) above) or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183" w:lineRule="exact"/>
        <w:rPr>
          <w:rFonts w:ascii="Times New Roman" w:cs="Times New Roman" w:eastAsia="Times New Roman" w:hAnsi="Times New Roman"/>
          <w:sz w:val="18"/>
          <w:szCs w:val="18"/>
          <w:b w:val="1"/>
          <w:bCs w:val="1"/>
          <w:color w:val="auto"/>
        </w:rPr>
      </w:pPr>
    </w:p>
    <w:p>
      <w:pPr>
        <w:ind w:left="-20" w:right="20" w:firstLine="656"/>
        <w:spacing w:after="0" w:line="253" w:lineRule="auto"/>
        <w:tabs>
          <w:tab w:leader="none" w:pos="893"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Settlements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indemnifying party under this Section 8 shall not be liable for any settlement of any proceeding effected without its 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Section 8(c) hereof, the indemnifying party shall be liable for any settlement of any proceeding effected without its written consent if (i) such settlement is entered into more than 60 days after receipt by such indemnifying party of the aforesaid request, (ii) such indemnifying party shall have reasonable notice of the terms of such settlement at least 30 days prior to such settlement being entered into and (iii)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 and does not include an admission of fault or culpability or a failure to act by or on behalf of such indemnified party.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0" w:right="339" w:bottom="1440" w:gutter="0" w:footer="0" w:header="0"/>
        </w:sectPr>
      </w:pPr>
    </w:p>
    <w:bookmarkStart w:id="35" w:name="page36"/>
    <w:bookmarkEnd w:id="35"/>
    <w:p>
      <w:pPr>
        <w:ind w:right="20" w:firstLine="1296"/>
        <w:spacing w:after="0" w:line="253" w:lineRule="auto"/>
        <w:rPr>
          <w:sz w:val="20"/>
          <w:szCs w:val="20"/>
          <w:color w:val="auto"/>
        </w:rPr>
      </w:pPr>
      <w:r>
        <w:rPr>
          <w:rFonts w:ascii="Times New Roman" w:cs="Times New Roman" w:eastAsia="Times New Roman" w:hAnsi="Times New Roman"/>
          <w:sz w:val="18"/>
          <w:szCs w:val="18"/>
          <w:b w:val="1"/>
          <w:bCs w:val="1"/>
          <w:color w:val="auto"/>
        </w:rPr>
        <w:t>Section 9. Contribution</w:t>
      </w:r>
      <w:r>
        <w:rPr>
          <w:rFonts w:ascii="Times New Roman" w:cs="Times New Roman" w:eastAsia="Times New Roman" w:hAnsi="Times New Roman"/>
          <w:sz w:val="18"/>
          <w:szCs w:val="18"/>
          <w:color w:val="auto"/>
        </w:rPr>
        <w:t>. If the indemnification provided for in Section 8 is for any reason held to be unavailable to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Underwriters, on the other hand, from the Offering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hand, in connection with the statements or omissions which resulted in such losses, claims, damages, liabilities or expenses, as well as any other relevant equitable considerations. The relative benefits received by the Company, on the one hand, and the Underwriters, on the other hand, in connection with the Offering pursuant to this Agreement shall be deemed to be in the same respective proportions as the total net proceeds from the Offering pursuant to this Agreement (before deducting expenses) received by the Company, and the total underwriting discounts and commissions received by the Underwriters, in each case as set forth on the front cover page of the Prospectus, bear to the aggregate initial public offering price of the Offered Securities as set forth on such cover. 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on the one hand, or the Underwriters, on the other hand, and the parties’ relative intent, knowledge, access to information and opportunity to correct or prevent such statement or omission.</w:t>
      </w:r>
    </w:p>
    <w:p>
      <w:pPr>
        <w:spacing w:after="0" w:line="18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amount paid or payable by a party as a result of the losses, claims, damages, liabilities and expenses referred to above shall be deemed to include, subject to the limitations set forth in Section 8(c), any legal or other fees or expenses reasonably incurred by such party in connection with investigating or defending any action or claim. The provisions set forth in Section 8(c) with respect to notice of commencement of any action shall apply if a claim for contribution is to be made under this Section 9;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additional notice shall be required with respect to any action for which notice has been given under Section 8(c) for purposes of indemnification.</w:t>
      </w:r>
    </w:p>
    <w:p>
      <w:pPr>
        <w:spacing w:after="0" w:line="183"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 and the Underwriters agree that it would not be just and equitable if contribution pursuant to this Section 9 were determined by pro rata allocation (even if the Underwriters were treated as one entity for such purpose) or by any other method of allocation which does not take account of the equitable considerations referred to in this Section 9.</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the provisions of this Section 9, no Underwriter shall be required to contribute any amount in excess of the underwriting discounts and commissions received by such Underwriter in connection with the Offered Securities underwritten by it and distributed to the public.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9 are several, and not joint, in proportion to their respective underwriting commitments as set forth opposite their respective names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For purposes of this Section 9, each affiliate, director, officer, employee and agent of an Underwriter and each person, if any, who controls an Underwriter within the meaning of the Securities Act or the Exchange Act shall have the same rights to contribution as such Underwriter, and each director of the Company, each officer of the Company who signed the Registration Statement, and each person, if any, who controls the Company within the meaning of the Securities Act and the Exchange Act shall have the same rights to contribution as the Company.</w:t>
      </w: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6" w:name="page37"/>
    <w:bookmarkEnd w:id="36"/>
    <w:p>
      <w:pPr>
        <w:ind w:right="20" w:firstLine="1296"/>
        <w:spacing w:after="0" w:line="252" w:lineRule="auto"/>
        <w:rPr>
          <w:sz w:val="20"/>
          <w:szCs w:val="20"/>
          <w:color w:val="auto"/>
        </w:rPr>
      </w:pPr>
      <w:r>
        <w:rPr>
          <w:rFonts w:ascii="Times New Roman" w:cs="Times New Roman" w:eastAsia="Times New Roman" w:hAnsi="Times New Roman"/>
          <w:sz w:val="18"/>
          <w:szCs w:val="18"/>
          <w:b w:val="1"/>
          <w:bCs w:val="1"/>
          <w:color w:val="auto"/>
        </w:rPr>
        <w:t>Section 10. Default of One or More of the Several Underwriters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on the First Closing Date or any Option Closing Date any one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more of the several Underwriters shall fail or refuse to purchase Offered Securities that it has or they have agreed to purchase hereunder on such date, and the aggregate number of Offered Securities which such defaulting Underwriter or Underwriters agreed but failed or refused to purchase does not exceed 10% of the aggregate number of the Offered Securities to be purchased on such date, the Representative may make arrangements satisfactory to the Company for the purchase of such Offered Securities by other persons, including any of the Underwriters, but if no such arrangements are made by such date, the other Underwriters shall be obligated, severally and not jointly, in the proportions that the number of Firm Securities set forth opposite their respective names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bears to the aggregate number of Firm Securities set forth opposite the names of all such non-defaulting Underwriters, or in such other proportions as may be specified by the Representative with the consent of the non-defaulting Underwriters, to purchase the Offered Securities which such defaulting Underwriter or Underwriters agreed but failed or refused to purchase on such date. If, on the First Closing Date or any Option Closing Date any one or more of the Underwriters shall fail or refuse to purchase Offered Securities and the aggregate number of Offered Securities with respect to which such default occurs exceeds 10% of the aggregate number of Offered Securities to be purchased on such date, and arrangements satisfactory to the Representative and the Company for the purchase of such Offered Securities are not made within 48 hours after such default, this Agreement shall terminate without liability of any party to any other party except that the provisions of Section 4, Section 6, Section 8 and Section 9 shall at all times be effective and shall survive such termination. In any such case either the Representative or the Company shall have the right to postpone the First Closing Date or the applicable Option Closing Date, as the case may be, but in no event for longer than seven days in order that the required changes, if any, to the Registration Statement and the Prospectus or any other documents or arrangements may be effected.</w:t>
      </w:r>
    </w:p>
    <w:p>
      <w:pPr>
        <w:spacing w:after="0" w:line="195" w:lineRule="exact"/>
        <w:rPr>
          <w:sz w:val="20"/>
          <w:szCs w:val="20"/>
          <w:color w:val="auto"/>
        </w:rPr>
      </w:pPr>
    </w:p>
    <w:p>
      <w:pPr>
        <w:ind w:right="80" w:firstLine="648"/>
        <w:spacing w:after="0" w:line="268" w:lineRule="auto"/>
        <w:rPr>
          <w:sz w:val="20"/>
          <w:szCs w:val="20"/>
          <w:color w:val="auto"/>
        </w:rPr>
      </w:pPr>
      <w:r>
        <w:rPr>
          <w:rFonts w:ascii="Times New Roman" w:cs="Times New Roman" w:eastAsia="Times New Roman" w:hAnsi="Times New Roman"/>
          <w:sz w:val="18"/>
          <w:szCs w:val="18"/>
          <w:color w:val="auto"/>
        </w:rPr>
        <w:t>As used in this Agreement, the term “</w:t>
      </w:r>
      <w:r>
        <w:rPr>
          <w:rFonts w:ascii="Times New Roman" w:cs="Times New Roman" w:eastAsia="Times New Roman" w:hAnsi="Times New Roman"/>
          <w:sz w:val="18"/>
          <w:szCs w:val="18"/>
          <w:b w:val="1"/>
          <w:bCs w:val="1"/>
          <w:color w:val="auto"/>
        </w:rPr>
        <w:t>Underwriter</w:t>
      </w:r>
      <w:r>
        <w:rPr>
          <w:rFonts w:ascii="Times New Roman" w:cs="Times New Roman" w:eastAsia="Times New Roman" w:hAnsi="Times New Roman"/>
          <w:sz w:val="18"/>
          <w:szCs w:val="18"/>
          <w:color w:val="auto"/>
        </w:rPr>
        <w:t>” shall be deemed to include any person substituted for a defaulting Underwriter under this Section 10. Any action taken under this Section 10 shall not relieve any defaulting Underwriter from liability in respect of any default of such Underwriter under this Agreement.</w:t>
      </w:r>
    </w:p>
    <w:p>
      <w:pPr>
        <w:spacing w:after="0" w:line="171"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b w:val="1"/>
          <w:bCs w:val="1"/>
          <w:color w:val="auto"/>
        </w:rPr>
        <w:t>Section 11. Termination of this Agreement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the purchase of the Firm Securities by the Underwriters on the First Closing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this Agreement may be terminated by the Representative by notice given to the Company if at any time: (i) trading or quotation in any of the Company’s securities shall have been suspended or limited by the Commission or by Nasdaq, or trading in securities generally on either Nasdaq or the NYSE shall have been suspended or limited, or minimum or maximum prices shall have been generally established on any of such stock exchanges; (ii) a general banking moratorium shall have been declared by either U.S. federal or New York state authorities;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Representative is material and adverse and makes it impracticable to proceed with the offering or delivery of the Offered Securities in the manner and on the terms described in the Time of Sale Prospectus or the Prospectus or to enforce contracts for the sale of securities; (iv) in the judgment of the Representative there shall have been any Material Adverse Effect; or (v) the Company shall have sustained a loss by strike, fire, flood, earthquake, accident or other calamity of such character as in the judgment of the Representative may interfere materially with the conduct of the business and operations of the Company regardless of whether or not such loss shall have been insured. Any termination pursuant to this Section 11 shall be without liability on the part of (a) the Company to any Underwriter, except that the Company shall be obligated to reimburse the expenses of the Representative and the Underwriters pursuant to Section 4 or Section 6 hereof or (b) any Underwriter to the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provisions of Section 8 and Section 9 shall at all times be effective and shall survive such termination.</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7" w:name="page38"/>
    <w:bookmarkEnd w:id="37"/>
    <w:p>
      <w:pPr>
        <w:ind w:right="20" w:firstLine="1296"/>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12. No Advisory or Fiduciary Relationship. </w:t>
      </w:r>
      <w:r>
        <w:rPr>
          <w:rFonts w:ascii="Times New Roman" w:cs="Times New Roman" w:eastAsia="Times New Roman" w:hAnsi="Times New Roman"/>
          <w:sz w:val="18"/>
          <w:szCs w:val="18"/>
          <w:color w:val="auto"/>
        </w:rPr>
        <w:t>The Company acknowledges and agrees that (a) the purchase and sale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Offered Securities pursuant to this Agreement, including the determination of the public offering price of the Offered Securities and any related discounts and commissions, is an arm’s-length commercial transaction between the Company, on the one hand, and the several Underwriters, on the other hand, (b) in connection with the Offering contemplated hereby and the process leading to such transaction, each Underwriter is and has been acting solely as a principal and is not the agent or fiduciary of the Company, or its stockholders, its creditors, employees or any other party, (c) no Underwriter has assumed or will assume an advisory or fiduciary responsibility in favor of the Company with respect to the Offering contemplated hereby or the process leading thereto (irrespective of whether such Underwriter has advised or is currently advising the Company on other matters) and no Underwriter has any obligation to the Company with respect to the Offering contemplated hereby except the obligations expressly set forth in this Agreement, (d) the Underwriters and their respective affiliates may be engaged in a broad range of transactions that involve interests that differ from those of the Company, and (e) the Underwriters have not provided any legal, accounting, regulatory or tax advice with respect to the Offering contemplated hereby and the Company has consulted its own legal, accounting, regulatory and tax advisors to the extent it deemed appropriate.</w:t>
      </w:r>
    </w:p>
    <w:p>
      <w:pPr>
        <w:spacing w:after="0" w:line="182" w:lineRule="exact"/>
        <w:rPr>
          <w:sz w:val="20"/>
          <w:szCs w:val="20"/>
          <w:color w:val="auto"/>
        </w:rPr>
      </w:pPr>
    </w:p>
    <w:p>
      <w:pPr>
        <w:ind w:right="20"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Section 13. Representations and Indemnities to Survive Delivery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respective indemnities, agreements, representations, warranties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other statements of the Company, of its officers and of the several Underwriters set forth in or made pursuant to this Agreement will remain in full force and effect, regardless of any investigation made by or on behalf of any Underwriter or the Company or any of its or their partners, officers, directors, employees, agents or any controlling person, as the case may be, and, anything herein to the contrary notwithstanding, will survive delivery of and payment for the Offered Securities sold hereunder and any termination of this Agreement.</w:t>
      </w:r>
    </w:p>
    <w:p>
      <w:pPr>
        <w:spacing w:after="0" w:line="179" w:lineRule="exact"/>
        <w:rPr>
          <w:sz w:val="20"/>
          <w:szCs w:val="20"/>
          <w:color w:val="auto"/>
        </w:rPr>
      </w:pPr>
    </w:p>
    <w:p>
      <w:pPr>
        <w:ind w:right="180"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Section 14. Notices</w:t>
      </w:r>
      <w:r>
        <w:rPr>
          <w:rFonts w:ascii="Times New Roman" w:cs="Times New Roman" w:eastAsia="Times New Roman" w:hAnsi="Times New Roman"/>
          <w:sz w:val="18"/>
          <w:szCs w:val="18"/>
          <w:color w:val="auto"/>
        </w:rPr>
        <w:t>. All communications hereunder shall be in writing and shall be mailed, hand delivered or telecopied and confirmed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parties hereto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If to the Representative:</w:t>
            </w:r>
          </w:p>
        </w:tc>
        <w:tc>
          <w:tcPr>
            <w:tcW w:w="1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Jefferies LLC</w:t>
            </w:r>
          </w:p>
        </w:tc>
        <w:tc>
          <w:tcPr>
            <w:tcW w:w="7160" w:type="dxa"/>
            <w:vAlign w:val="bottom"/>
          </w:tcPr>
          <w:p>
            <w:pPr>
              <w:spacing w:after="0"/>
              <w:rPr>
                <w:sz w:val="18"/>
                <w:szCs w:val="18"/>
                <w:color w:val="auto"/>
              </w:rPr>
            </w:pPr>
          </w:p>
        </w:tc>
      </w:tr>
      <w:tr>
        <w:trPr>
          <w:trHeight w:val="216"/>
        </w:trPr>
        <w:tc>
          <w:tcPr>
            <w:tcW w:w="2780" w:type="dxa"/>
            <w:vAlign w:val="bottom"/>
          </w:tcPr>
          <w:p>
            <w:pPr>
              <w:spacing w:after="0"/>
              <w:rPr>
                <w:sz w:val="18"/>
                <w:szCs w:val="18"/>
                <w:color w:val="auto"/>
              </w:rPr>
            </w:pPr>
          </w:p>
        </w:tc>
        <w:tc>
          <w:tcPr>
            <w:tcW w:w="8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520 Madison Avenue</w:t>
            </w:r>
          </w:p>
        </w:tc>
      </w:tr>
      <w:tr>
        <w:trPr>
          <w:trHeight w:val="216"/>
        </w:trPr>
        <w:tc>
          <w:tcPr>
            <w:tcW w:w="2780" w:type="dxa"/>
            <w:vAlign w:val="bottom"/>
          </w:tcPr>
          <w:p>
            <w:pPr>
              <w:spacing w:after="0"/>
              <w:rPr>
                <w:sz w:val="18"/>
                <w:szCs w:val="18"/>
                <w:color w:val="auto"/>
              </w:rPr>
            </w:pPr>
          </w:p>
        </w:tc>
        <w:tc>
          <w:tcPr>
            <w:tcW w:w="8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New York, New York 10022</w:t>
            </w:r>
          </w:p>
        </w:tc>
      </w:tr>
      <w:tr>
        <w:trPr>
          <w:trHeight w:val="216"/>
        </w:trPr>
        <w:tc>
          <w:tcPr>
            <w:tcW w:w="2780" w:type="dxa"/>
            <w:vAlign w:val="bottom"/>
          </w:tcPr>
          <w:p>
            <w:pPr>
              <w:spacing w:after="0"/>
              <w:rPr>
                <w:sz w:val="18"/>
                <w:szCs w:val="18"/>
                <w:color w:val="auto"/>
              </w:rPr>
            </w:pPr>
          </w:p>
        </w:tc>
        <w:tc>
          <w:tcPr>
            <w:tcW w:w="1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Facsimile:</w:t>
            </w:r>
          </w:p>
        </w:tc>
        <w:tc>
          <w:tcPr>
            <w:tcW w:w="7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(646) 619-4437</w:t>
            </w:r>
          </w:p>
        </w:tc>
      </w:tr>
      <w:tr>
        <w:trPr>
          <w:trHeight w:val="234"/>
        </w:trPr>
        <w:tc>
          <w:tcPr>
            <w:tcW w:w="2780" w:type="dxa"/>
            <w:vAlign w:val="bottom"/>
          </w:tcPr>
          <w:p>
            <w:pPr>
              <w:spacing w:after="0"/>
              <w:rPr>
                <w:sz w:val="20"/>
                <w:szCs w:val="20"/>
                <w:color w:val="auto"/>
              </w:rPr>
            </w:pPr>
          </w:p>
        </w:tc>
        <w:tc>
          <w:tcPr>
            <w:tcW w:w="1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Attention:</w:t>
            </w:r>
          </w:p>
        </w:tc>
        <w:tc>
          <w:tcPr>
            <w:tcW w:w="7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 Counsel</w:t>
            </w:r>
          </w:p>
        </w:tc>
      </w:tr>
      <w:tr>
        <w:trPr>
          <w:trHeight w:val="630"/>
        </w:trPr>
        <w:tc>
          <w:tcPr>
            <w:tcW w:w="27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with a copy to:</w:t>
            </w:r>
          </w:p>
        </w:tc>
        <w:tc>
          <w:tcPr>
            <w:tcW w:w="8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Skadden, Arps, Slate, Meagher &amp; Flom LLP</w:t>
            </w:r>
          </w:p>
        </w:tc>
      </w:tr>
      <w:tr>
        <w:trPr>
          <w:trHeight w:val="216"/>
        </w:trPr>
        <w:tc>
          <w:tcPr>
            <w:tcW w:w="2780" w:type="dxa"/>
            <w:vAlign w:val="bottom"/>
          </w:tcPr>
          <w:p>
            <w:pPr>
              <w:spacing w:after="0"/>
              <w:rPr>
                <w:sz w:val="18"/>
                <w:szCs w:val="18"/>
                <w:color w:val="auto"/>
              </w:rPr>
            </w:pPr>
          </w:p>
        </w:tc>
        <w:tc>
          <w:tcPr>
            <w:tcW w:w="8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525 University Avenue, Suite 1400</w:t>
            </w:r>
          </w:p>
        </w:tc>
      </w:tr>
      <w:tr>
        <w:trPr>
          <w:trHeight w:val="216"/>
        </w:trPr>
        <w:tc>
          <w:tcPr>
            <w:tcW w:w="2780" w:type="dxa"/>
            <w:vAlign w:val="bottom"/>
          </w:tcPr>
          <w:p>
            <w:pPr>
              <w:spacing w:after="0"/>
              <w:rPr>
                <w:sz w:val="18"/>
                <w:szCs w:val="18"/>
                <w:color w:val="auto"/>
              </w:rPr>
            </w:pPr>
          </w:p>
        </w:tc>
        <w:tc>
          <w:tcPr>
            <w:tcW w:w="8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Palo Alto, California 94301</w:t>
            </w:r>
          </w:p>
        </w:tc>
      </w:tr>
      <w:tr>
        <w:trPr>
          <w:trHeight w:val="216"/>
        </w:trPr>
        <w:tc>
          <w:tcPr>
            <w:tcW w:w="2780" w:type="dxa"/>
            <w:vAlign w:val="bottom"/>
          </w:tcPr>
          <w:p>
            <w:pPr>
              <w:spacing w:after="0"/>
              <w:rPr>
                <w:sz w:val="18"/>
                <w:szCs w:val="18"/>
                <w:color w:val="auto"/>
              </w:rPr>
            </w:pPr>
          </w:p>
        </w:tc>
        <w:tc>
          <w:tcPr>
            <w:tcW w:w="1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Facsimile:</w:t>
            </w:r>
          </w:p>
        </w:tc>
        <w:tc>
          <w:tcPr>
            <w:tcW w:w="7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(650) 470-4570</w:t>
            </w:r>
          </w:p>
        </w:tc>
      </w:tr>
      <w:tr>
        <w:trPr>
          <w:trHeight w:val="234"/>
        </w:trPr>
        <w:tc>
          <w:tcPr>
            <w:tcW w:w="2780" w:type="dxa"/>
            <w:vAlign w:val="bottom"/>
          </w:tcPr>
          <w:p>
            <w:pPr>
              <w:spacing w:after="0"/>
              <w:rPr>
                <w:sz w:val="20"/>
                <w:szCs w:val="20"/>
                <w:color w:val="auto"/>
              </w:rPr>
            </w:pPr>
          </w:p>
        </w:tc>
        <w:tc>
          <w:tcPr>
            <w:tcW w:w="1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Attention:</w:t>
            </w:r>
          </w:p>
        </w:tc>
        <w:tc>
          <w:tcPr>
            <w:tcW w:w="7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Gregg A. Noel and Michael J. Mies</w:t>
            </w:r>
          </w:p>
        </w:tc>
      </w:tr>
      <w:tr>
        <w:trPr>
          <w:trHeight w:val="682"/>
        </w:trPr>
        <w:tc>
          <w:tcPr>
            <w:tcW w:w="27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716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22"/>
                <w:szCs w:val="22"/>
                <w:color w:val="auto"/>
              </w:rPr>
              <w:t>33</w:t>
            </w:r>
          </w:p>
        </w:tc>
      </w:tr>
    </w:tbl>
    <w:p>
      <w:pPr>
        <w:sectPr>
          <w:pgSz w:w="11900" w:h="16838" w:orient="portrait"/>
          <w:cols w:equalWidth="0" w:num="1">
            <w:col w:w="11240"/>
          </w:cols>
          <w:pgMar w:left="320" w:top="900" w:right="339" w:bottom="1440" w:gutter="0" w:footer="0" w:header="0"/>
        </w:sectPr>
      </w:pPr>
    </w:p>
    <w:bookmarkStart w:id="38" w:name="page39"/>
    <w:bookmarkEnd w:id="38"/>
    <w:p>
      <w:pPr>
        <w:spacing w:after="0" w:line="1" w:lineRule="exact"/>
        <w:rPr>
          <w:sz w:val="20"/>
          <w:szCs w:val="20"/>
          <w:color w:val="auto"/>
        </w:rPr>
      </w:pPr>
    </w:p>
    <w:tbl>
      <w:tblPr>
        <w:tblLayout w:type="fixed"/>
        <w:tblInd w:w="800" w:type="dxa"/>
        <w:tblCellMar>
          <w:top w:w="0" w:type="dxa"/>
          <w:left w:w="0" w:type="dxa"/>
          <w:bottom w:w="0" w:type="dxa"/>
          <w:right w:w="0" w:type="dxa"/>
        </w:tblCellMar>
      </w:tblP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If to the Company:</w:t>
            </w:r>
          </w:p>
        </w:tc>
        <w:tc>
          <w:tcPr>
            <w:tcW w:w="48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CM Life Sciences, Inc.</w:t>
            </w:r>
          </w:p>
        </w:tc>
      </w:tr>
      <w:tr>
        <w:trPr>
          <w:trHeight w:val="216"/>
        </w:trPr>
        <w:tc>
          <w:tcPr>
            <w:tcW w:w="1800" w:type="dxa"/>
            <w:vAlign w:val="bottom"/>
          </w:tcPr>
          <w:p>
            <w:pPr>
              <w:spacing w:after="0"/>
              <w:rPr>
                <w:sz w:val="18"/>
                <w:szCs w:val="18"/>
                <w:color w:val="auto"/>
              </w:rPr>
            </w:pPr>
          </w:p>
        </w:tc>
        <w:tc>
          <w:tcPr>
            <w:tcW w:w="48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667 Madison Avenue</w:t>
            </w:r>
          </w:p>
        </w:tc>
      </w:tr>
      <w:tr>
        <w:trPr>
          <w:trHeight w:val="216"/>
        </w:trPr>
        <w:tc>
          <w:tcPr>
            <w:tcW w:w="1800" w:type="dxa"/>
            <w:vAlign w:val="bottom"/>
          </w:tcPr>
          <w:p>
            <w:pPr>
              <w:spacing w:after="0"/>
              <w:rPr>
                <w:sz w:val="18"/>
                <w:szCs w:val="18"/>
                <w:color w:val="auto"/>
              </w:rPr>
            </w:pPr>
          </w:p>
        </w:tc>
        <w:tc>
          <w:tcPr>
            <w:tcW w:w="48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New York, New York 10065</w:t>
            </w:r>
          </w:p>
        </w:tc>
      </w:tr>
      <w:tr>
        <w:trPr>
          <w:trHeight w:val="216"/>
        </w:trPr>
        <w:tc>
          <w:tcPr>
            <w:tcW w:w="1800" w:type="dxa"/>
            <w:vAlign w:val="bottom"/>
          </w:tcPr>
          <w:p>
            <w:pPr>
              <w:spacing w:after="0"/>
              <w:rPr>
                <w:sz w:val="18"/>
                <w:szCs w:val="18"/>
                <w:color w:val="auto"/>
              </w:rPr>
            </w:pPr>
          </w:p>
        </w:tc>
        <w:tc>
          <w:tcPr>
            <w:tcW w:w="1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Attention:</w:t>
            </w:r>
          </w:p>
        </w:tc>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Eli Casdin and Keith Meister</w:t>
            </w:r>
          </w:p>
        </w:tc>
      </w:tr>
      <w:tr>
        <w:trPr>
          <w:trHeight w:val="234"/>
        </w:trPr>
        <w:tc>
          <w:tcPr>
            <w:tcW w:w="1800" w:type="dxa"/>
            <w:vAlign w:val="bottom"/>
          </w:tcPr>
          <w:p>
            <w:pPr>
              <w:spacing w:after="0"/>
              <w:rPr>
                <w:sz w:val="20"/>
                <w:szCs w:val="20"/>
                <w:color w:val="auto"/>
              </w:rPr>
            </w:pPr>
          </w:p>
        </w:tc>
        <w:tc>
          <w:tcPr>
            <w:tcW w:w="48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9"/>
              </w:rPr>
              <w:t>Email: Eli@casdincapital.com and kmeister@corvexcap.com</w:t>
            </w:r>
          </w:p>
        </w:tc>
      </w:tr>
      <w:tr>
        <w:trPr>
          <w:trHeight w:val="41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with a copy to:</w:t>
            </w:r>
          </w:p>
        </w:tc>
        <w:tc>
          <w:tcPr>
            <w:tcW w:w="48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White &amp; Case LLP</w:t>
            </w:r>
          </w:p>
        </w:tc>
      </w:tr>
      <w:tr>
        <w:trPr>
          <w:trHeight w:val="216"/>
        </w:trPr>
        <w:tc>
          <w:tcPr>
            <w:tcW w:w="1800" w:type="dxa"/>
            <w:vAlign w:val="bottom"/>
          </w:tcPr>
          <w:p>
            <w:pPr>
              <w:spacing w:after="0"/>
              <w:rPr>
                <w:sz w:val="18"/>
                <w:szCs w:val="18"/>
                <w:color w:val="auto"/>
              </w:rPr>
            </w:pPr>
          </w:p>
        </w:tc>
        <w:tc>
          <w:tcPr>
            <w:tcW w:w="48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1221 Avenue of the Americas</w:t>
            </w:r>
          </w:p>
        </w:tc>
      </w:tr>
      <w:tr>
        <w:trPr>
          <w:trHeight w:val="216"/>
        </w:trPr>
        <w:tc>
          <w:tcPr>
            <w:tcW w:w="1800" w:type="dxa"/>
            <w:vAlign w:val="bottom"/>
          </w:tcPr>
          <w:p>
            <w:pPr>
              <w:spacing w:after="0"/>
              <w:rPr>
                <w:sz w:val="18"/>
                <w:szCs w:val="18"/>
                <w:color w:val="auto"/>
              </w:rPr>
            </w:pPr>
          </w:p>
        </w:tc>
        <w:tc>
          <w:tcPr>
            <w:tcW w:w="48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New York, New York 10020</w:t>
            </w:r>
          </w:p>
        </w:tc>
      </w:tr>
      <w:tr>
        <w:trPr>
          <w:trHeight w:val="216"/>
        </w:trPr>
        <w:tc>
          <w:tcPr>
            <w:tcW w:w="1800" w:type="dxa"/>
            <w:vAlign w:val="bottom"/>
          </w:tcPr>
          <w:p>
            <w:pPr>
              <w:spacing w:after="0"/>
              <w:rPr>
                <w:sz w:val="18"/>
                <w:szCs w:val="18"/>
                <w:color w:val="auto"/>
              </w:rPr>
            </w:pPr>
          </w:p>
        </w:tc>
        <w:tc>
          <w:tcPr>
            <w:tcW w:w="1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Facsimile:</w:t>
            </w:r>
          </w:p>
        </w:tc>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(212) 354-8113</w:t>
            </w:r>
          </w:p>
        </w:tc>
      </w:tr>
      <w:tr>
        <w:trPr>
          <w:trHeight w:val="234"/>
        </w:trPr>
        <w:tc>
          <w:tcPr>
            <w:tcW w:w="1800" w:type="dxa"/>
            <w:vAlign w:val="bottom"/>
          </w:tcPr>
          <w:p>
            <w:pPr>
              <w:spacing w:after="0"/>
              <w:rPr>
                <w:sz w:val="20"/>
                <w:szCs w:val="20"/>
                <w:color w:val="auto"/>
              </w:rPr>
            </w:pPr>
          </w:p>
        </w:tc>
        <w:tc>
          <w:tcPr>
            <w:tcW w:w="1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Attention:</w:t>
            </w:r>
          </w:p>
        </w:tc>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Joel L. Rubenstein and Colin J. Diamond</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party hereto may change the address for receipt of communications by giving written notice to the others.</w:t>
      </w:r>
    </w:p>
    <w:p>
      <w:pPr>
        <w:spacing w:after="0" w:line="221" w:lineRule="exact"/>
        <w:rPr>
          <w:sz w:val="20"/>
          <w:szCs w:val="20"/>
          <w:color w:val="auto"/>
        </w:rPr>
      </w:pPr>
    </w:p>
    <w:p>
      <w:pPr>
        <w:ind w:right="80"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Section 15. Successors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will inure to the benefit of and be binding upon the parties hereto, including any substitute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Underwriters pursuant to Section 10 hereof, and to the benefit of the affiliates, directors, officers, employees, agents and controlling persons referred to in Section 8 and Section 9, and in each case their respective successors, and personal representatives, and no other person will have any right or obligation hereunder. The term “</w:t>
      </w:r>
      <w:r>
        <w:rPr>
          <w:rFonts w:ascii="Times New Roman" w:cs="Times New Roman" w:eastAsia="Times New Roman" w:hAnsi="Times New Roman"/>
          <w:sz w:val="18"/>
          <w:szCs w:val="18"/>
          <w:b w:val="1"/>
          <w:bCs w:val="1"/>
          <w:color w:val="auto"/>
        </w:rPr>
        <w:t>successors</w:t>
      </w:r>
      <w:r>
        <w:rPr>
          <w:rFonts w:ascii="Times New Roman" w:cs="Times New Roman" w:eastAsia="Times New Roman" w:hAnsi="Times New Roman"/>
          <w:sz w:val="18"/>
          <w:szCs w:val="18"/>
          <w:color w:val="auto"/>
        </w:rPr>
        <w:t>” shall not include any purchaser of the Offered Securities as such from any of the Underwriters merely by reason of such purchase.</w:t>
      </w:r>
    </w:p>
    <w:p>
      <w:pPr>
        <w:spacing w:after="0" w:line="179" w:lineRule="exact"/>
        <w:rPr>
          <w:sz w:val="20"/>
          <w:szCs w:val="20"/>
          <w:color w:val="auto"/>
        </w:rPr>
      </w:pPr>
    </w:p>
    <w:p>
      <w:pPr>
        <w:ind w:right="140"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Section 16. Partial Unenforceability</w:t>
      </w:r>
      <w:r>
        <w:rPr>
          <w:rFonts w:ascii="Times New Roman" w:cs="Times New Roman" w:eastAsia="Times New Roman" w:hAnsi="Times New Roman"/>
          <w:sz w:val="18"/>
          <w:szCs w:val="18"/>
          <w:color w:val="auto"/>
        </w:rPr>
        <w:t>. The invalidity or unenforceability of any section, paragraph or provision of this Agreement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Section 17. Recognition of the U.S. Special Resolution Regimes</w:t>
      </w:r>
    </w:p>
    <w:p>
      <w:pPr>
        <w:spacing w:after="0" w:line="229"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In the event that any Underwriter that is a Covered Entity (as defined below) becomes subject to a proceeding under a U.S. Special Resolution Regime (as defined below), the transfer from such Underwriter of this Agreement, and any interest and obligation in or under this Agreement, will be effective to the same extent as the transfer would be effective under the U.S. Special Resolution Regime if this Agreement, and any such interest and obligation herein, were governed by the laws of the United States or a state of the United States.</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the event that any Underwriter that is a Covered Entity or a BHC Act Affiliate (as defined below) of such Underwriter becomes subject to a proceeding under a U.S. Special Resolution Regime, Default Rights (as defined below)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For purposes of this Agreement, (A) “BHC Act Affiliate” has the meaning assigned to the term “affiliate” in, and shall be interpreted in accordance with, 12 U.S.C. § 1841(k); (B)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“Default Right” has the meaning assigned to that term in, and shall be interpreted in accordance with, 12 C.F.R. §§ 252.81, 47.2 or 382.1, as applicable; and (D)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9" w:name="page40"/>
    <w:bookmarkEnd w:id="39"/>
    <w:p>
      <w:pPr>
        <w:ind w:right="20" w:firstLine="1296"/>
        <w:spacing w:after="0" w:line="254" w:lineRule="auto"/>
        <w:rPr>
          <w:sz w:val="20"/>
          <w:szCs w:val="20"/>
          <w:color w:val="auto"/>
        </w:rPr>
      </w:pPr>
      <w:r>
        <w:rPr>
          <w:rFonts w:ascii="Times New Roman" w:cs="Times New Roman" w:eastAsia="Times New Roman" w:hAnsi="Times New Roman"/>
          <w:sz w:val="18"/>
          <w:szCs w:val="18"/>
          <w:b w:val="1"/>
          <w:bCs w:val="1"/>
          <w:color w:val="auto"/>
        </w:rPr>
        <w:t>Section 18. Governing Law Provisions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shall be governed by and construed in accordance with the internal laws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 of New York applicable to agreements made and to be performed in such state. Any legal suit, action or proceeding arising out of or based upon this Agreement or the transactions contemplated hereby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Times New Roman" w:cs="Times New Roman" w:eastAsia="Times New Roman" w:hAnsi="Times New Roman"/>
          <w:sz w:val="18"/>
          <w:szCs w:val="18"/>
          <w:b w:val="1"/>
          <w:bCs w:val="1"/>
          <w:color w:val="auto"/>
        </w:rPr>
        <w:t>Specified Courts</w:t>
      </w:r>
      <w:r>
        <w:rPr>
          <w:rFonts w:ascii="Times New Roman" w:cs="Times New Roman" w:eastAsia="Times New Roman" w:hAnsi="Times New Roman"/>
          <w:sz w:val="18"/>
          <w:szCs w:val="18"/>
          <w:color w:val="auto"/>
        </w:rPr>
        <w:t>”),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85" w:lineRule="exact"/>
        <w:rPr>
          <w:sz w:val="20"/>
          <w:szCs w:val="20"/>
          <w:color w:val="auto"/>
        </w:rPr>
      </w:pPr>
    </w:p>
    <w:p>
      <w:pPr>
        <w:ind w:right="20" w:firstLine="129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19. General Provisions. </w:t>
      </w:r>
      <w:r>
        <w:rPr>
          <w:rFonts w:ascii="Times New Roman" w:cs="Times New Roman" w:eastAsia="Times New Roman" w:hAnsi="Times New Roman"/>
          <w:sz w:val="18"/>
          <w:szCs w:val="18"/>
          <w:color w:val="auto"/>
        </w:rPr>
        <w:t>This Agreement constitutes the entire agreement of the parties to this Agreement and supersedes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w:t>
      </w:r>
    </w:p>
    <w:p>
      <w:pPr>
        <w:spacing w:after="0" w:line="18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Each of the parties hereto acknowledges that it is a sophisticated business person who was adequately represented by counsel during negotiations regarding the provisions hereof, including, without limitation, the indemnification provisions of Section 8 and the contribution provisions of Section 9, and is fully informed regarding said provisions. Each of the parties hereto further acknowledges that the provisions of Section 8 and Section 9 hereof fairly allocate the risks in light of the ability of the parties to investigate the Company, its affairs and its business in order to assure that adequate disclosure has been made in the Registration Statement, any preliminary prospectus, the Time of Sale Prospectus and the Prospectus (and any amendments and supplements to the foregoing), as contemplated by the Securities Act and the Exchange Act.</w:t>
      </w:r>
    </w:p>
    <w:p>
      <w:pPr>
        <w:spacing w:after="0" w:line="3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40" w:name="page41"/>
    <w:bookmarkEnd w:id="40"/>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CM LIFE SCIENCES, INC.</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Brian Emes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Brian Emes</w:t>
      </w:r>
    </w:p>
    <w:p>
      <w:pPr>
        <w:spacing w:after="0" w:line="23"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 and Secretary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foregoing Underwriting Agreement is hereby confirmed and accepted by the Representative in New York, New York as of the date first above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JEFFERIES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Acting as Representative of the several Underwriters named in the attached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JEFFERIES LLC</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Tina Pappas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Tina Pappas</w:t>
      </w:r>
    </w:p>
    <w:p>
      <w:pPr>
        <w:spacing w:after="0" w:line="23" w:lineRule="exact"/>
        <w:rPr>
          <w:sz w:val="20"/>
          <w:szCs w:val="20"/>
          <w:color w:val="auto"/>
        </w:rPr>
      </w:pPr>
    </w:p>
    <w:p>
      <w:pPr>
        <w:ind w:left="460"/>
        <w:spacing w:after="0"/>
        <w:tabs>
          <w:tab w:leader="none" w:pos="10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41" w:name="page42"/>
    <w:bookmarkEnd w:id="4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Underwriters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ind w:left="4860"/>
        <w:spacing w:after="0"/>
        <w:rPr>
          <w:sz w:val="20"/>
          <w:szCs w:val="20"/>
          <w:color w:val="auto"/>
        </w:rPr>
      </w:pPr>
      <w:r>
        <w:rPr>
          <w:rFonts w:ascii="Times New Roman" w:cs="Times New Roman" w:eastAsia="Times New Roman" w:hAnsi="Times New Roman"/>
          <w:sz w:val="17"/>
          <w:szCs w:val="17"/>
          <w:b w:val="1"/>
          <w:bCs w:val="1"/>
          <w:color w:val="auto"/>
        </w:rPr>
        <w:t>Schedule A</w:t>
      </w:r>
    </w:p>
    <w:p>
      <w:pPr>
        <w:spacing w:after="0" w:line="23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Number of</w:t>
      </w:r>
    </w:p>
    <w:p>
      <w:pPr>
        <w:spacing w:after="0" w:line="3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Firm</w:t>
      </w:r>
    </w:p>
    <w:p>
      <w:pPr>
        <w:spacing w:after="0" w:line="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Securities</w:t>
      </w:r>
    </w:p>
    <w:p>
      <w:pPr>
        <w:spacing w:after="0" w:line="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to be</w:t>
      </w:r>
    </w:p>
    <w:p>
      <w:pPr>
        <w:spacing w:after="0" w:line="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5715</wp:posOffset>
            </wp:positionV>
            <wp:extent cx="7132320" cy="1797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38,500,000</w:t>
      </w:r>
    </w:p>
    <w:p>
      <w:pPr>
        <w:spacing w:after="0" w:line="6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38,500,000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17145</wp:posOffset>
            </wp:positionV>
            <wp:extent cx="70294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2860675</wp:posOffset>
            </wp:positionH>
            <wp:positionV relativeFrom="paragraph">
              <wp:posOffset>43180</wp:posOffset>
            </wp:positionV>
            <wp:extent cx="70294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10795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800" w:space="720"/>
            <w:col w:w="5720"/>
          </w:cols>
          <w:pgMar w:left="320" w:top="900"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Schedule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Time of Delivery Information</w:t>
      </w:r>
    </w:p>
    <w:p>
      <w:pPr>
        <w:spacing w:after="0" w:line="229" w:lineRule="exact"/>
        <w:rPr>
          <w:sz w:val="20"/>
          <w:szCs w:val="20"/>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offering price per unit: $10.00</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units offered: 38,500,000 (plus an additional 5,775,000 units subject to the underwriters’ over-allotment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Schedule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Permitted Section 5(d) Communications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Reference is made to the materials used in the testing the waters presentation made to potential investors by the Company, to the extent such materials are deemed to be a “written communication” within the meaning of Rule 405 under the Act.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Press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CM Life Sciences,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CM Life Sciences, Inc. (the “Company”) announced today that Jefferies LLC, the sole book-running manager and Representative of the underwriters in the Company’s recent public sale of 38,500,000 units, is [waiving] [releasing] a lock-up restriction with respect to the Company’s [shares of Class A common stock] [warrants] [units] held by [CMLS Holdings LLC, a Delaware limited liability company, the sponsor] [certain officers or directors] [an officer or director] of the Company. The [waiver] [release] will take effect on [Date], and the securities may be sold or otherwise disposed of on or after such date.</w:t>
      </w:r>
    </w:p>
    <w:p>
      <w:pPr>
        <w:spacing w:after="0" w:line="176"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CM LIFE SCIENCES, INC.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September 1, 2020</w:t>
      </w:r>
    </w:p>
    <w:p>
      <w:pPr>
        <w:spacing w:after="0" w:line="221" w:lineRule="exact"/>
        <w:rPr>
          <w:sz w:val="20"/>
          <w:szCs w:val="20"/>
          <w:color w:val="auto"/>
        </w:rPr>
      </w:pPr>
    </w:p>
    <w:p>
      <w:pPr>
        <w:ind w:right="500" w:firstLine="648"/>
        <w:spacing w:after="0" w:line="286" w:lineRule="auto"/>
        <w:rPr>
          <w:sz w:val="20"/>
          <w:szCs w:val="20"/>
          <w:color w:val="auto"/>
        </w:rPr>
      </w:pPr>
      <w:r>
        <w:rPr>
          <w:rFonts w:ascii="Times New Roman" w:cs="Times New Roman" w:eastAsia="Times New Roman" w:hAnsi="Times New Roman"/>
          <w:sz w:val="18"/>
          <w:szCs w:val="18"/>
          <w:color w:val="auto"/>
        </w:rPr>
        <w:t>CM Life Sciences, Inc., a corporation organized and existing under the laws of the State of Delaware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DOES HEREBY CERTIFY AS FOLLOWS:</w:t>
      </w:r>
    </w:p>
    <w:p>
      <w:pPr>
        <w:spacing w:after="0" w:line="159" w:lineRule="exact"/>
        <w:rPr>
          <w:sz w:val="20"/>
          <w:szCs w:val="20"/>
          <w:color w:val="auto"/>
        </w:rPr>
      </w:pPr>
    </w:p>
    <w:p>
      <w:pPr>
        <w:ind w:right="260" w:firstLine="656"/>
        <w:spacing w:after="0" w:line="266" w:lineRule="auto"/>
        <w:tabs>
          <w:tab w:leader="none" w:pos="82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“CM Life Sciences, Inc.” The original certificate of incorporation was filed with the Secretary of State of the State of Delaware on July 10, 2020 (the “</w:t>
      </w:r>
      <w:r>
        <w:rPr>
          <w:rFonts w:ascii="Times New Roman" w:cs="Times New Roman" w:eastAsia="Times New Roman" w:hAnsi="Times New Roman"/>
          <w:sz w:val="18"/>
          <w:szCs w:val="18"/>
          <w:b w:val="1"/>
          <w:bCs w:val="1"/>
          <w:i w:val="1"/>
          <w:iCs w:val="1"/>
          <w:color w:val="auto"/>
        </w:rPr>
        <w:t>Original Certificate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First Amendment and Restatement to the Original Certificate was filed with the Secretary of State of the State of Delaware on July 13, 2020 (the “</w:t>
      </w:r>
      <w:r>
        <w:rPr>
          <w:rFonts w:ascii="Times New Roman" w:cs="Times New Roman" w:eastAsia="Times New Roman" w:hAnsi="Times New Roman"/>
          <w:sz w:val="18"/>
          <w:szCs w:val="18"/>
          <w:b w:val="1"/>
          <w:bCs w:val="1"/>
          <w:i w:val="1"/>
          <w:iCs w:val="1"/>
          <w:color w:val="auto"/>
        </w:rPr>
        <w:t>First Amended and Restated Certificate</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ind w:right="20" w:firstLine="656"/>
        <w:spacing w:after="0" w:line="268" w:lineRule="auto"/>
        <w:tabs>
          <w:tab w:leader="none" w:pos="82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Second Amended and Restated Certificate of Incorporation (the “</w:t>
      </w:r>
      <w:r>
        <w:rPr>
          <w:rFonts w:ascii="Times New Roman" w:cs="Times New Roman" w:eastAsia="Times New Roman" w:hAnsi="Times New Roman"/>
          <w:sz w:val="18"/>
          <w:szCs w:val="18"/>
          <w:b w:val="1"/>
          <w:bCs w:val="1"/>
          <w:i w:val="1"/>
          <w:iCs w:val="1"/>
          <w:color w:val="auto"/>
        </w:rPr>
        <w:t>Amended and Restated Certificate</w:t>
      </w:r>
      <w:r>
        <w:rPr>
          <w:rFonts w:ascii="Times New Roman" w:cs="Times New Roman" w:eastAsia="Times New Roman" w:hAnsi="Times New Roman"/>
          <w:sz w:val="18"/>
          <w:szCs w:val="18"/>
          <w:color w:val="auto"/>
        </w:rPr>
        <w:t>”), which both restates and amends the provisions of the First Amended and Restated Certificate was duly adopted in accordance with Sections 228, 242 and 245 of the General Corporation Law of the State of Delaware, as amended from time to time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w:t>
      </w:r>
    </w:p>
    <w:p>
      <w:pPr>
        <w:spacing w:after="0" w:line="174"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Amended and Restated Certificate shall become effective on the date of filing with the Secretary of State of Delaware.</w:t>
      </w:r>
    </w:p>
    <w:p>
      <w:pPr>
        <w:spacing w:after="0" w:line="22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capitalized terms used in this Amended and Restated Certificate are defined where appropriate herein.</w:t>
      </w:r>
    </w:p>
    <w:p>
      <w:pPr>
        <w:spacing w:after="0" w:line="22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of the First Amended and Restated Certificate is hereby restated and amended in its entirety to read as follows: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name of the corporation is CM Life Sciences, Inc.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0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DGCL. In addition to the powers and privileges conferred upon the Corporation by law and those incidental thereto, the Corporation shall possess and may exercise all the powers and privileges that are necessary or convenient to the conduct, promotion or attainment of the business or purposes of the Corporation, including, but not limited to, effecting a merger, capital stock exchange, asset acquisition, stock purchase, reorganization or similar business combination involving the Corporation and one or more businesses (a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REGISTERED AGENT</w:t>
      </w:r>
    </w:p>
    <w:p>
      <w:pPr>
        <w:spacing w:after="0" w:line="207"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251 Little Falls Drive, in the City of Wilmington, County of New Castle, State of Delaware, 19808, and the name of the Corporation’s registered agent at such address is Corporation Service Company.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07" w:lineRule="exact"/>
        <w:rPr>
          <w:sz w:val="20"/>
          <w:szCs w:val="20"/>
          <w:color w:val="auto"/>
        </w:rPr>
      </w:pPr>
    </w:p>
    <w:p>
      <w:pPr>
        <w:ind w:right="20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Authorized Capital Stock</w:t>
      </w:r>
      <w:r>
        <w:rPr>
          <w:rFonts w:ascii="Times New Roman" w:cs="Times New Roman" w:eastAsia="Times New Roman" w:hAnsi="Times New Roman"/>
          <w:sz w:val="18"/>
          <w:szCs w:val="18"/>
          <w:color w:val="auto"/>
        </w:rPr>
        <w:t>. The total number of shares of all classes of capital stock, each with a par value of $0.0001 per share, which the Corporation is authorized to issue is 401,000,000 shares, consisting of (a) 400,000,000 shares of common stock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including (i) 380,000,000 shares of Class A common stock (the “</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and (ii) 20,000,000 shares of Class B common stock (the “</w:t>
      </w:r>
      <w:r>
        <w:rPr>
          <w:rFonts w:ascii="Times New Roman" w:cs="Times New Roman" w:eastAsia="Times New Roman" w:hAnsi="Times New Roman"/>
          <w:sz w:val="18"/>
          <w:szCs w:val="18"/>
          <w:b w:val="1"/>
          <w:bCs w:val="1"/>
          <w:i w:val="1"/>
          <w:iCs w:val="1"/>
          <w:color w:val="auto"/>
        </w:rPr>
        <w:t>Class B Common Stock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(b) 1,000,000 shares of preferred stock (the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8"/>
          <w:szCs w:val="18"/>
          <w:color w:val="auto"/>
        </w:rPr>
        <w:t>Effective September 1, 2020 (the “</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 each issued share of Class B Common Stock of the Corporation that is outstanding immediately prior to the Effective Time shall be converted into one and one-tenth issued and outstanding shares of Class B Common Stock, without further action on the part of the Corporation or the holders thereof and whether or not certificates representing such shares are surrendered for cancellation.</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i w:val="1"/>
          <w:iCs w:val="1"/>
          <w:color w:val="auto"/>
        </w:rPr>
        <w:t>Article IX</w:t>
      </w:r>
      <w:r>
        <w:rPr>
          <w:rFonts w:ascii="Times New Roman" w:cs="Times New Roman" w:eastAsia="Times New Roman" w:hAnsi="Times New Roman"/>
          <w:sz w:val="18"/>
          <w:szCs w:val="18"/>
          <w:color w:val="auto"/>
        </w:rPr>
        <w:t xml:space="preserve"> of this Amended and Restated Certificate, the Board of Directors of the Corporation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is hereby expressly authorized to provide out of the unissued shares of the Preferred Stock for one or more series of Preferred Stock and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establish from time to time the number of shares to be included in each such series and to fix the voting rights, if any, designations, powers, preferences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relative, participating, optional, special and other rights, if any, of each such series and any qualifications, limitations and restrictions thereof, as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stated in the resolution or resolutions adopted by the Board providing for the issuance of such series and included in a certificate of designation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Preferred Stock Designation</w:t>
      </w:r>
      <w:r>
        <w:rPr>
          <w:rFonts w:ascii="Times New Roman" w:cs="Times New Roman" w:eastAsia="Times New Roman" w:hAnsi="Times New Roman"/>
          <w:sz w:val="18"/>
          <w:szCs w:val="18"/>
          <w:color w:val="auto"/>
        </w:rPr>
        <w:t>”) filed pursuant to the DGCL, and the Board is hereby expressly vested with the authority to the full extent provided by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or hereafter, to adopt any such resolution or resolutions.</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Common Stock</w:t>
      </w:r>
    </w:p>
    <w:p>
      <w:pPr>
        <w:spacing w:after="0" w:line="225" w:lineRule="exact"/>
        <w:rPr>
          <w:sz w:val="20"/>
          <w:szCs w:val="20"/>
          <w:color w:val="auto"/>
        </w:rPr>
      </w:pPr>
    </w:p>
    <w:p>
      <w:pPr>
        <w:ind w:left="1540" w:hanging="236"/>
        <w:spacing w:after="0"/>
        <w:tabs>
          <w:tab w:leader="none" w:pos="1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w:t>
      </w:r>
    </w:p>
    <w:p>
      <w:pPr>
        <w:spacing w:after="0" w:line="225" w:lineRule="exact"/>
        <w:rPr>
          <w:rFonts w:ascii="Times New Roman" w:cs="Times New Roman" w:eastAsia="Times New Roman" w:hAnsi="Times New Roman"/>
          <w:sz w:val="18"/>
          <w:szCs w:val="18"/>
          <w:color w:val="auto"/>
        </w:rPr>
      </w:pPr>
    </w:p>
    <w:p>
      <w:pPr>
        <w:ind w:left="660" w:right="140" w:firstLine="1292"/>
        <w:spacing w:after="0" w:line="282" w:lineRule="auto"/>
        <w:tabs>
          <w:tab w:leader="none" w:pos="217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by law or this Amended and Restated Certificate (including any Preferred Stock Designation), the holders of the Common Stock shall exclusively possess all voting power with respect to the Corporation.</w:t>
      </w:r>
    </w:p>
    <w:p>
      <w:pPr>
        <w:spacing w:after="0" w:line="161" w:lineRule="exact"/>
        <w:rPr>
          <w:rFonts w:ascii="Times New Roman" w:cs="Times New Roman" w:eastAsia="Times New Roman" w:hAnsi="Times New Roman"/>
          <w:sz w:val="18"/>
          <w:szCs w:val="18"/>
          <w:color w:val="auto"/>
        </w:rPr>
      </w:pPr>
    </w:p>
    <w:p>
      <w:pPr>
        <w:jc w:val="both"/>
        <w:ind w:left="660" w:right="100" w:firstLine="1292"/>
        <w:spacing w:after="0" w:line="266" w:lineRule="auto"/>
        <w:tabs>
          <w:tab w:leader="none" w:pos="222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by law or this Amended and Restated Certificate (including any Preferred Stock Designation), the holders of shares of Common Stock shall be entitled to one vote for each such share on each matter properly submitted to the stockholders on which the holders of the Common Stock are entitled to vote.</w:t>
      </w:r>
    </w:p>
    <w:p>
      <w:pPr>
        <w:spacing w:after="0" w:line="175" w:lineRule="exact"/>
        <w:rPr>
          <w:rFonts w:ascii="Times New Roman" w:cs="Times New Roman" w:eastAsia="Times New Roman" w:hAnsi="Times New Roman"/>
          <w:sz w:val="18"/>
          <w:szCs w:val="18"/>
          <w:color w:val="auto"/>
        </w:rPr>
      </w:pPr>
    </w:p>
    <w:p>
      <w:pPr>
        <w:ind w:left="660" w:right="40" w:firstLine="1292"/>
        <w:spacing w:after="0" w:line="271" w:lineRule="auto"/>
        <w:tabs>
          <w:tab w:leader="none" w:pos="2271"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required by law or this Amended and Restated Certificate (including any Preferred Stock Designation), at any annual or special meeting of the stockholders of the Corporation, holders of the Class A Common Stock and holders of the Class B Common Stock, voting together as a single class, shall have the exclusive right to vote for the election of directors and on all other matters properly submitted to a vote of the stockholders. Notwithstanding the foregoing, except as otherwise required by law or this Amended and Restated Certificate (including any Preferred Stock Designation), holders of shares of any series of Common Stock shall not be entitled to vote on any amendment to this Amended and Restated Certificate (including any amendment to any Preferred Stock Designation) that relates solely to the terms of one or more issued and outstanding series of Preferred Stock or other series of Common Stock if the holders of such affected series of Preferred Stock or Common Stock, as applicable, are entitled exclusively, either separately or together with the holders of one or more other such series, to vote thereon pursuant to this Amended and Restated Certificate (including any Preferred Stock Designation) or the DGCL.</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47" w:name="page48"/>
    <w:bookmarkEnd w:id="47"/>
    <w:p>
      <w:pPr>
        <w:ind w:left="1300"/>
        <w:spacing w:after="0"/>
        <w:rPr>
          <w:sz w:val="20"/>
          <w:szCs w:val="20"/>
          <w:color w:val="auto"/>
        </w:rPr>
      </w:pPr>
      <w:r>
        <w:rPr>
          <w:rFonts w:ascii="Times New Roman" w:cs="Times New Roman" w:eastAsia="Times New Roman" w:hAnsi="Times New Roman"/>
          <w:sz w:val="18"/>
          <w:szCs w:val="18"/>
          <w:color w:val="auto"/>
        </w:rPr>
        <w:t>(b) Class B Common Stock.</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Shares of Class B Common Stock shall be convertible into shares of Class A Common Stock on a one-for-one basis (the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Initial Conversion Ratio</w:t>
      </w:r>
      <w:r>
        <w:rPr>
          <w:rFonts w:ascii="Times New Roman" w:cs="Times New Roman" w:eastAsia="Times New Roman" w:hAnsi="Times New Roman"/>
          <w:sz w:val="18"/>
          <w:szCs w:val="18"/>
          <w:color w:val="auto"/>
        </w:rPr>
        <w:t>”) automatically concurrently with or immediately following the closing of the initial Business Combination (as defined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below).</w:t>
      </w:r>
    </w:p>
    <w:p>
      <w:pPr>
        <w:spacing w:after="0" w:line="207" w:lineRule="exact"/>
        <w:rPr>
          <w:sz w:val="20"/>
          <w:szCs w:val="20"/>
          <w:color w:val="auto"/>
        </w:rPr>
      </w:pPr>
    </w:p>
    <w:p>
      <w:pPr>
        <w:ind w:left="660" w:firstLine="1292"/>
        <w:spacing w:after="0" w:line="252" w:lineRule="auto"/>
        <w:tabs>
          <w:tab w:leader="none" w:pos="222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Initial Conversion Ratio, in the case that additional shares of Class A Common Stock or equity-linked securities are issued or deemed issued in excess of the amounts sold in the Corporation’s initial public offering of securities (the “</w:t>
      </w:r>
      <w:r>
        <w:rPr>
          <w:rFonts w:ascii="Times New Roman" w:cs="Times New Roman" w:eastAsia="Times New Roman" w:hAnsi="Times New Roman"/>
          <w:sz w:val="18"/>
          <w:szCs w:val="18"/>
          <w:b w:val="1"/>
          <w:bCs w:val="1"/>
          <w:i w:val="1"/>
          <w:iCs w:val="1"/>
          <w:color w:val="auto"/>
        </w:rPr>
        <w:t>Offering</w:t>
      </w:r>
      <w:r>
        <w:rPr>
          <w:rFonts w:ascii="Times New Roman" w:cs="Times New Roman" w:eastAsia="Times New Roman" w:hAnsi="Times New Roman"/>
          <w:sz w:val="18"/>
          <w:szCs w:val="18"/>
          <w:color w:val="auto"/>
        </w:rPr>
        <w:t>”) and related to or in connection with the closing of the initial Business Combination, all issued and outstanding shares of Class B Common Stock shall automatically convert into shares of Class A Common Stock concurrently with or immediately following the closing of the initial Business Combination, the ratio for which the shares of Class B Common Stock shall convert into shares of Class A Common Stock will be adjusted so that the number of shares of Class A Common Stock issuable upon conversion of all shares of Class B Common Stock will equal, in the aggregate, 25% of the sum of (a) the total number of all shares of Class A Common Stock issued in the Offering (including any shares of Class A Common Stock issued pursuant to the underwriters’ over-allotment option) plus (b) the sum of (i) all shares of Class A Common Stock issued or deemed issued or issuable upon conversion or exercise of any equity-linked securities or rights issued or deemed issued in connection with or in relation to the consummation of a Business Combination (including any shares of Class A Common Stock issued pursuant to a forward purchase agreement), excluding any shares of Class A Common Stock issued or deemed issued or issuable upon conversion of the shares of Class B Common Stock in connection with the consummation of a Business Combination, any shares of Class A Common Stock or equity-linked securities or rights issued, or to be issued, to any seller in a Business Combination, any private placement warrants issued to CMLS Holdings LLC (the “</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or an affiliate of the Sponsor or the Corporation’s officers and directors upon the conversion of working capital loans made to the Corporation and any warrants issued pursuant to a forward purchase agreement, minus (ii) the number of shares of Class A Common Stock redeemed in connection with a Business Combination, provided that such conversion of shares of Class B Common Stock shall never be less than the Initial Conversion Ratio. The term “</w:t>
      </w:r>
      <w:r>
        <w:rPr>
          <w:rFonts w:ascii="Times New Roman" w:cs="Times New Roman" w:eastAsia="Times New Roman" w:hAnsi="Times New Roman"/>
          <w:sz w:val="18"/>
          <w:szCs w:val="18"/>
          <w:b w:val="1"/>
          <w:bCs w:val="1"/>
          <w:i w:val="1"/>
          <w:iCs w:val="1"/>
          <w:color w:val="auto"/>
        </w:rPr>
        <w:t>equity-linked securities</w:t>
      </w:r>
      <w:r>
        <w:rPr>
          <w:rFonts w:ascii="Times New Roman" w:cs="Times New Roman" w:eastAsia="Times New Roman" w:hAnsi="Times New Roman"/>
          <w:sz w:val="18"/>
          <w:szCs w:val="18"/>
          <w:color w:val="auto"/>
        </w:rPr>
        <w:t>” refers to any debt or equity securities that are convertible, exercisable or exchangeable for shares of Class A common stock issued in a financing transaction in connection with the initial Business Combination, including, but not limited to, a private placement of equity or debt.</w:t>
      </w:r>
    </w:p>
    <w:p>
      <w:pPr>
        <w:spacing w:after="0" w:line="191"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Notwithstanding anything to the contrary contained herein, (i) the foregoing adjustment to the Initial Conversion Ratio may be waived as to any particular issuance or deemed issuance of additional shares of Class A Common Stock or equity-linked securities by the written consent or agreement of holders of a majority of the shares of Class B Common Stock then issued and outstanding consenting or agreeing separately as a single class in the manner provided in </w:t>
      </w:r>
      <w:r>
        <w:rPr>
          <w:rFonts w:ascii="Times New Roman" w:cs="Times New Roman" w:eastAsia="Times New Roman" w:hAnsi="Times New Roman"/>
          <w:sz w:val="18"/>
          <w:szCs w:val="18"/>
          <w:u w:val="single" w:color="auto"/>
          <w:color w:val="auto"/>
        </w:rPr>
        <w:t>Section 4.3(b)(iii)</w:t>
      </w:r>
      <w:r>
        <w:rPr>
          <w:rFonts w:ascii="Times New Roman" w:cs="Times New Roman" w:eastAsia="Times New Roman" w:hAnsi="Times New Roman"/>
          <w:sz w:val="18"/>
          <w:szCs w:val="18"/>
          <w:color w:val="auto"/>
        </w:rPr>
        <w:t>, and (ii) in no event shall the Class B Common Stock convert into Class A Common Stock at a ratio that is less than one-for-one.</w:t>
      </w:r>
    </w:p>
    <w:p>
      <w:pPr>
        <w:spacing w:after="0" w:line="183"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foregoing conversion ratio shall also be adjusted to account for any subdivision (by stock split, subdivision, exchange, stock dividend, reclassification, recapitalization or otherwise) or combination (by reverse stock split, exchange, reclassification, recapitalization or otherwise) or similar reclassification or recapitalization of the issued and outstanding shares of Class A Common Stock into a greater or lesser number of shares occurring after the original filing of this Amended and Restated Certificate without a proportionate and corresponding subdivision, combination or similar reclassification or recapitalization of the issued and outstanding shares of Class B Common Stock.</w:t>
      </w: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8" w:name="page49"/>
    <w:bookmarkEnd w:id="48"/>
    <w:p>
      <w:pPr>
        <w:ind w:right="60" w:firstLine="648"/>
        <w:spacing w:after="0" w:line="257" w:lineRule="auto"/>
        <w:rPr>
          <w:sz w:val="20"/>
          <w:szCs w:val="20"/>
          <w:color w:val="auto"/>
        </w:rPr>
      </w:pPr>
      <w:r>
        <w:rPr>
          <w:rFonts w:ascii="Times New Roman" w:cs="Times New Roman" w:eastAsia="Times New Roman" w:hAnsi="Times New Roman"/>
          <w:sz w:val="18"/>
          <w:szCs w:val="18"/>
          <w:color w:val="auto"/>
        </w:rPr>
        <w:t xml:space="preserve">Each share of Class B Common Stock shall convert into its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number of shares of Class A Common Stock pursuant to this </w:t>
      </w:r>
      <w:r>
        <w:rPr>
          <w:rFonts w:ascii="Times New Roman" w:cs="Times New Roman" w:eastAsia="Times New Roman" w:hAnsi="Times New Roman"/>
          <w:sz w:val="18"/>
          <w:szCs w:val="18"/>
          <w:u w:val="single" w:color="auto"/>
          <w:color w:val="auto"/>
        </w:rPr>
        <w:t>Section 4.3(b)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for each holder of Class B Common Stock will be determined as follows: Each share of Class B Common Stock shall convert into such number of shares of Class A Common Stock as is equal to the product of one (1) multiplied by a fraction, the numerator of which shall be the total number of shares of Class A Common Stock into which all of the issued and outstanding shares of Class B Common Stock shall be converted pursuant to this </w:t>
      </w:r>
      <w:r>
        <w:rPr>
          <w:rFonts w:ascii="Times New Roman" w:cs="Times New Roman" w:eastAsia="Times New Roman" w:hAnsi="Times New Roman"/>
          <w:sz w:val="18"/>
          <w:szCs w:val="18"/>
          <w:u w:val="single" w:color="auto"/>
          <w:color w:val="auto"/>
        </w:rPr>
        <w:t>Section 4.3(b)</w:t>
      </w:r>
      <w:r>
        <w:rPr>
          <w:rFonts w:ascii="Times New Roman" w:cs="Times New Roman" w:eastAsia="Times New Roman" w:hAnsi="Times New Roman"/>
          <w:sz w:val="18"/>
          <w:szCs w:val="18"/>
          <w:color w:val="auto"/>
        </w:rPr>
        <w:t xml:space="preserve"> and the denominator of which shall be the total number of issued and outstanding shares of Class B Common Stock at the time of conversion.</w:t>
      </w:r>
    </w:p>
    <w:p>
      <w:pPr>
        <w:spacing w:after="0" w:line="182" w:lineRule="exact"/>
        <w:rPr>
          <w:sz w:val="20"/>
          <w:szCs w:val="20"/>
          <w:color w:val="auto"/>
        </w:rPr>
      </w:pPr>
    </w:p>
    <w:p>
      <w:pPr>
        <w:ind w:left="660" w:firstLine="1292"/>
        <w:spacing w:after="0" w:line="252" w:lineRule="auto"/>
        <w:tabs>
          <w:tab w:leader="none" w:pos="227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Voting. </w:t>
      </w:r>
      <w:r>
        <w:rPr>
          <w:rFonts w:ascii="Times New Roman" w:cs="Times New Roman" w:eastAsia="Times New Roman" w:hAnsi="Times New Roman"/>
          <w:sz w:val="18"/>
          <w:szCs w:val="18"/>
          <w:color w:val="auto"/>
        </w:rPr>
        <w:t>Except as otherwise required by law or this Amended and Restated Certificate (including any Preferred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Designation), for so long as any shares of Class B Common Stock shall remain outstanding, the Corporation shall not, without the prior vote or written consent of the holders of a majority of the shares of Class B Common Stock then issued and outstanding, voting separately as a single class, amend, alter or repeal any provision of this Amended and Restated Certificate, whether by merger, consolidation or otherwise, if such amendment, alteration or repeal would alter or change the powers, preferences or relative, participating, optional or other or special rights of the Class B Common Stock. Any action required or permitted to be taken at any meeting of the holders of Class B Common Stock may be taken without a meeting, without prior notice and without a vote, if a consent or consents in writing, setting forth the action so taken, shall be signed by the holders of the issued and outstanding Class B Common Stock having not less than the minimum number of votes that would be necessary to authorize or take such action at a meeting at which all shares of Class B Common Stock were present and voted and shall be delivered to the Corporation by delivery to its registered office in the State of Delaware, its principal place of business, or an officer or agent of the Corporation having custody of the book in which minutes of proceedings of stockholders are recorded. Delivery made to the Corporation’s registered office shall be by hand or by certified or registered mail, return receipt requested. Prompt written notice of the taking of corporate action without a meeting by less than unanimous written consent of the holders of Class B Common Stock shall, to the extent required by law, be given to those holders of Class B Common Stock who have not consented in writing and who, if the action had been taken at a meeting, would have been entitled to notice of the meeting if the record date for notice of such meeting had been the date that written consents signed by a sufficient number of holders of Class B Common Stock to take the action were delivered to the Corporation</w:t>
      </w:r>
    </w:p>
    <w:p>
      <w:pPr>
        <w:spacing w:after="0" w:line="194" w:lineRule="exact"/>
        <w:rPr>
          <w:rFonts w:ascii="Times New Roman" w:cs="Times New Roman" w:eastAsia="Times New Roman" w:hAnsi="Times New Roman"/>
          <w:sz w:val="18"/>
          <w:szCs w:val="18"/>
          <w:color w:val="auto"/>
        </w:rPr>
      </w:pPr>
    </w:p>
    <w:p>
      <w:pPr>
        <w:ind w:right="140" w:firstLine="1304"/>
        <w:spacing w:after="0" w:line="261" w:lineRule="auto"/>
        <w:tabs>
          <w:tab w:leader="none" w:pos="1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Subject to applicable law, the rights, if any, of the holders of any issued and outstanding series of the Preferred Stock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provisions of </w:t>
      </w:r>
      <w:r>
        <w:rPr>
          <w:rFonts w:ascii="Times New Roman" w:cs="Times New Roman" w:eastAsia="Times New Roman" w:hAnsi="Times New Roman"/>
          <w:sz w:val="18"/>
          <w:szCs w:val="18"/>
          <w:i w:val="1"/>
          <w:iCs w:val="1"/>
          <w:color w:val="auto"/>
        </w:rPr>
        <w:t>Article IX</w:t>
      </w:r>
      <w:r>
        <w:rPr>
          <w:rFonts w:ascii="Times New Roman" w:cs="Times New Roman" w:eastAsia="Times New Roman" w:hAnsi="Times New Roman"/>
          <w:sz w:val="18"/>
          <w:szCs w:val="18"/>
          <w:color w:val="auto"/>
        </w:rPr>
        <w:t xml:space="preserve"> hereof, the holders of shares of Common Stock shall be entitled to receive such dividends and other distributions (payable in cash, property or capital stock of the Corporation) when, as and if declared thereon by the Board from time to time out of any assets or funds of the Corporation legally available therefor and shall share equally on a per share basis in such dividends and distributions.</w:t>
      </w:r>
    </w:p>
    <w:p>
      <w:pPr>
        <w:spacing w:after="0" w:line="179" w:lineRule="exact"/>
        <w:rPr>
          <w:rFonts w:ascii="Times New Roman" w:cs="Times New Roman" w:eastAsia="Times New Roman" w:hAnsi="Times New Roman"/>
          <w:sz w:val="18"/>
          <w:szCs w:val="18"/>
          <w:color w:val="auto"/>
        </w:rPr>
      </w:pPr>
    </w:p>
    <w:p>
      <w:pPr>
        <w:ind w:right="40" w:firstLine="1304"/>
        <w:spacing w:after="0" w:line="258" w:lineRule="auto"/>
        <w:tabs>
          <w:tab w:leader="none" w:pos="155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Liquidation, Dissolution or Winding Up of the Corporation. </w:t>
      </w:r>
      <w:r>
        <w:rPr>
          <w:rFonts w:ascii="Times New Roman" w:cs="Times New Roman" w:eastAsia="Times New Roman" w:hAnsi="Times New Roman"/>
          <w:sz w:val="18"/>
          <w:szCs w:val="18"/>
          <w:color w:val="auto"/>
        </w:rPr>
        <w:t>Subject to applicable law, the rights, if any, of the holders of any issued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outstanding series of the Preferred Stock and the provisions of </w:t>
      </w:r>
      <w:r>
        <w:rPr>
          <w:rFonts w:ascii="Times New Roman" w:cs="Times New Roman" w:eastAsia="Times New Roman" w:hAnsi="Times New Roman"/>
          <w:sz w:val="18"/>
          <w:szCs w:val="18"/>
          <w:i w:val="1"/>
          <w:iCs w:val="1"/>
          <w:color w:val="auto"/>
        </w:rPr>
        <w:t>Article IX</w:t>
      </w:r>
      <w:r>
        <w:rPr>
          <w:rFonts w:ascii="Times New Roman" w:cs="Times New Roman" w:eastAsia="Times New Roman" w:hAnsi="Times New Roman"/>
          <w:sz w:val="18"/>
          <w:szCs w:val="18"/>
          <w:color w:val="auto"/>
        </w:rPr>
        <w:t xml:space="preserve"> hereof, in the event of any voluntary or involuntary liquidation, dissolution or winding up of the Corporation, after payment or provision for payment of the debts and other liabilities of the Corporation, the holders of shares of Common Stock shall be entitled to receive all the remaining assets of the Corporation available for distribution to its stockholders, ratably in proportion to the number of shares of Common Stock held by them.</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49" w:name="page50"/>
    <w:bookmarkEnd w:id="49"/>
    <w:p>
      <w:pPr>
        <w:ind w:right="6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Rights and Options</w:t>
      </w:r>
      <w:r>
        <w:rPr>
          <w:rFonts w:ascii="Times New Roman" w:cs="Times New Roman" w:eastAsia="Times New Roman" w:hAnsi="Times New Roman"/>
          <w:sz w:val="18"/>
          <w:szCs w:val="18"/>
          <w:color w:val="auto"/>
        </w:rPr>
        <w:t>. The Corporation has the authority to create and issue rights, warrants and options entitling the holders thereof to acquire from the Corporation any shares of its capital stock of any class or classes, with such rights, warrants and options to be evidenced by or in instrument(s) approved by the Board. The Board is empowered to set the exercise price, duration, times for exercise and other terms and conditions of such rights, warrants or options; provided, however, that the consideration to be received for any shares of capital stock issuable upon exercise thereof may not be less than the par value thereof.</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07" w:lineRule="exact"/>
        <w:rPr>
          <w:sz w:val="20"/>
          <w:szCs w:val="20"/>
          <w:color w:val="auto"/>
        </w:rPr>
      </w:pPr>
    </w:p>
    <w:p>
      <w:pPr>
        <w:ind w:right="32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Board Powers</w:t>
      </w:r>
      <w:r>
        <w:rPr>
          <w:rFonts w:ascii="Times New Roman" w:cs="Times New Roman" w:eastAsia="Times New Roman" w:hAnsi="Times New Roman"/>
          <w:sz w:val="18"/>
          <w:szCs w:val="18"/>
          <w:color w:val="auto"/>
        </w:rPr>
        <w:t xml:space="preserve">. The business and affairs of the Corporation shall be managed by, or under the direction of, the Board. In addition to the powers and authority expressly conferred upon the Board by statute, this Amended and Restated Certificate or the Bylaws of the Corporation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Board is hereby empowered to exercise all such powers and do all such acts and things as may be exercised or done by the Corporation, subject, nevertheless, to the provisions of the DGCL, this Amended and Restated Certificate and any Bylaws adopted by the stockholders; provided, however, that no Bylaws hereafter adopted by the stockholders shall invalidate any prior act of the Board that would have been valid if such Bylaws had not been adopted.</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Number, Election and Term.</w:t>
      </w:r>
    </w:p>
    <w:p>
      <w:pPr>
        <w:spacing w:after="0" w:line="225" w:lineRule="exact"/>
        <w:rPr>
          <w:sz w:val="20"/>
          <w:szCs w:val="20"/>
          <w:color w:val="auto"/>
        </w:rPr>
      </w:pPr>
    </w:p>
    <w:p>
      <w:pPr>
        <w:ind w:right="60" w:firstLine="1304"/>
        <w:spacing w:after="0" w:line="266" w:lineRule="auto"/>
        <w:tabs>
          <w:tab w:leader="none" w:pos="154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directors of the Corporation, other than those who may be elected by the holders of one or more series of the Preferred Stock voting separately by class or series, shall be fixed from time to time exclusively by the Board pursuant to a resolution adopted by a majority of the Board.</w:t>
      </w:r>
    </w:p>
    <w:p>
      <w:pPr>
        <w:spacing w:after="0" w:line="175" w:lineRule="exact"/>
        <w:rPr>
          <w:rFonts w:ascii="Times New Roman" w:cs="Times New Roman" w:eastAsia="Times New Roman" w:hAnsi="Times New Roman"/>
          <w:sz w:val="18"/>
          <w:szCs w:val="18"/>
          <w:color w:val="auto"/>
        </w:rPr>
      </w:pPr>
    </w:p>
    <w:p>
      <w:pPr>
        <w:ind w:firstLine="1304"/>
        <w:spacing w:after="0" w:line="252" w:lineRule="auto"/>
        <w:tabs>
          <w:tab w:leader="none" w:pos="155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hereof, the Board shall be divided into three classes, as nearly equal in number as possible and designated Class I, Class II and Class III. The Board is authorized to assign members of the Board already in office to Class I, Class II or Class III. The term of the initial Class I Directors shall expire at the first annual meeting of the stockholders of the Corporation following the effectiveness of this Amended and Restated Certificate, the term of the initial Class II Directors shall expire at the second annual meeting of the stockholders of the Corporation following the effectiveness of this Amended and Restated Certificate and the term of the initial Class III Directors shall expire at the third annual meeting of the stockholders of the Corporation following the effectiveness of this Amended and Restated Certificate. At each succeeding annual meeting of the stockholders of the Corporation, beginning with the first annual meeting of the stockholders of the Corporation following the effectiveness of this Amended and Restated Certificate, each of the successors elected to replace the class of directors whose term expires at that annual meeting shall be elected for a three-year term or until the election and qualification of their respective successors in office, subject to their earlier death, resignation or removal. Subject to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hereof, if the number of directors that constitutes the Board is changed, any increase or decrease shall be apportioned by the Board among the classes so as to maintain the number of directors in each class as nearly equal as possible, but in no case shall a decrease in the number of directors constituting the Board shorten the term of any incumbent director. Subject to the rights of the holders of one or more series of Preferred Stock, voting separately by class or series, to elect directors pursuant to the terms of one or more series of Preferred Stock, the election of directors shall be determined by a plurality of the votes cast by the stockholders present in person or represented by proxy at the meeting and entitled to vote thereon. The Board is hereby expressly authorized, by resolution or resolutions thereof, to assign members of the Board already in office to the aforesaid classes at the time this Amended and Restated Certificate (and therefore such classification) becomes effective in accordance with the DGCL.</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ind w:right="300" w:firstLine="1304"/>
        <w:spacing w:after="0" w:line="266" w:lineRule="auto"/>
        <w:tabs>
          <w:tab w:leader="none" w:pos="154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hereof, a director shall hold office until the annual meeting for the year in which his or her term expires and until his or her successor has been elected and qualified, subject, however, to such director’s earlier death, resignation, retirement, disqualification or removal.</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and except to the extent that the Bylaws shall so require, the election of directors need not be by written ballot.</w:t>
      </w:r>
    </w:p>
    <w:p>
      <w:pPr>
        <w:spacing w:after="0" w:line="225" w:lineRule="exact"/>
        <w:rPr>
          <w:sz w:val="20"/>
          <w:szCs w:val="20"/>
          <w:color w:val="auto"/>
        </w:rPr>
      </w:pPr>
    </w:p>
    <w:p>
      <w:pPr>
        <w:ind w:right="10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Newly Created Directorships and Vacancies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hereof, newly created directorships resulting from an increase in the number of directors and any vacancies on the Board resulting from death, resignation, retirement, disqualification, removal or other cause may be filled solely and exclusively by a majority vote of the remaining directors then in office, even if less than a quorum or by a sole remaining director (and not by stockholders), and any director so chosen shall hold office for the remainder of the full term of the class of directors to which the new directorship was added or in which the vacancy occurred and until his or her successor has been elected and qualified, subject, however, to such director’s earlier death, resignation, retirement, disqualification or removal.</w:t>
      </w:r>
    </w:p>
    <w:p>
      <w:pPr>
        <w:spacing w:after="0" w:line="187"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hereof, any or all of the directors may be removed from office at any time, but only for cause and only by the affirmative vote of holders of a majority of the voting power of all then issued and outstanding shares of capital stock of the Corporation entitled to vote generally in the election of directors, voting together as a single class.</w:t>
      </w:r>
    </w:p>
    <w:p>
      <w:pPr>
        <w:spacing w:after="0" w:line="174" w:lineRule="exact"/>
        <w:rPr>
          <w:sz w:val="20"/>
          <w:szCs w:val="20"/>
          <w:color w:val="auto"/>
        </w:rPr>
      </w:pPr>
    </w:p>
    <w:p>
      <w:pPr>
        <w:ind w:right="8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Preferred Stock - Directors</w:t>
      </w:r>
      <w:r>
        <w:rPr>
          <w:rFonts w:ascii="Times New Roman" w:cs="Times New Roman" w:eastAsia="Times New Roman" w:hAnsi="Times New Roman"/>
          <w:sz w:val="18"/>
          <w:szCs w:val="18"/>
          <w:color w:val="auto"/>
        </w:rPr>
        <w:t xml:space="preserve">. Notwithstanding any other provision of this </w:t>
      </w:r>
      <w:r>
        <w:rPr>
          <w:rFonts w:ascii="Times New Roman" w:cs="Times New Roman" w:eastAsia="Times New Roman" w:hAnsi="Times New Roman"/>
          <w:sz w:val="18"/>
          <w:szCs w:val="18"/>
          <w:i w:val="1"/>
          <w:iCs w:val="1"/>
          <w:color w:val="auto"/>
        </w:rPr>
        <w:t>Article V,</w:t>
      </w:r>
      <w:r>
        <w:rPr>
          <w:rFonts w:ascii="Times New Roman" w:cs="Times New Roman" w:eastAsia="Times New Roman" w:hAnsi="Times New Roman"/>
          <w:sz w:val="18"/>
          <w:szCs w:val="18"/>
          <w:color w:val="auto"/>
        </w:rPr>
        <w:t xml:space="preserve"> and except as otherwise required by law, whenever the holders of one or more series of the Preferred Stock shall have the right, voting separately by class or series, to elect one or more directors, the term of office, the filling of vacancies, the removal from office and other features of such directorships shall be governed by the terms of such series of the Preferred Stock as set forth in this Amended and Restated Certificate (including any Preferred Stock Designation) and such directors shall not be included in any of the classes created pursuant to this </w:t>
      </w:r>
      <w:r>
        <w:rPr>
          <w:rFonts w:ascii="Times New Roman" w:cs="Times New Roman" w:eastAsia="Times New Roman" w:hAnsi="Times New Roman"/>
          <w:sz w:val="18"/>
          <w:szCs w:val="18"/>
          <w:i w:val="1"/>
          <w:iCs w:val="1"/>
          <w:color w:val="auto"/>
        </w:rPr>
        <w:t>Article V</w:t>
      </w:r>
      <w:r>
        <w:rPr>
          <w:rFonts w:ascii="Times New Roman" w:cs="Times New Roman" w:eastAsia="Times New Roman" w:hAnsi="Times New Roman"/>
          <w:sz w:val="18"/>
          <w:szCs w:val="18"/>
          <w:color w:val="auto"/>
        </w:rPr>
        <w:t xml:space="preserve"> unless expressly provided by such terms.</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A quorum for the transaction of business by the directors shall be set forth in the Bylaws.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20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furtherance and not in limitation of the powers conferred upon it by law, the Board shall have the power and is expressly authorized to adopt, amend, alter or repeal the Bylaws. The affirmative vote of a majority of the Board shall be required to adopt, amend, alter or repeal the Bylaws. The Bylaws also may be adopted, amended, altered or repealed by the stockholders of the Corporation; provided, however, that in addition to any vote of the holders of any class or series of capital stock of the Corporation required by law or by this Amended and Restated Certificate (including any Preferred Stock Designation), the affirmative vote of the holders of at least a majority of the voting power of all then issued and outstanding shares of capital stock of the Corporation entitled to vote generally in the election of directors, voting together as a single class, shall be required for the stockholders of the Corporation to adopt, amend, alter or repeal the Bylaws; and provided further, however, that no Bylaws hereafter adopted by the stockholders of the Corporation shall invalidate any prior act of the Board that would have been valid if such Bylaws had not been adopted.</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MEETINGS OF STOCKHOLDERS; ACTION BY WRITTEN CONSENT</w:t>
      </w:r>
    </w:p>
    <w:p>
      <w:pPr>
        <w:spacing w:after="0" w:line="207" w:lineRule="exact"/>
        <w:rPr>
          <w:sz w:val="20"/>
          <w:szCs w:val="20"/>
          <w:color w:val="auto"/>
        </w:rPr>
      </w:pPr>
    </w:p>
    <w:p>
      <w:pPr>
        <w:ind w:right="10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Meetings</w:t>
      </w:r>
      <w:r>
        <w:rPr>
          <w:rFonts w:ascii="Times New Roman" w:cs="Times New Roman" w:eastAsia="Times New Roman" w:hAnsi="Times New Roman"/>
          <w:sz w:val="18"/>
          <w:szCs w:val="18"/>
          <w:color w:val="auto"/>
        </w:rPr>
        <w:t>. Subject to the rights, if any, of the holders of any issued and outstanding series of the Preferred Stock, and to the requirements of applicable law, special meetings of stockholders of the Corporation may be called only by the Chairman of the Board, Chief Executive Officer of the Corporation, or the Board pursuant to a resolution adopted by a majority of the Board, and the ability of the stockholders of the Corporation to call a special meeting is hereby specifically denied. Except as provided in the foregoing sentence, special meetings of stockholders may not be called by another person or persons.</w:t>
      </w:r>
    </w:p>
    <w:p>
      <w:pPr>
        <w:spacing w:after="0" w:line="183" w:lineRule="exact"/>
        <w:rPr>
          <w:sz w:val="20"/>
          <w:szCs w:val="20"/>
          <w:color w:val="auto"/>
        </w:rPr>
      </w:pPr>
    </w:p>
    <w:p>
      <w:pPr>
        <w:ind w:right="30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Advance Notice</w:t>
      </w:r>
      <w:r>
        <w:rPr>
          <w:rFonts w:ascii="Times New Roman" w:cs="Times New Roman" w:eastAsia="Times New Roman" w:hAnsi="Times New Roman"/>
          <w:sz w:val="18"/>
          <w:szCs w:val="18"/>
          <w:color w:val="auto"/>
        </w:rPr>
        <w:t>. Advance notice of stockholder nominations for the election of directors and of business to be brought by stockholders before any meeting of the stockholders of the Corporation shall be given in the manner provided in the Bylaws.</w:t>
      </w:r>
    </w:p>
    <w:p>
      <w:pPr>
        <w:spacing w:after="0" w:line="162" w:lineRule="exact"/>
        <w:rPr>
          <w:sz w:val="20"/>
          <w:szCs w:val="20"/>
          <w:color w:val="auto"/>
        </w:rPr>
      </w:pPr>
    </w:p>
    <w:p>
      <w:pPr>
        <w:ind w:right="12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Action by Written Consent</w:t>
      </w:r>
      <w:r>
        <w:rPr>
          <w:rFonts w:ascii="Times New Roman" w:cs="Times New Roman" w:eastAsia="Times New Roman" w:hAnsi="Times New Roman"/>
          <w:sz w:val="18"/>
          <w:szCs w:val="18"/>
          <w:color w:val="auto"/>
        </w:rPr>
        <w:t>. Except as may be otherwise provided for or fixed pursuant to this Amended and Restated Certificate (including any Preferred Stock Designation) relating to the rights of the holders of any issued and outstanding series of Preferred Stock, subsequent to the consummation of the Offering, any action required or permitted to be taken by the stockholders of the Corporation must be effected by a duly called annual or special meeting of such stockholders and may not be effected by written consent of the stockholders of the Corporation other than with respect to the Class B Common Stock with respect to which action may be taken by written consent.</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LIMITED LIABILITY; INDEMNIFICATION</w:t>
      </w:r>
    </w:p>
    <w:p>
      <w:pPr>
        <w:spacing w:after="0" w:line="207" w:lineRule="exact"/>
        <w:rPr>
          <w:sz w:val="20"/>
          <w:szCs w:val="20"/>
          <w:color w:val="auto"/>
        </w:rPr>
      </w:pPr>
    </w:p>
    <w:p>
      <w:pPr>
        <w:ind w:right="80"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Limitation of Director Liability</w:t>
      </w:r>
      <w:r>
        <w:rPr>
          <w:rFonts w:ascii="Times New Roman" w:cs="Times New Roman" w:eastAsia="Times New Roman" w:hAnsi="Times New Roman"/>
          <w:sz w:val="18"/>
          <w:szCs w:val="18"/>
          <w:color w:val="auto"/>
        </w:rPr>
        <w:t>. A director of the Corporation shall not be personally liable to the Corporation or its stockholders for monetary damages for breach of fiduciary duty as a director, except to the extent such exemption from liability or limitation thereof is not permitted under the DGCL as the same exists or may hereafter be amended unless a director violated his or her duty of loyalty to the Corporation or its stockholders, acted in bad faith, knowingly or intentionally violated the law, authorized unlawful payments of dividends, unlawful stock purchases or unlawful redemptions, or derived improper personal benefit from his or her actions as a director. Any amendment, modification or repeal of the foregoing sentence shall not adversely affect any right or protection of a director of the Corporation hereunder in respect of any act or omission occurring prior to the time of such amendment, modification or repeal.</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8.2 Indemnification and Advancement of Expenses.</w:t>
      </w:r>
    </w:p>
    <w:p>
      <w:pPr>
        <w:spacing w:after="0" w:line="225" w:lineRule="exact"/>
        <w:rPr>
          <w:sz w:val="20"/>
          <w:szCs w:val="20"/>
          <w:color w:val="auto"/>
        </w:rPr>
      </w:pPr>
    </w:p>
    <w:p>
      <w:pPr>
        <w:ind w:firstLine="1304"/>
        <w:spacing w:after="0" w:line="252" w:lineRule="auto"/>
        <w:tabs>
          <w:tab w:leader="none" w:pos="154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applicable law, as the same exists or may hereafter be amended, the Corporation shall indemnify and hold harmless each person who is or was made a party or is threatened to be made a party to or is otherwise involved in any threatened, pending or completed action, suit or proceeding, whether civil, criminal, administrative or investigative (a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(an “</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judgments, fines, ERISA excise taxes and penalties and amounts paid in settlement) reasonably incurred by such indemnitee in connection with such proceeding. The Corporation shall to the fullest extent not prohibited by applicable law pay the expenses (including attorneys’ fees) incurred by an indemnitee in defending or otherwise participating in any proceeding in advance of its final disposition; provided, however, that, to the extent required by applicable law, such payment of expenses in advance of the final disposition of the proceeding shall be made only upon receipt of an undertaking, by or on behalf of the indemnitee, to repay all amounts so advanced if it shall ultimately be determined that the indemnitee is not entitled to be indemnified under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or otherwise. The rights to indemnification and advancement of expenses conferred by this </w:t>
      </w:r>
      <w:r>
        <w:rPr>
          <w:rFonts w:ascii="Times New Roman" w:cs="Times New Roman" w:eastAsia="Times New Roman" w:hAnsi="Times New Roman"/>
          <w:sz w:val="18"/>
          <w:szCs w:val="18"/>
          <w:u w:val="single" w:color="auto"/>
          <w:color w:val="auto"/>
        </w:rPr>
        <w:t>Section</w:t>
      </w:r>
    </w:p>
    <w:p>
      <w:pPr>
        <w:spacing w:after="0" w:line="1" w:lineRule="exact"/>
        <w:rPr>
          <w:rFonts w:ascii="Times New Roman" w:cs="Times New Roman" w:eastAsia="Times New Roman" w:hAnsi="Times New Roman"/>
          <w:sz w:val="18"/>
          <w:szCs w:val="18"/>
          <w:color w:val="auto"/>
        </w:rPr>
      </w:pPr>
    </w:p>
    <w:p>
      <w:pPr>
        <w:ind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8.2</w:t>
      </w:r>
      <w:r>
        <w:rPr>
          <w:rFonts w:ascii="Times New Roman" w:cs="Times New Roman" w:eastAsia="Times New Roman" w:hAnsi="Times New Roman"/>
          <w:sz w:val="18"/>
          <w:szCs w:val="18"/>
          <w:color w:val="auto"/>
        </w:rPr>
        <w:t xml:space="preserve"> shall be contract rights and such rights shall continue as to an indemnitee who has ceased to be a director, officer, employee or agent and shall inure to the benefit of his or her heirs, executors and administrators. Notwithstanding the foregoing provisions of this </w:t>
      </w:r>
      <w:r>
        <w:rPr>
          <w:rFonts w:ascii="Times New Roman" w:cs="Times New Roman" w:eastAsia="Times New Roman" w:hAnsi="Times New Roman"/>
          <w:sz w:val="18"/>
          <w:szCs w:val="18"/>
          <w:u w:val="single" w:color="auto"/>
          <w:color w:val="auto"/>
        </w:rPr>
        <w:t>Section 8.2(a)</w:t>
      </w:r>
      <w:r>
        <w:rPr>
          <w:rFonts w:ascii="Times New Roman" w:cs="Times New Roman" w:eastAsia="Times New Roman" w:hAnsi="Times New Roman"/>
          <w:sz w:val="18"/>
          <w:szCs w:val="18"/>
          <w:color w:val="auto"/>
        </w:rPr>
        <w:t>, except for proceedings to enforce rights to indemnification and advancement of expenses, the Corporation shall indemnify and advance expenses to an indemnitee in connection with a proceeding (or part thereof) initiated by such indemnitee only if such proceeding (or part thereof) was authorized by the Board.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2" w:name="page53"/>
    <w:bookmarkEnd w:id="52"/>
    <w:p>
      <w:pPr>
        <w:ind w:left="-20" w:right="80" w:firstLine="1304"/>
        <w:spacing w:after="0" w:line="266" w:lineRule="auto"/>
        <w:tabs>
          <w:tab w:leader="none" w:pos="153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to indemnification and advancement of expenses conferred on any indemnitee by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shall not be exclusive of any other rights that any indemnitee may have or hereafter acquire under law, this Amended and Restated Certificate, the Bylaws, an agreement, vote of stockholders or disinterested directors, or otherwise.</w:t>
      </w:r>
    </w:p>
    <w:p>
      <w:pPr>
        <w:spacing w:after="0" w:line="175" w:lineRule="exact"/>
        <w:rPr>
          <w:rFonts w:ascii="Times New Roman" w:cs="Times New Roman" w:eastAsia="Times New Roman" w:hAnsi="Times New Roman"/>
          <w:sz w:val="18"/>
          <w:szCs w:val="18"/>
          <w:color w:val="auto"/>
        </w:rPr>
      </w:pPr>
    </w:p>
    <w:p>
      <w:pPr>
        <w:ind w:left="-20" w:firstLine="1304"/>
        <w:spacing w:after="0" w:line="256" w:lineRule="auto"/>
        <w:tabs>
          <w:tab w:leader="none" w:pos="152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repeal or amendment of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by the stockholders of the Corporation or by changes in law, or the adoption of any other provision of this Amended and Restated Certificate inconsistent with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shall, unless otherwise required by law, be prospective only (except to the extent such amendment or change in law permits the Corporation to provide broader indemnification rights on a retroactive basis than permitted prior thereto), and shall not in any way diminish or adversely affect any right or protection existing at the time of such repeal or amendment or adoption of such inconsistent provision in respect of any proceeding (regardless of when such proceeding is first threatened, commenced or completed) arising out of, or related to, any act or omission occurring prior to such repeal or amendment or adoption of such inconsistent provision.</w:t>
      </w:r>
    </w:p>
    <w:p>
      <w:pPr>
        <w:spacing w:after="0" w:line="187" w:lineRule="exact"/>
        <w:rPr>
          <w:rFonts w:ascii="Times New Roman" w:cs="Times New Roman" w:eastAsia="Times New Roman" w:hAnsi="Times New Roman"/>
          <w:sz w:val="18"/>
          <w:szCs w:val="18"/>
          <w:color w:val="auto"/>
        </w:rPr>
      </w:pPr>
    </w:p>
    <w:p>
      <w:pPr>
        <w:ind w:left="-20" w:right="620" w:firstLine="1304"/>
        <w:spacing w:after="0" w:line="282" w:lineRule="auto"/>
        <w:tabs>
          <w:tab w:leader="none" w:pos="153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shall not limit the right of the Corporation, to the extent and in the manner authorized or permitted by law, to indemnify and to advance expenses to persons other than indemnitees.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 COMBINATION REQUIREMENTS; EXISTENCE</w:t>
      </w:r>
    </w:p>
    <w:p>
      <w:pPr>
        <w:spacing w:after="0" w:line="20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20" w:right="60" w:firstLine="1304"/>
        <w:spacing w:after="0" w:line="261" w:lineRule="auto"/>
        <w:tabs>
          <w:tab w:leader="none" w:pos="152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i w:val="1"/>
          <w:iCs w:val="1"/>
          <w:color w:val="auto"/>
        </w:rPr>
        <w:t>Article IX</w:t>
      </w:r>
      <w:r>
        <w:rPr>
          <w:rFonts w:ascii="Times New Roman" w:cs="Times New Roman" w:eastAsia="Times New Roman" w:hAnsi="Times New Roman"/>
          <w:sz w:val="18"/>
          <w:szCs w:val="18"/>
          <w:color w:val="auto"/>
        </w:rPr>
        <w:t xml:space="preserve"> shall apply during the period commencing upon the effectiveness of this Amended and Restated Certificate and terminating upon the consummation of the Corporation’s initial Business Combination and no amendment to this </w:t>
      </w:r>
      <w:r>
        <w:rPr>
          <w:rFonts w:ascii="Times New Roman" w:cs="Times New Roman" w:eastAsia="Times New Roman" w:hAnsi="Times New Roman"/>
          <w:sz w:val="18"/>
          <w:szCs w:val="18"/>
          <w:i w:val="1"/>
          <w:iCs w:val="1"/>
          <w:color w:val="auto"/>
        </w:rPr>
        <w:t>Article IX</w:t>
      </w:r>
      <w:r>
        <w:rPr>
          <w:rFonts w:ascii="Times New Roman" w:cs="Times New Roman" w:eastAsia="Times New Roman" w:hAnsi="Times New Roman"/>
          <w:sz w:val="18"/>
          <w:szCs w:val="18"/>
          <w:color w:val="auto"/>
        </w:rPr>
        <w:t xml:space="preserve"> shall be effective prior to the consummation of the initial Business Combination unless approved by the affirmative vote of the holders of at least sixty-five percent (65%) of all then issued and outstanding shares of the Common Stock.</w:t>
      </w:r>
    </w:p>
    <w:p>
      <w:pPr>
        <w:spacing w:after="0" w:line="181" w:lineRule="exact"/>
        <w:rPr>
          <w:rFonts w:ascii="Times New Roman" w:cs="Times New Roman" w:eastAsia="Times New Roman" w:hAnsi="Times New Roman"/>
          <w:sz w:val="18"/>
          <w:szCs w:val="18"/>
          <w:color w:val="auto"/>
        </w:rPr>
      </w:pPr>
    </w:p>
    <w:p>
      <w:pPr>
        <w:ind w:left="-20" w:right="80" w:firstLine="1304"/>
        <w:spacing w:after="0" w:line="253" w:lineRule="auto"/>
        <w:tabs>
          <w:tab w:leader="none" w:pos="153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the Offering, a certain amount of the net offering proceeds received by the Corporation in the Offering (including the proceeds of any exercise of the underwriters’ over-allotment option) and certain other amounts specified in the Corporation’s registration statement on Form S-1, initially filed with the U.S.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on August 14, 2020, as amended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shall be deposited in a trust account (the “</w:t>
      </w:r>
      <w:r>
        <w:rPr>
          <w:rFonts w:ascii="Times New Roman" w:cs="Times New Roman" w:eastAsia="Times New Roman" w:hAnsi="Times New Roman"/>
          <w:sz w:val="18"/>
          <w:szCs w:val="18"/>
          <w:b w:val="1"/>
          <w:bCs w:val="1"/>
          <w:i w:val="1"/>
          <w:iCs w:val="1"/>
          <w:color w:val="auto"/>
        </w:rPr>
        <w:t>Trust Account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established for the benefit of the Public Stockholders (as defined below) pursuant to a trust agreement described in the Registration Statement. Except for the withdrawal of interest to pay taxes, none of the funds held in the Trust Account (including the interest earned on the funds held in the Trust Account) will be released from the Trust Account until the earliest to occur of (i) the completion of the initial Business Combination, (ii) the redemption of 100% of the Offering Shares (as defined below) if the Corporation is unable to complete its initial Business Combination within 24 months from the closing of the Offering and (iii) the redemption of shares in connection with a vote seeking to amend such provisions of this Amended and Restated Certificate as described in </w:t>
      </w:r>
      <w:r>
        <w:rPr>
          <w:rFonts w:ascii="Times New Roman" w:cs="Times New Roman" w:eastAsia="Times New Roman" w:hAnsi="Times New Roman"/>
          <w:sz w:val="18"/>
          <w:szCs w:val="18"/>
          <w:u w:val="single" w:color="auto"/>
          <w:color w:val="auto"/>
        </w:rPr>
        <w:t>Section 9.7</w:t>
      </w:r>
      <w:r>
        <w:rPr>
          <w:rFonts w:ascii="Times New Roman" w:cs="Times New Roman" w:eastAsia="Times New Roman" w:hAnsi="Times New Roman"/>
          <w:sz w:val="18"/>
          <w:szCs w:val="18"/>
          <w:color w:val="auto"/>
        </w:rPr>
        <w:t>. Holders of shares of Common Stock included as part of the units sold in the Offering (the “</w:t>
      </w:r>
      <w:r>
        <w:rPr>
          <w:rFonts w:ascii="Times New Roman" w:cs="Times New Roman" w:eastAsia="Times New Roman" w:hAnsi="Times New Roman"/>
          <w:sz w:val="18"/>
          <w:szCs w:val="18"/>
          <w:b w:val="1"/>
          <w:bCs w:val="1"/>
          <w:i w:val="1"/>
          <w:iCs w:val="1"/>
          <w:color w:val="auto"/>
        </w:rPr>
        <w:t>Offering Shares</w:t>
      </w:r>
      <w:r>
        <w:rPr>
          <w:rFonts w:ascii="Times New Roman" w:cs="Times New Roman" w:eastAsia="Times New Roman" w:hAnsi="Times New Roman"/>
          <w:sz w:val="18"/>
          <w:szCs w:val="18"/>
          <w:color w:val="auto"/>
        </w:rPr>
        <w:t>”) (whether such Offering Shares were purchased in the Offering or in the secondary market following the Offering and whether or not such holders are the Sponsor or officers or directors of the Corporation, or affiliates of any of the foregoing) are referred to herein as “</w:t>
      </w:r>
      <w:r>
        <w:rPr>
          <w:rFonts w:ascii="Times New Roman" w:cs="Times New Roman" w:eastAsia="Times New Roman" w:hAnsi="Times New Roman"/>
          <w:sz w:val="18"/>
          <w:szCs w:val="18"/>
          <w:b w:val="1"/>
          <w:bCs w:val="1"/>
          <w:i w:val="1"/>
          <w:iCs w:val="1"/>
          <w:color w:val="auto"/>
        </w:rPr>
        <w:t>Public Stockholders</w:t>
      </w:r>
      <w:r>
        <w:rPr>
          <w:rFonts w:ascii="Times New Roman" w:cs="Times New Roman" w:eastAsia="Times New Roman" w:hAnsi="Times New Roman"/>
          <w:sz w:val="18"/>
          <w:szCs w:val="18"/>
          <w:color w:val="auto"/>
        </w:rPr>
        <w: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4" w:right="359" w:bottom="1440" w:gutter="0" w:footer="0" w:header="0"/>
        </w:sectPr>
      </w:pPr>
    </w:p>
    <w:bookmarkStart w:id="53" w:name="page54"/>
    <w:bookmarkEnd w:id="53"/>
    <w:p>
      <w:pPr>
        <w:ind w:left="1280"/>
        <w:spacing w:after="0"/>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Redemption Rights.</w:t>
      </w:r>
    </w:p>
    <w:p>
      <w:pPr>
        <w:spacing w:after="0" w:line="225" w:lineRule="exact"/>
        <w:rPr>
          <w:sz w:val="20"/>
          <w:szCs w:val="20"/>
          <w:color w:val="auto"/>
        </w:rPr>
      </w:pPr>
    </w:p>
    <w:p>
      <w:pPr>
        <w:ind w:left="-20" w:right="120" w:firstLine="1304"/>
        <w:spacing w:after="0" w:line="254" w:lineRule="auto"/>
        <w:tabs>
          <w:tab w:leader="none" w:pos="152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consummation of the initial Business Combination, the Corporation shall provide all holders of Offering Shares with the opportunity to have their Offering Shares redeemed upon the consummation of the initial Business Combination pursuant to, and subject to the limitations of, </w:t>
      </w:r>
      <w:r>
        <w:rPr>
          <w:rFonts w:ascii="Times New Roman" w:cs="Times New Roman" w:eastAsia="Times New Roman" w:hAnsi="Times New Roman"/>
          <w:sz w:val="18"/>
          <w:szCs w:val="18"/>
          <w:u w:val="single" w:color="auto"/>
          <w:color w:val="auto"/>
        </w:rPr>
        <w:t>Sections 9.2(b)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9.2(c)</w:t>
      </w:r>
      <w:r>
        <w:rPr>
          <w:rFonts w:ascii="Times New Roman" w:cs="Times New Roman" w:eastAsia="Times New Roman" w:hAnsi="Times New Roman"/>
          <w:sz w:val="18"/>
          <w:szCs w:val="18"/>
          <w:color w:val="auto"/>
        </w:rPr>
        <w:t xml:space="preserve"> (such rights of such holders to have their Offering Shares redeemed pursuant to such Sections, the “</w:t>
      </w:r>
      <w:r>
        <w:rPr>
          <w:rFonts w:ascii="Times New Roman" w:cs="Times New Roman" w:eastAsia="Times New Roman" w:hAnsi="Times New Roman"/>
          <w:sz w:val="18"/>
          <w:szCs w:val="18"/>
          <w:b w:val="1"/>
          <w:bCs w:val="1"/>
          <w:i w:val="1"/>
          <w:iCs w:val="1"/>
          <w:color w:val="auto"/>
        </w:rPr>
        <w:t>Redemption Rights</w:t>
      </w:r>
      <w:r>
        <w:rPr>
          <w:rFonts w:ascii="Times New Roman" w:cs="Times New Roman" w:eastAsia="Times New Roman" w:hAnsi="Times New Roman"/>
          <w:sz w:val="18"/>
          <w:szCs w:val="18"/>
          <w:color w:val="auto"/>
        </w:rPr>
        <w:t xml:space="preserve">”) hereof for cash equal to the applicable redemption price per share determined in accordance with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 xml:space="preserve"> hereof (the “</w:t>
      </w:r>
      <w:r>
        <w:rPr>
          <w:rFonts w:ascii="Times New Roman" w:cs="Times New Roman" w:eastAsia="Times New Roman" w:hAnsi="Times New Roman"/>
          <w:sz w:val="18"/>
          <w:szCs w:val="18"/>
          <w:b w:val="1"/>
          <w:bCs w:val="1"/>
          <w:i w:val="1"/>
          <w:iCs w:val="1"/>
          <w:color w:val="auto"/>
        </w:rPr>
        <w:t>Redemption Price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provided, however, that the Corporation shall not redeem Offering Shares in an amount that would cause the Corporation to have net tangible assets to be less than $5,000,001 (such limitation hereinafter called the “</w:t>
      </w:r>
      <w:r>
        <w:rPr>
          <w:rFonts w:ascii="Times New Roman" w:cs="Times New Roman" w:eastAsia="Times New Roman" w:hAnsi="Times New Roman"/>
          <w:sz w:val="18"/>
          <w:szCs w:val="18"/>
          <w:b w:val="1"/>
          <w:bCs w:val="1"/>
          <w:i w:val="1"/>
          <w:iCs w:val="1"/>
          <w:color w:val="auto"/>
        </w:rPr>
        <w:t>Redemption Limitation’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Notwithstanding anything to the contrary contained in this Amended and Restated Certificate, there shall be no Redemption Rights or liquidating distributions with respect to any warrant issued pursuant to the Offering.</w:t>
      </w:r>
    </w:p>
    <w:p>
      <w:pPr>
        <w:spacing w:after="0" w:line="191" w:lineRule="exact"/>
        <w:rPr>
          <w:rFonts w:ascii="Times New Roman" w:cs="Times New Roman" w:eastAsia="Times New Roman" w:hAnsi="Times New Roman"/>
          <w:sz w:val="18"/>
          <w:szCs w:val="18"/>
          <w:color w:val="auto"/>
        </w:rPr>
      </w:pPr>
    </w:p>
    <w:p>
      <w:pPr>
        <w:ind w:left="-20" w:firstLine="1304"/>
        <w:spacing w:after="0" w:line="251" w:lineRule="auto"/>
        <w:tabs>
          <w:tab w:leader="none" w:pos="153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Corporation offers to redeem the Offering Shares other than in conjunction with a stockholder vote on an initial Business Combination with a proxy solicitation pursuant to Regulation 14A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(or any successor rules or regulations) and filing proxy materials with the SEC, the Corporation shall offer to redeem the Offering Shares upon the consummation of the initial Business Combination, subject to lawfully available funds therefor, in accordance with the provisions of </w:t>
      </w:r>
      <w:r>
        <w:rPr>
          <w:rFonts w:ascii="Times New Roman" w:cs="Times New Roman" w:eastAsia="Times New Roman" w:hAnsi="Times New Roman"/>
          <w:sz w:val="18"/>
          <w:szCs w:val="18"/>
          <w:u w:val="single" w:color="auto"/>
          <w:color w:val="auto"/>
        </w:rPr>
        <w:t>Section 9.2(a)</w:t>
      </w:r>
      <w:r>
        <w:rPr>
          <w:rFonts w:ascii="Times New Roman" w:cs="Times New Roman" w:eastAsia="Times New Roman" w:hAnsi="Times New Roman"/>
          <w:sz w:val="18"/>
          <w:szCs w:val="18"/>
          <w:color w:val="auto"/>
        </w:rPr>
        <w:t xml:space="preserve"> hereof pursuant to a tender offer in accordance with Rule 13e-4 and Regulation 14E of the Exchange Act (or any successor rule or regulation) (such rules and regulations hereinafter called the “</w:t>
      </w:r>
      <w:r>
        <w:rPr>
          <w:rFonts w:ascii="Times New Roman" w:cs="Times New Roman" w:eastAsia="Times New Roman" w:hAnsi="Times New Roman"/>
          <w:sz w:val="18"/>
          <w:szCs w:val="18"/>
          <w:b w:val="1"/>
          <w:bCs w:val="1"/>
          <w:i w:val="1"/>
          <w:iCs w:val="1"/>
          <w:color w:val="auto"/>
        </w:rPr>
        <w:t>Tender Offer Rules</w:t>
      </w:r>
      <w:r>
        <w:rPr>
          <w:rFonts w:ascii="Times New Roman" w:cs="Times New Roman" w:eastAsia="Times New Roman" w:hAnsi="Times New Roman"/>
          <w:sz w:val="18"/>
          <w:szCs w:val="18"/>
          <w:color w:val="auto"/>
        </w:rPr>
        <w:t>”) which it shall commence prior to the consummation of the initial Business Combination and shall file tender offer documents with the SEC prior to the consummation of the initial Business Combination that contain substantially the same financial and other information about the initial Business Combination and the Redemption Rights as is required under Regulation 14A of the Exchange Act (or any successor rule or regulation) (such rules and regulations hereinafter called the “</w:t>
      </w:r>
      <w:r>
        <w:rPr>
          <w:rFonts w:ascii="Times New Roman" w:cs="Times New Roman" w:eastAsia="Times New Roman" w:hAnsi="Times New Roman"/>
          <w:sz w:val="18"/>
          <w:szCs w:val="18"/>
          <w:b w:val="1"/>
          <w:bCs w:val="1"/>
          <w:i w:val="1"/>
          <w:iCs w:val="1"/>
          <w:color w:val="auto"/>
        </w:rPr>
        <w:t>Proxy Solicitation Rules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even if such information is not required under the Tender Offer Rules; provided, however, that if a stockholder vote is required by law to approve the proposed initial Business Combination, or the Corporation decides to submit the proposed initial Business Combination to the stockholders for their approval for business or other legal reasons, the Corporation shall offer to redeem the Offering Shares, subject to lawfully available funds therefor, in accordance with the provisions of </w:t>
      </w:r>
      <w:r>
        <w:rPr>
          <w:rFonts w:ascii="Times New Roman" w:cs="Times New Roman" w:eastAsia="Times New Roman" w:hAnsi="Times New Roman"/>
          <w:sz w:val="18"/>
          <w:szCs w:val="18"/>
          <w:u w:val="single" w:color="auto"/>
          <w:color w:val="auto"/>
        </w:rPr>
        <w:t>Section 9.2(a)</w:t>
      </w:r>
      <w:r>
        <w:rPr>
          <w:rFonts w:ascii="Times New Roman" w:cs="Times New Roman" w:eastAsia="Times New Roman" w:hAnsi="Times New Roman"/>
          <w:sz w:val="18"/>
          <w:szCs w:val="18"/>
          <w:color w:val="auto"/>
        </w:rPr>
        <w:t xml:space="preserve"> hereof in conjunction with a proxy solicitation pursuant to the Proxy Solicitation Rules (and not the Tender Offer Rules) at a price per share equal to the Redemption Price calculated in accordance with the following provisions of this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 In the event that the Corporation offers to redeem the Offering Shares pursuant to a tender offer in accordance with the Tender Offer Rules, the Redemption Price per share of the Common Stock payable to holders of the Offering Shares tendering their Offering Shares pursuant to such tender offer shall be equal to the quotient obtained by dividing: (i) the aggregate amount on deposit in the Trust Account as of two business days prior to the consummation of the initial Business Combination, including interest not previously released to the Corporation to pay its taxes, by (ii) the total number of then issued and outstanding Offering Shares. If the Corporation offers to redeem the Offering Shares in conjunction with a stockholder vote on the proposed initial Business Combination pursuant to a proxy solicitation, the Redemption Price per share of the Common Stock payable to holders of the Offering Shares exercising their Redemption Rights (irrespective of whether they voted in favor or against the Business Combination) shall be equal to the quotient obtained by dividing: (x) the aggregate amount on deposit in the Trust Account as of two business days prior to the consummation of the initial Business Combination, including interest not previously released to the Corporation to pay its taxes, by (y) the total number of then issued and outstanding Offering Shares.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4" w:right="359" w:bottom="1440" w:gutter="0" w:footer="0" w:header="0"/>
        </w:sectPr>
      </w:pPr>
    </w:p>
    <w:bookmarkStart w:id="54" w:name="page55"/>
    <w:bookmarkEnd w:id="54"/>
    <w:p>
      <w:pPr>
        <w:jc w:val="both"/>
        <w:ind w:left="-20" w:right="40" w:firstLine="1304"/>
        <w:spacing w:after="0" w:line="261" w:lineRule="auto"/>
        <w:tabs>
          <w:tab w:leader="none" w:pos="152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Corporation offers to redeem the Offering Shares in conjunction with a stockholder vote on an initial Business Combination pursuant to a proxy solicitation, a Public Stockholder, together with any affiliate of such stockholder or any other person with whom such stockholder is acting in concert or as a “</w:t>
      </w:r>
      <w:r>
        <w:rPr>
          <w:rFonts w:ascii="Times New Roman" w:cs="Times New Roman" w:eastAsia="Times New Roman" w:hAnsi="Times New Roman"/>
          <w:sz w:val="18"/>
          <w:szCs w:val="18"/>
          <w:b w:val="1"/>
          <w:bCs w:val="1"/>
          <w:i w:val="1"/>
          <w:iCs w:val="1"/>
          <w:color w:val="auto"/>
        </w:rPr>
        <w:t>group</w:t>
      </w:r>
      <w:r>
        <w:rPr>
          <w:rFonts w:ascii="Times New Roman" w:cs="Times New Roman" w:eastAsia="Times New Roman" w:hAnsi="Times New Roman"/>
          <w:sz w:val="18"/>
          <w:szCs w:val="18"/>
          <w:color w:val="auto"/>
        </w:rPr>
        <w:t>” (as defined under Section 13(d)(3) of the Exchange Act), shall be restricted from seeking Redemption Rights with respect to more than an aggregate of 20% of the Offering Shares without the prior consent of the Corporation.</w:t>
      </w:r>
    </w:p>
    <w:p>
      <w:pPr>
        <w:spacing w:after="0" w:line="179" w:lineRule="exact"/>
        <w:rPr>
          <w:rFonts w:ascii="Times New Roman" w:cs="Times New Roman" w:eastAsia="Times New Roman" w:hAnsi="Times New Roman"/>
          <w:sz w:val="18"/>
          <w:szCs w:val="18"/>
          <w:color w:val="auto"/>
        </w:rPr>
      </w:pPr>
    </w:p>
    <w:p>
      <w:pPr>
        <w:ind w:left="-20" w:firstLine="1304"/>
        <w:spacing w:after="0" w:line="254" w:lineRule="auto"/>
        <w:tabs>
          <w:tab w:leader="none" w:pos="153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Corporation has not consummated an initial Business Combination within 24 months from the closing of the Offering, the Corporation shall (i) cease all operations except for the purpose of winding up, (ii) as promptly as reasonably possible but not more than ten business days thereafter subject to lawfully available funds therefor, redeem 100% of the Offering Shares in consideration of a per-share price, payable in cash, equal to the quotient obtained by dividing (A) the aggregate amount then on deposit in the Trust Account, including interest not previously released to the Corporation to pay its taxes (less up to $100,000 of interest to pay dissolution expenses), by (B) the total number of then issued and outstanding Offering Shares, which redemption will completely extinguish rights of the Public Stockholders (including the right to receive further liquidating distributions, if any), subject to applicable law, and (iii) as promptly as reasonably possible following such redemption, subject to the approval of the remaining stockholders and the Board in accordance with applicable law, dissolve and liquidate, subject in each case to the Corporation’s obligations under the DGCL to provide for claims of creditors and other requirements of applicable law.</w:t>
      </w:r>
    </w:p>
    <w:p>
      <w:pPr>
        <w:spacing w:after="0" w:line="188" w:lineRule="exact"/>
        <w:rPr>
          <w:rFonts w:ascii="Times New Roman" w:cs="Times New Roman" w:eastAsia="Times New Roman" w:hAnsi="Times New Roman"/>
          <w:sz w:val="18"/>
          <w:szCs w:val="18"/>
          <w:color w:val="auto"/>
        </w:rPr>
      </w:pPr>
    </w:p>
    <w:p>
      <w:pPr>
        <w:ind w:left="-20" w:firstLine="1304"/>
        <w:spacing w:after="0" w:line="261" w:lineRule="auto"/>
        <w:tabs>
          <w:tab w:leader="none" w:pos="152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Corporation offers to redeem the Offering Shares in conjunction with a stockholder vote on an initial Business Combination, the Corporation shall consummate the proposed initial Business Combination only if (i) such initial Business Combination is approved by the affirmative vote of the holders of a majority of the shares of the Common Stock that are voted at a stockholder meeting held to consider such initial Business Combination and (ii) the Redemption Limitation is not exceeded.</w:t>
      </w:r>
    </w:p>
    <w:p>
      <w:pPr>
        <w:spacing w:after="0" w:line="179" w:lineRule="exact"/>
        <w:rPr>
          <w:rFonts w:ascii="Times New Roman" w:cs="Times New Roman" w:eastAsia="Times New Roman" w:hAnsi="Times New Roman"/>
          <w:sz w:val="18"/>
          <w:szCs w:val="18"/>
          <w:color w:val="auto"/>
        </w:rPr>
      </w:pPr>
    </w:p>
    <w:p>
      <w:pPr>
        <w:ind w:left="-20" w:right="100" w:firstLine="1304"/>
        <w:spacing w:after="0" w:line="282" w:lineRule="auto"/>
        <w:tabs>
          <w:tab w:leader="none" w:pos="150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Corporation conducts a tender offer pursuant to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 the Corporation shall consummate the proposed initial Business Combination only if the Redemption Limitation is not exceeded.</w:t>
      </w:r>
    </w:p>
    <w:p>
      <w:pPr>
        <w:spacing w:after="0" w:line="16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 xml:space="preserve">Section 9.3 </w:t>
      </w:r>
      <w:r>
        <w:rPr>
          <w:rFonts w:ascii="Times New Roman" w:cs="Times New Roman" w:eastAsia="Times New Roman" w:hAnsi="Times New Roman"/>
          <w:sz w:val="18"/>
          <w:szCs w:val="18"/>
          <w:u w:val="single" w:color="auto"/>
          <w:color w:val="auto"/>
        </w:rPr>
        <w:t>Distributions from the Trust Account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80" w:firstLine="1304"/>
        <w:spacing w:after="0" w:line="266" w:lineRule="auto"/>
        <w:tabs>
          <w:tab w:leader="none" w:pos="152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Stockholder shall be entitled to receive funds from the Trust Account only as provided in </w:t>
      </w:r>
      <w:r>
        <w:rPr>
          <w:rFonts w:ascii="Times New Roman" w:cs="Times New Roman" w:eastAsia="Times New Roman" w:hAnsi="Times New Roman"/>
          <w:sz w:val="18"/>
          <w:szCs w:val="18"/>
          <w:u w:val="single" w:color="auto"/>
          <w:color w:val="auto"/>
        </w:rPr>
        <w:t>Sections 9.2(a)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9.2(d)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9.7</w:t>
      </w:r>
      <w:r>
        <w:rPr>
          <w:rFonts w:ascii="Times New Roman" w:cs="Times New Roman" w:eastAsia="Times New Roman" w:hAnsi="Times New Roman"/>
          <w:sz w:val="18"/>
          <w:szCs w:val="18"/>
          <w:color w:val="auto"/>
        </w:rPr>
        <w:t xml:space="preserve"> hereof. In no other circumstances shall a Public Stockholder have any right or interest of any kind in or to distributions from the Trust Account, and no stockholder other than a Public Stockholder shall have any interest in or to the Trust Account.</w:t>
      </w:r>
    </w:p>
    <w:p>
      <w:pPr>
        <w:spacing w:after="0" w:line="175" w:lineRule="exact"/>
        <w:rPr>
          <w:rFonts w:ascii="Times New Roman" w:cs="Times New Roman" w:eastAsia="Times New Roman" w:hAnsi="Times New Roman"/>
          <w:sz w:val="18"/>
          <w:szCs w:val="18"/>
          <w:color w:val="auto"/>
        </w:rPr>
      </w:pPr>
    </w:p>
    <w:p>
      <w:pPr>
        <w:jc w:val="both"/>
        <w:ind w:left="-20" w:right="120" w:firstLine="1304"/>
        <w:spacing w:after="0" w:line="266" w:lineRule="auto"/>
        <w:tabs>
          <w:tab w:leader="none" w:pos="153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Public Stockholder that does not exercise its Redemption Rights shall retain its interest in the Corporation and shall be deemed to have given its consent to the release of the remaining funds in the Trust Account to the Corporation, and following payment to any Public Stockholders exercising their Redemption Rights, the remaining funds in the Trust Account shall be released to the Corporation.</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4" w:right="359" w:bottom="1440" w:gutter="0" w:footer="0" w:header="0"/>
        </w:sectPr>
      </w:pPr>
    </w:p>
    <w:bookmarkStart w:id="55" w:name="page56"/>
    <w:bookmarkEnd w:id="55"/>
    <w:p>
      <w:pPr>
        <w:ind w:right="240" w:firstLine="1304"/>
        <w:spacing w:after="0" w:line="258" w:lineRule="auto"/>
        <w:tabs>
          <w:tab w:leader="none" w:pos="154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by a Public Stockholder of the Redemption Rights (and any withdrawal of any exercise of such rights) shall be conditioned on such Public Stockholder following the specific procedures for redemptions (or withdrawals, as applicable) set forth by the Corporation in any applicable tender offer or proxy materials sent to the Public Stockholders relating to the proposed initial Business Combination. Payment of the amounts necessary to satisfy the Redemption Rights properly exercised shall be made as promptly as practical after the consummation of the initial Business Combination.</w:t>
      </w:r>
    </w:p>
    <w:p>
      <w:pPr>
        <w:spacing w:after="0" w:line="183" w:lineRule="exact"/>
        <w:rPr>
          <w:sz w:val="20"/>
          <w:szCs w:val="20"/>
          <w:color w:val="auto"/>
        </w:rPr>
      </w:pPr>
    </w:p>
    <w:p>
      <w:pPr>
        <w:ind w:right="2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9.4 </w:t>
      </w:r>
      <w:r>
        <w:rPr>
          <w:rFonts w:ascii="Times New Roman" w:cs="Times New Roman" w:eastAsia="Times New Roman" w:hAnsi="Times New Roman"/>
          <w:sz w:val="18"/>
          <w:szCs w:val="18"/>
          <w:u w:val="single" w:color="auto"/>
          <w:color w:val="auto"/>
        </w:rPr>
        <w:t>Share Issuances</w:t>
      </w:r>
      <w:r>
        <w:rPr>
          <w:rFonts w:ascii="Times New Roman" w:cs="Times New Roman" w:eastAsia="Times New Roman" w:hAnsi="Times New Roman"/>
          <w:sz w:val="18"/>
          <w:szCs w:val="18"/>
          <w:color w:val="auto"/>
        </w:rPr>
        <w:t xml:space="preserve">. Prior to the consummation of the Corporation’s initial Business Combination, the Corporation shall not issue any additional shares of capital stock of the Corporation that would entitle the holders thereof to receive funds from the Trust Account or vote as a class with the Class A Common Stock on any initial Business Combination, on any pre-Business Combination activity or on an amendment to this Amended and Restated Certificate to (i) extend the time the Corporation has to consummate a Business Combination beyond 24 months from the closing of the Offering or (ii) to amend any provisions of this </w:t>
      </w:r>
      <w:r>
        <w:rPr>
          <w:rFonts w:ascii="Times New Roman" w:cs="Times New Roman" w:eastAsia="Times New Roman" w:hAnsi="Times New Roman"/>
          <w:sz w:val="18"/>
          <w:szCs w:val="18"/>
          <w:i w:val="1"/>
          <w:iCs w:val="1"/>
          <w:color w:val="auto"/>
        </w:rPr>
        <w:t>Article IX.</w:t>
      </w:r>
    </w:p>
    <w:p>
      <w:pPr>
        <w:spacing w:after="0" w:line="183" w:lineRule="exact"/>
        <w:rPr>
          <w:sz w:val="20"/>
          <w:szCs w:val="20"/>
          <w:color w:val="auto"/>
        </w:rPr>
      </w:pPr>
    </w:p>
    <w:p>
      <w:pPr>
        <w:ind w:right="4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9.5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In the event the Corporation enters into an initial Business Combination with a target business that is affiliated with the Sponsor, or the directors or executive officers of the Corporation, the Corporation, or a committee of the independent directors of the Corporation, shall obtain an opinion from an independent accounting firm or an independent investment banking firm that is a member of the Financial Industry Regulatory Authority that such Business Combination is fair to the Corporation from a financial point of view; provided, however, that a target business shall not be deemed an affiliate solely by virtue of ownership by the Sponsor or its affiliates, or any of their or the Corporation’s executive officers or directors, of less than 10% of its common stock, individually or in the aggregate.</w:t>
      </w:r>
    </w:p>
    <w:p>
      <w:pPr>
        <w:spacing w:after="0" w:line="187" w:lineRule="exact"/>
        <w:rPr>
          <w:sz w:val="20"/>
          <w:szCs w:val="20"/>
          <w:color w:val="auto"/>
        </w:rPr>
      </w:pPr>
    </w:p>
    <w:p>
      <w:pPr>
        <w:ind w:right="2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9.6 </w:t>
      </w:r>
      <w:r>
        <w:rPr>
          <w:rFonts w:ascii="Times New Roman" w:cs="Times New Roman" w:eastAsia="Times New Roman" w:hAnsi="Times New Roman"/>
          <w:sz w:val="18"/>
          <w:szCs w:val="18"/>
          <w:u w:val="single" w:color="auto"/>
          <w:color w:val="auto"/>
        </w:rPr>
        <w:t>No Transactions with Other Blank Check Companies</w:t>
      </w:r>
      <w:r>
        <w:rPr>
          <w:rFonts w:ascii="Times New Roman" w:cs="Times New Roman" w:eastAsia="Times New Roman" w:hAnsi="Times New Roman"/>
          <w:sz w:val="18"/>
          <w:szCs w:val="18"/>
          <w:color w:val="auto"/>
        </w:rPr>
        <w:t>. The Corporation shall not enter into an initial Business Combination with another blank check company or a similar company with nominal operations.</w:t>
      </w:r>
    </w:p>
    <w:p>
      <w:pPr>
        <w:spacing w:after="0" w:line="162"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9.7 </w:t>
      </w:r>
      <w:r>
        <w:rPr>
          <w:rFonts w:ascii="Times New Roman" w:cs="Times New Roman" w:eastAsia="Times New Roman" w:hAnsi="Times New Roman"/>
          <w:sz w:val="18"/>
          <w:szCs w:val="18"/>
          <w:u w:val="single" w:color="auto"/>
          <w:color w:val="auto"/>
        </w:rPr>
        <w:t>Additional Redemption Rights</w:t>
      </w:r>
      <w:r>
        <w:rPr>
          <w:rFonts w:ascii="Times New Roman" w:cs="Times New Roman" w:eastAsia="Times New Roman" w:hAnsi="Times New Roman"/>
          <w:sz w:val="18"/>
          <w:szCs w:val="18"/>
          <w:color w:val="auto"/>
        </w:rPr>
        <w:t xml:space="preserve">. If, in accordance with </w:t>
      </w:r>
      <w:r>
        <w:rPr>
          <w:rFonts w:ascii="Times New Roman" w:cs="Times New Roman" w:eastAsia="Times New Roman" w:hAnsi="Times New Roman"/>
          <w:sz w:val="18"/>
          <w:szCs w:val="18"/>
          <w:u w:val="single" w:color="auto"/>
          <w:color w:val="auto"/>
        </w:rPr>
        <w:t>Section 9.1(a)</w:t>
      </w:r>
      <w:r>
        <w:rPr>
          <w:rFonts w:ascii="Times New Roman" w:cs="Times New Roman" w:eastAsia="Times New Roman" w:hAnsi="Times New Roman"/>
          <w:sz w:val="18"/>
          <w:szCs w:val="18"/>
          <w:color w:val="auto"/>
        </w:rPr>
        <w:t xml:space="preserve">, any amendment is made to this Amended and Restated Certificate (a) to modify the substance or timing of the Corporation’s obligation to redeem 100% of the Offering Shares if the Corporation has not consummated an initial Business Combination within 24 months from the date of the closing of the Offering or (b) with respect to any other material provisions of this Amended and Restated Certificate relating to stockholders’ rights or pre-initial Business Combination activity, the Public Stockholders shall be provided with the opportunity to redeem their Offering Shares upon the approval of any such amendment, at a per-share price, payable in cash, equal to the aggregate amount then on deposit in the Trust Account, including interest not previously released to the Corporation to pay its taxes, divided by the number of then issued and outstanding Offering Shares; provided, however, that any such amendment will be voided, and this </w:t>
      </w:r>
      <w:r>
        <w:rPr>
          <w:rFonts w:ascii="Times New Roman" w:cs="Times New Roman" w:eastAsia="Times New Roman" w:hAnsi="Times New Roman"/>
          <w:sz w:val="18"/>
          <w:szCs w:val="18"/>
          <w:i w:val="1"/>
          <w:iCs w:val="1"/>
          <w:color w:val="auto"/>
        </w:rPr>
        <w:t>Article IX</w:t>
      </w:r>
      <w:r>
        <w:rPr>
          <w:rFonts w:ascii="Times New Roman" w:cs="Times New Roman" w:eastAsia="Times New Roman" w:hAnsi="Times New Roman"/>
          <w:sz w:val="18"/>
          <w:szCs w:val="18"/>
          <w:color w:val="auto"/>
        </w:rPr>
        <w:t xml:space="preserve"> will remain unchanged, if any stockholders who wish to redeem are unable to redeem due to the Redemption Limitation.</w:t>
      </w:r>
    </w:p>
    <w:p>
      <w:pPr>
        <w:spacing w:after="0" w:line="192" w:lineRule="exact"/>
        <w:rPr>
          <w:sz w:val="20"/>
          <w:szCs w:val="20"/>
          <w:color w:val="auto"/>
        </w:rPr>
      </w:pPr>
    </w:p>
    <w:p>
      <w:pPr>
        <w:ind w:right="8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9.8 </w:t>
      </w:r>
      <w:r>
        <w:rPr>
          <w:rFonts w:ascii="Times New Roman" w:cs="Times New Roman" w:eastAsia="Times New Roman" w:hAnsi="Times New Roman"/>
          <w:sz w:val="18"/>
          <w:szCs w:val="18"/>
          <w:u w:val="single" w:color="auto"/>
          <w:color w:val="auto"/>
        </w:rPr>
        <w:t>Minimum Value of Initial Business Combination</w:t>
      </w:r>
      <w:r>
        <w:rPr>
          <w:rFonts w:ascii="Times New Roman" w:cs="Times New Roman" w:eastAsia="Times New Roman" w:hAnsi="Times New Roman"/>
          <w:sz w:val="18"/>
          <w:szCs w:val="18"/>
          <w:color w:val="auto"/>
        </w:rPr>
        <w:t>. The Corporation’s initial Business Combination must be comprised of one or more Business Combinations having an aggregate fair market value of at least 80% of the value of the assets held in the Trust Account (excluding any deferred underwriting commissions and taxes payable on the interest earned on the Trust Account) at the time the Corporation signs a definitive agreement in connection with the initial Business Combination.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CORPORATE OPPORTUNITY</w:t>
      </w:r>
    </w:p>
    <w:p>
      <w:pPr>
        <w:spacing w:after="0" w:line="20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To the extent allowed by law, the doctrine of corporate opportunity, or any other analogous doctrine, shall not apply with respect to the Corporation or any of its officers or directors, or any of their respective affiliates, in circumstances where the application of any such doctrine would conflict with any fiduciary duties or contractual obligations they may have as of the date of this Amended and Restated Certificate or in the future, and the Corporation renounces any expectancy that any of the directors or officers of the Corporation will offer any such corporate opportunity of which he or she may become aware to the Corporation, except, the doctrine of corporate opportunity shall apply with respect to any of the directors or officers of the Corporation with respect to a corporate opportunity that was offered to such person solely in his or her capacity as a director or officer of the Corporation and (i) such opportunity is one the Corporation is legally and contractually permitted to undertake and would otherwise be reasonable for the Corporation to pursue and (ii) the director or officer is permitted to refer that opportunity to the Corporation without violating any legal obligation.</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AMENDMENT OF AMENDED AND RESTATED CERTIFICATE OF INCORPORATION</w:t>
      </w:r>
    </w:p>
    <w:p>
      <w:pPr>
        <w:spacing w:after="0" w:line="20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Corporation reserves the right at any time and from time to time to amend, alter, change or repeal any provision contained in this Amended and Restated Certificate (including any Preferred Stock Designation), and other provisions authorized by the laws of the State of Delaware at the time in force that may be added or inserted, in the manner now or hereafter prescribed by this Amended and Restated Certificate and the DGCL; and, except as set forth in </w:t>
      </w:r>
      <w:r>
        <w:rPr>
          <w:rFonts w:ascii="Times New Roman" w:cs="Times New Roman" w:eastAsia="Times New Roman" w:hAnsi="Times New Roman"/>
          <w:sz w:val="18"/>
          <w:szCs w:val="18"/>
          <w:i w:val="1"/>
          <w:iCs w:val="1"/>
          <w:color w:val="auto"/>
        </w:rPr>
        <w:t>Article VIII,</w:t>
      </w:r>
      <w:r>
        <w:rPr>
          <w:rFonts w:ascii="Times New Roman" w:cs="Times New Roman" w:eastAsia="Times New Roman" w:hAnsi="Times New Roman"/>
          <w:sz w:val="18"/>
          <w:szCs w:val="18"/>
          <w:color w:val="auto"/>
        </w:rPr>
        <w:t xml:space="preserve"> all rights, preferences and privileges of whatever nature herein conferred upon stockholders, directors or any other persons by and pursuant to this Amended and Restated Certificate in its present form or as hereafter amended are granted subject to the right reserved in this </w:t>
      </w:r>
      <w:r>
        <w:rPr>
          <w:rFonts w:ascii="Times New Roman" w:cs="Times New Roman" w:eastAsia="Times New Roman" w:hAnsi="Times New Roman"/>
          <w:sz w:val="18"/>
          <w:szCs w:val="18"/>
          <w:i w:val="1"/>
          <w:iCs w:val="1"/>
          <w:color w:val="auto"/>
        </w:rPr>
        <w:t>Article XI;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i w:val="1"/>
          <w:iCs w:val="1"/>
          <w:color w:val="auto"/>
        </w:rPr>
        <w:t>Article IX</w:t>
      </w:r>
      <w:r>
        <w:rPr>
          <w:rFonts w:ascii="Times New Roman" w:cs="Times New Roman" w:eastAsia="Times New Roman" w:hAnsi="Times New Roman"/>
          <w:sz w:val="18"/>
          <w:szCs w:val="18"/>
          <w:color w:val="auto"/>
        </w:rPr>
        <w:t xml:space="preserve"> of this Amended and Restated Certificate may be amended only as provided therein.</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APPLICATION OF DGCL SECTION 203</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12.1 </w:t>
      </w:r>
      <w:r>
        <w:rPr>
          <w:rFonts w:ascii="Times New Roman" w:cs="Times New Roman" w:eastAsia="Times New Roman" w:hAnsi="Times New Roman"/>
          <w:sz w:val="18"/>
          <w:szCs w:val="18"/>
          <w:u w:val="single" w:color="auto"/>
          <w:color w:val="auto"/>
        </w:rPr>
        <w:t>Section 203 of the DGCL</w:t>
      </w:r>
      <w:r>
        <w:rPr>
          <w:rFonts w:ascii="Times New Roman" w:cs="Times New Roman" w:eastAsia="Times New Roman" w:hAnsi="Times New Roman"/>
          <w:sz w:val="18"/>
          <w:szCs w:val="18"/>
          <w:color w:val="auto"/>
        </w:rPr>
        <w:t>. The Corporation hereby expressly elects not to be governed by Section 203 of the DGCL.</w:t>
      </w:r>
    </w:p>
    <w:p>
      <w:pPr>
        <w:spacing w:after="0" w:line="225" w:lineRule="exact"/>
        <w:rPr>
          <w:sz w:val="20"/>
          <w:szCs w:val="20"/>
          <w:color w:val="auto"/>
        </w:rPr>
      </w:pPr>
    </w:p>
    <w:p>
      <w:pPr>
        <w:ind w:right="80" w:firstLine="1296"/>
        <w:spacing w:after="0" w:line="289" w:lineRule="auto"/>
        <w:rPr>
          <w:sz w:val="20"/>
          <w:szCs w:val="20"/>
          <w:color w:val="auto"/>
        </w:rPr>
      </w:pPr>
      <w:r>
        <w:rPr>
          <w:rFonts w:ascii="Times New Roman" w:cs="Times New Roman" w:eastAsia="Times New Roman" w:hAnsi="Times New Roman"/>
          <w:sz w:val="17"/>
          <w:szCs w:val="17"/>
          <w:color w:val="auto"/>
        </w:rPr>
        <w:t xml:space="preserve">Section 12.2 </w:t>
      </w:r>
      <w:r>
        <w:rPr>
          <w:rFonts w:ascii="Times New Roman" w:cs="Times New Roman" w:eastAsia="Times New Roman" w:hAnsi="Times New Roman"/>
          <w:sz w:val="17"/>
          <w:szCs w:val="17"/>
          <w:u w:val="single" w:color="auto"/>
          <w:color w:val="auto"/>
        </w:rPr>
        <w:t>Limitation on Business Combinations</w:t>
      </w:r>
      <w:r>
        <w:rPr>
          <w:rFonts w:ascii="Times New Roman" w:cs="Times New Roman" w:eastAsia="Times New Roman" w:hAnsi="Times New Roman"/>
          <w:sz w:val="17"/>
          <w:szCs w:val="17"/>
          <w:color w:val="auto"/>
        </w:rPr>
        <w:t>. Notwithstanding the foregoing, the Corporation shall not engage in any business combination (as defined below), at any point in time at which the Common Stock is registered under Section 12(b) or 12(g) of the Exchange Act with any interested stockholder (as defined below) for a period of three (3) years following the time that such stockholder became an interested stockholder, unless:</w:t>
      </w:r>
    </w:p>
    <w:p>
      <w:pPr>
        <w:spacing w:after="0" w:line="158" w:lineRule="exact"/>
        <w:rPr>
          <w:sz w:val="20"/>
          <w:szCs w:val="20"/>
          <w:color w:val="auto"/>
        </w:rPr>
      </w:pPr>
    </w:p>
    <w:p>
      <w:pPr>
        <w:ind w:right="40" w:firstLine="1304"/>
        <w:spacing w:after="0" w:line="282" w:lineRule="auto"/>
        <w:tabs>
          <w:tab w:leader="none" w:pos="154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the Board approved either the business combination or the transaction which resulted in the stockholder becoming an interested stockholder; or</w:t>
      </w:r>
    </w:p>
    <w:p>
      <w:pPr>
        <w:spacing w:after="0" w:line="161" w:lineRule="exact"/>
        <w:rPr>
          <w:rFonts w:ascii="Times New Roman" w:cs="Times New Roman" w:eastAsia="Times New Roman" w:hAnsi="Times New Roman"/>
          <w:sz w:val="18"/>
          <w:szCs w:val="18"/>
          <w:color w:val="auto"/>
        </w:rPr>
      </w:pPr>
    </w:p>
    <w:p>
      <w:pPr>
        <w:ind w:firstLine="1304"/>
        <w:spacing w:after="0" w:line="258" w:lineRule="auto"/>
        <w:tabs>
          <w:tab w:leader="none" w:pos="155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eighty-five percent (85%) of the voting stock outstanding at the time the transaction commenced, excluding for purposes of determining the voting stock outstanding (but not the outstanding voting stock owned by the interested stockholder) those shares owned by (i) persons who are directors and also officers of the Corporation and (ii) employee stock plans in which employee participants do not have the right to determine confidentially whether shares held subject to the plan will be tendered in a tender or exchange offer; or</w:t>
      </w:r>
    </w:p>
    <w:p>
      <w:pPr>
        <w:spacing w:after="0" w:line="3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57" w:name="page58"/>
    <w:bookmarkEnd w:id="57"/>
    <w:p>
      <w:pPr>
        <w:ind w:left="-20" w:right="300" w:firstLine="1304"/>
        <w:spacing w:after="0" w:line="266" w:lineRule="auto"/>
        <w:tabs>
          <w:tab w:leader="none" w:pos="152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such time the business combination is approved by the Board and authorized at an annual or special meeting of stockholders, and not by written consent, by the affirmative vote of at least 66 2/3% of the outstanding voting stock that is not owned by the interested stockholder.</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 xml:space="preserve">Section 12.3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Solely for purposes of this Article XII, references to:</w:t>
      </w:r>
    </w:p>
    <w:p>
      <w:pPr>
        <w:spacing w:after="0" w:line="221" w:lineRule="exact"/>
        <w:rPr>
          <w:sz w:val="20"/>
          <w:szCs w:val="20"/>
          <w:color w:val="auto"/>
        </w:rPr>
      </w:pPr>
    </w:p>
    <w:p>
      <w:pPr>
        <w:ind w:left="-20" w:right="420" w:firstLine="1304"/>
        <w:spacing w:after="0" w:line="286" w:lineRule="auto"/>
        <w:tabs>
          <w:tab w:leader="none" w:pos="152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 person that directly, or indirectly through one or more intermediaries, controls, or is controlled by, or is under common control with, another person.</w:t>
      </w:r>
    </w:p>
    <w:p>
      <w:pPr>
        <w:spacing w:after="0" w:line="154" w:lineRule="exact"/>
        <w:rPr>
          <w:rFonts w:ascii="Times New Roman" w:cs="Times New Roman" w:eastAsia="Times New Roman" w:hAnsi="Times New Roman"/>
          <w:sz w:val="18"/>
          <w:szCs w:val="18"/>
          <w:color w:val="auto"/>
        </w:rPr>
      </w:pPr>
    </w:p>
    <w:p>
      <w:pPr>
        <w:ind w:left="-20" w:right="60" w:firstLine="1304"/>
        <w:spacing w:after="0" w:line="259" w:lineRule="auto"/>
        <w:tabs>
          <w:tab w:leader="none" w:pos="153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associate</w:t>
      </w:r>
      <w:r>
        <w:rPr>
          <w:rFonts w:ascii="Times New Roman" w:cs="Times New Roman" w:eastAsia="Times New Roman" w:hAnsi="Times New Roman"/>
          <w:sz w:val="18"/>
          <w:szCs w:val="18"/>
          <w:color w:val="auto"/>
        </w:rPr>
        <w:t>,” when used to indicate a relationship with any person, means: (i) any corporation, partnership, unincorporated association or other entity of which such person is a director, officer or partner or is, directly or indirectly, the owner of twenty percent (20%) or more of any class of voting stock; (ii) any trust or other estate in which such person has at least a twenty percent (20%) beneficial interest or as to which such person serves as trustee or in a similar fiduciary capacity; and (iii) any relative or spouse of such person, or any relative of such spouse, who has the same residence as such person.</w:t>
      </w:r>
    </w:p>
    <w:p>
      <w:pPr>
        <w:spacing w:after="0" w:line="179" w:lineRule="exact"/>
        <w:rPr>
          <w:rFonts w:ascii="Times New Roman" w:cs="Times New Roman" w:eastAsia="Times New Roman" w:hAnsi="Times New Roman"/>
          <w:sz w:val="18"/>
          <w:szCs w:val="18"/>
          <w:color w:val="auto"/>
        </w:rPr>
      </w:pPr>
    </w:p>
    <w:p>
      <w:pPr>
        <w:ind w:left="1520" w:hanging="236"/>
        <w:spacing w:after="0"/>
        <w:tabs>
          <w:tab w:leader="none" w:pos="15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when used in reference to the Corporation and any interested stockholder of the Corporation, means:</w:t>
      </w:r>
    </w:p>
    <w:p>
      <w:pPr>
        <w:spacing w:after="0" w:line="229" w:lineRule="exact"/>
        <w:rPr>
          <w:rFonts w:ascii="Times New Roman" w:cs="Times New Roman" w:eastAsia="Times New Roman" w:hAnsi="Times New Roman"/>
          <w:sz w:val="18"/>
          <w:szCs w:val="18"/>
          <w:color w:val="auto"/>
        </w:rPr>
      </w:pPr>
    </w:p>
    <w:p>
      <w:pPr>
        <w:ind w:left="640" w:right="300" w:firstLine="1292"/>
        <w:spacing w:after="0" w:line="261" w:lineRule="auto"/>
        <w:tabs>
          <w:tab w:leader="none" w:pos="215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merger or consolidation of the Corporation or any direct or indirect majority-owned subsidiary of the Corporation (a) with the interested stockholder, or (b) with any other corporation, partnership, unincorporated association or other entity if the merger or consolidation is caused by the interested stockholder and as a result of such merger or consolidation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xml:space="preserve"> above is not applicable to the surviving entity;</w:t>
      </w:r>
    </w:p>
    <w:p>
      <w:pPr>
        <w:spacing w:after="0" w:line="179" w:lineRule="exact"/>
        <w:rPr>
          <w:rFonts w:ascii="Times New Roman" w:cs="Times New Roman" w:eastAsia="Times New Roman" w:hAnsi="Times New Roman"/>
          <w:sz w:val="18"/>
          <w:szCs w:val="18"/>
          <w:color w:val="auto"/>
        </w:rPr>
      </w:pPr>
    </w:p>
    <w:p>
      <w:pPr>
        <w:ind w:left="640" w:right="140" w:firstLine="1292"/>
        <w:spacing w:after="0" w:line="258" w:lineRule="auto"/>
        <w:tabs>
          <w:tab w:leader="none" w:pos="220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ten percent (10%) or more of either the aggregate market value of all the assets of the Corporation determined on a consolidated basis or the aggregate market value of all the outstanding stock of the Corporation;</w:t>
      </w:r>
    </w:p>
    <w:p>
      <w:pPr>
        <w:spacing w:after="0" w:line="183" w:lineRule="exact"/>
        <w:rPr>
          <w:rFonts w:ascii="Times New Roman" w:cs="Times New Roman" w:eastAsia="Times New Roman" w:hAnsi="Times New Roman"/>
          <w:sz w:val="18"/>
          <w:szCs w:val="18"/>
          <w:color w:val="auto"/>
        </w:rPr>
      </w:pPr>
    </w:p>
    <w:p>
      <w:pPr>
        <w:ind w:left="640" w:firstLine="1292"/>
        <w:spacing w:after="0" w:line="253" w:lineRule="auto"/>
        <w:tabs>
          <w:tab w:leader="none" w:pos="225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transaction which results in the issuance or transfer by the Corporation or by any direct or indirect majority-owned subsidiary of the Corporation of any stock of the Corporation or of such subsidiary to the interested stockholder, except: (a) pursuant to the exercise, exchange or conversion of securities exercisable for, exchangeable for or convertible into stock of the Corporation or any such subsidiary which securities were outstanding prior to the time that the interested stockholder became such; (b) pursuant to a merger under Section 251(g) of the DGCL; (c) pursuant to a dividend or distribution paid or made, or the exercise, exchange or conversion of securities exercisable for, exchangeable for or convertible into stock of the Corporation or any such subsidiary which security is distributed, pro rata to all stockholders of a class or series of stock of the Corporation subsequent to the time the interested stockholder became such; (d) pursuant to an exchange offer by the Corporation to purchase stock made on the same terms to all stockholders of said stock; or (e) any issuance or transfer of stock by the Corporation; provided, however, that in no case under items (c)-(e) of this </w:t>
      </w:r>
      <w:r>
        <w:rPr>
          <w:rFonts w:ascii="Times New Roman" w:cs="Times New Roman" w:eastAsia="Times New Roman" w:hAnsi="Times New Roman"/>
          <w:sz w:val="18"/>
          <w:szCs w:val="18"/>
          <w:u w:val="single" w:color="auto"/>
          <w:color w:val="auto"/>
        </w:rPr>
        <w:t>subsection 12.3(c)(iii)</w:t>
      </w:r>
      <w:r>
        <w:rPr>
          <w:rFonts w:ascii="Times New Roman" w:cs="Times New Roman" w:eastAsia="Times New Roman" w:hAnsi="Times New Roman"/>
          <w:sz w:val="18"/>
          <w:szCs w:val="18"/>
          <w:color w:val="auto"/>
        </w:rPr>
        <w:t xml:space="preserve"> shall there be an increase in the interested stockholder’s proportionate share of the stock of any class or series of the Corporation or of the voting stock of the Corporation (except as a result of immaterial changes due to fractional share adjustments); or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58" w:name="page59"/>
    <w:bookmarkEnd w:id="58"/>
    <w:p>
      <w:pPr>
        <w:ind w:left="640" w:right="100" w:firstLine="1292"/>
        <w:spacing w:after="0" w:line="258" w:lineRule="auto"/>
        <w:tabs>
          <w:tab w:leader="none" w:pos="2241"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w:t>
      </w:r>
    </w:p>
    <w:p>
      <w:pPr>
        <w:spacing w:after="0" w:line="179" w:lineRule="exact"/>
        <w:rPr>
          <w:rFonts w:ascii="Times New Roman" w:cs="Times New Roman" w:eastAsia="Times New Roman" w:hAnsi="Times New Roman"/>
          <w:sz w:val="18"/>
          <w:szCs w:val="18"/>
          <w:color w:val="auto"/>
        </w:rPr>
      </w:pPr>
    </w:p>
    <w:p>
      <w:pPr>
        <w:ind w:left="-20" w:right="80" w:firstLine="1304"/>
        <w:spacing w:after="0" w:line="256" w:lineRule="auto"/>
        <w:tabs>
          <w:tab w:leader="none" w:pos="153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control</w:t>
      </w:r>
      <w:r>
        <w:rPr>
          <w:rFonts w:ascii="Times New Roman" w:cs="Times New Roman" w:eastAsia="Times New Roman" w:hAnsi="Times New Roman"/>
          <w:sz w:val="18"/>
          <w:szCs w:val="18"/>
          <w:color w:val="auto"/>
        </w:rPr>
        <w:t>,” including the terms “</w:t>
      </w:r>
      <w:r>
        <w:rPr>
          <w:rFonts w:ascii="Times New Roman" w:cs="Times New Roman" w:eastAsia="Times New Roman" w:hAnsi="Times New Roman"/>
          <w:sz w:val="18"/>
          <w:szCs w:val="18"/>
          <w:b w:val="1"/>
          <w:bCs w:val="1"/>
          <w:i w:val="1"/>
          <w:iCs w:val="1"/>
          <w:color w:val="auto"/>
        </w:rPr>
        <w:t>controlling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under common control with</w:t>
      </w:r>
      <w:r>
        <w:rPr>
          <w:rFonts w:ascii="Times New Roman" w:cs="Times New Roman" w:eastAsia="Times New Roman" w:hAnsi="Times New Roman"/>
          <w:sz w:val="18"/>
          <w:szCs w:val="18"/>
          <w:color w:val="auto"/>
        </w:rPr>
        <w:t xml:space="preserve">,” means the possession, directly or indirectly, of the power to direct or cause the direction of the management and policies of a person, whether through the ownership of voting stock, by contract, or otherwise. A person who is the owner of twenty percent (20%) or more of the voting power of the outstanding voting stock of the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w:t>
      </w:r>
      <w:r>
        <w:rPr>
          <w:rFonts w:ascii="Times New Roman" w:cs="Times New Roman" w:eastAsia="Times New Roman" w:hAnsi="Times New Roman"/>
          <w:sz w:val="18"/>
          <w:szCs w:val="18"/>
          <w:i w:val="1"/>
          <w:iCs w:val="1"/>
          <w:color w:val="auto"/>
        </w:rPr>
        <w:t>Article XII</w:t>
      </w:r>
      <w:r>
        <w:rPr>
          <w:rFonts w:ascii="Times New Roman" w:cs="Times New Roman" w:eastAsia="Times New Roman" w:hAnsi="Times New Roman"/>
          <w:sz w:val="18"/>
          <w:szCs w:val="18"/>
          <w:color w:val="auto"/>
        </w:rPr>
        <w:t>, as an agent, bank, broker, nominee, custodian or trustee for one or more owners who do not individually or as a group have control of such entity.</w:t>
      </w:r>
    </w:p>
    <w:p>
      <w:pPr>
        <w:spacing w:after="0" w:line="182" w:lineRule="exact"/>
        <w:rPr>
          <w:rFonts w:ascii="Times New Roman" w:cs="Times New Roman" w:eastAsia="Times New Roman" w:hAnsi="Times New Roman"/>
          <w:sz w:val="18"/>
          <w:szCs w:val="18"/>
          <w:color w:val="auto"/>
        </w:rPr>
      </w:pPr>
    </w:p>
    <w:p>
      <w:pPr>
        <w:jc w:val="both"/>
        <w:ind w:left="-20" w:right="300" w:firstLine="1304"/>
        <w:spacing w:after="0" w:line="317" w:lineRule="auto"/>
        <w:tabs>
          <w:tab w:leader="none" w:pos="1521"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Exempted Person</w:t>
      </w:r>
      <w:r>
        <w:rPr>
          <w:rFonts w:ascii="Times New Roman" w:cs="Times New Roman" w:eastAsia="Times New Roman" w:hAnsi="Times New Roman"/>
          <w:sz w:val="17"/>
          <w:szCs w:val="17"/>
          <w:color w:val="auto"/>
        </w:rPr>
        <w:t>” means the Sponsor and its affiliates, any of their respective direct or indirect transferees of at least 15% of the Corporation’s outstanding common stock after such transfer and any “group” of which any such person is a part under Rule 13d-5 of the Exchange Act.</w:t>
      </w:r>
    </w:p>
    <w:p>
      <w:pPr>
        <w:spacing w:after="0" w:line="131" w:lineRule="exact"/>
        <w:rPr>
          <w:rFonts w:ascii="Times New Roman" w:cs="Times New Roman" w:eastAsia="Times New Roman" w:hAnsi="Times New Roman"/>
          <w:sz w:val="17"/>
          <w:szCs w:val="17"/>
          <w:color w:val="auto"/>
        </w:rPr>
      </w:pPr>
    </w:p>
    <w:p>
      <w:pPr>
        <w:ind w:left="-20" w:firstLine="1304"/>
        <w:spacing w:after="0" w:line="254" w:lineRule="auto"/>
        <w:tabs>
          <w:tab w:leader="none" w:pos="150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interested stockholder</w:t>
      </w:r>
      <w:r>
        <w:rPr>
          <w:rFonts w:ascii="Times New Roman" w:cs="Times New Roman" w:eastAsia="Times New Roman" w:hAnsi="Times New Roman"/>
          <w:sz w:val="18"/>
          <w:szCs w:val="18"/>
          <w:color w:val="auto"/>
        </w:rPr>
        <w:t>” means any person (other than the Corporation or any direct or indirect majority-owned subsidiary of the Corporation) that (i) is the owner of fifteen percent (15%) or more of the outstanding voting stock of the Corporation, or (ii) is an affiliate or associate of the Corporation and was the owner of fifteen percent (15%) or more of the outstanding voting stock of the Corporation at any time within the three (3) year period immediately prior to the date on which it is sought to be determined whether such person is an interested stockholder; and the affiliates and associates of such person; but “interested stockholder” shall not include (a) any Exempted Person, or (b) any person whose ownership of shares in excess of the fifteen percent (15%) limitation set forth herein is the result of any action taken solely by the Corporation; provided that with respect to clause (b) such person shall be an interested stockholder if thereafter such person acquires additional shares of voting stock of the Corporation, except as a result of further corporate action not caused, directly or indirectly, by such person. For the purpose of determining whether a person is an interested stockholder, the voting stock of the Corporation deemed to be outstanding shall include stock deemed to be owned by the person through application of the definition of “owner” below but shall not include any other unissued stock of the Corporation which may be issuable pursuant to any agreement, arrangement or understanding, or upon exercise of conversion rights, warrants or options, or otherwise.</w:t>
      </w:r>
    </w:p>
    <w:p>
      <w:pPr>
        <w:spacing w:after="0" w:line="182" w:lineRule="exact"/>
        <w:rPr>
          <w:rFonts w:ascii="Times New Roman" w:cs="Times New Roman" w:eastAsia="Times New Roman" w:hAnsi="Times New Roman"/>
          <w:sz w:val="18"/>
          <w:szCs w:val="18"/>
          <w:color w:val="auto"/>
        </w:rPr>
      </w:pPr>
    </w:p>
    <w:p>
      <w:pPr>
        <w:ind w:left="-20" w:right="200" w:firstLine="1304"/>
        <w:spacing w:after="0" w:line="286" w:lineRule="auto"/>
        <w:tabs>
          <w:tab w:leader="none" w:pos="153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owner</w:t>
      </w:r>
      <w:r>
        <w:rPr>
          <w:rFonts w:ascii="Times New Roman" w:cs="Times New Roman" w:eastAsia="Times New Roman" w:hAnsi="Times New Roman"/>
          <w:sz w:val="18"/>
          <w:szCs w:val="18"/>
          <w:color w:val="auto"/>
        </w:rPr>
        <w:t>,” including the terms “</w:t>
      </w:r>
      <w:r>
        <w:rPr>
          <w:rFonts w:ascii="Times New Roman" w:cs="Times New Roman" w:eastAsia="Times New Roman" w:hAnsi="Times New Roman"/>
          <w:sz w:val="18"/>
          <w:szCs w:val="18"/>
          <w:b w:val="1"/>
          <w:bCs w:val="1"/>
          <w:i w:val="1"/>
          <w:iCs w:val="1"/>
          <w:color w:val="auto"/>
        </w:rPr>
        <w:t>own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owned</w:t>
      </w:r>
      <w:r>
        <w:rPr>
          <w:rFonts w:ascii="Times New Roman" w:cs="Times New Roman" w:eastAsia="Times New Roman" w:hAnsi="Times New Roman"/>
          <w:sz w:val="18"/>
          <w:szCs w:val="18"/>
          <w:color w:val="auto"/>
        </w:rPr>
        <w:t>,” when used with respect to any stock, means a person that individually or with or through any of its affiliates or associates:</w:t>
      </w:r>
    </w:p>
    <w:p>
      <w:pPr>
        <w:spacing w:after="0" w:line="158" w:lineRule="exact"/>
        <w:rPr>
          <w:rFonts w:ascii="Times New Roman" w:cs="Times New Roman" w:eastAsia="Times New Roman" w:hAnsi="Times New Roman"/>
          <w:sz w:val="18"/>
          <w:szCs w:val="18"/>
          <w:color w:val="auto"/>
        </w:rPr>
      </w:pPr>
    </w:p>
    <w:p>
      <w:pPr>
        <w:ind w:left="2140" w:hanging="208"/>
        <w:spacing w:after="0"/>
        <w:tabs>
          <w:tab w:leader="none" w:pos="21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beneficially owns such stock, directly or indirectly; or</w:t>
      </w:r>
    </w:p>
    <w:p>
      <w:pPr>
        <w:spacing w:after="0" w:line="225" w:lineRule="exact"/>
        <w:rPr>
          <w:rFonts w:ascii="Times New Roman" w:cs="Times New Roman" w:eastAsia="Times New Roman" w:hAnsi="Times New Roman"/>
          <w:sz w:val="18"/>
          <w:szCs w:val="18"/>
          <w:color w:val="auto"/>
        </w:rPr>
      </w:pPr>
    </w:p>
    <w:p>
      <w:pPr>
        <w:ind w:left="640" w:right="80" w:firstLine="1292"/>
        <w:spacing w:after="0" w:line="255" w:lineRule="auto"/>
        <w:tabs>
          <w:tab w:leader="none" w:pos="2201"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the right to acquire such stock (whether such right is exercisable immediately or only after the passage of time) pursuant to any agreement, arrangement or understanding, or upon the exercise of conversion rights, exchange rights, warrants or options, or otherwise; provided, however, that a person shall not be deemed the owner of stock tendered pursuant to a tender or exchange offer made by such person or any of such person’s affiliates or associates until such tendered stock is accepted for purchase or exchange; or (b) the right to vote such stock pursuant to any agreement, arrangement or understanding; provided, however,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ten (10) or more persons; or</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59" w:name="page60"/>
    <w:bookmarkEnd w:id="59"/>
    <w:p>
      <w:pPr>
        <w:jc w:val="both"/>
        <w:ind w:left="660" w:right="60" w:firstLine="1292"/>
        <w:spacing w:after="0" w:line="266" w:lineRule="auto"/>
        <w:tabs>
          <w:tab w:leader="none" w:pos="227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has any agreement, arrangement or understanding for the purpose of acquiring, holding, voting (except voting pursuant to a revocable proxy or consent as described in </w:t>
      </w:r>
      <w:r>
        <w:rPr>
          <w:rFonts w:ascii="Times New Roman" w:cs="Times New Roman" w:eastAsia="Times New Roman" w:hAnsi="Times New Roman"/>
          <w:sz w:val="18"/>
          <w:szCs w:val="18"/>
          <w:u w:val="single" w:color="auto"/>
          <w:color w:val="auto"/>
        </w:rPr>
        <w:t>subsection 12.3(g)(ii)</w:t>
      </w:r>
      <w:r>
        <w:rPr>
          <w:rFonts w:ascii="Times New Roman" w:cs="Times New Roman" w:eastAsia="Times New Roman" w:hAnsi="Times New Roman"/>
          <w:sz w:val="18"/>
          <w:szCs w:val="18"/>
          <w:color w:val="auto"/>
        </w:rPr>
        <w:t xml:space="preserve"> above), or disposing of such stock with any other person that beneficially owns, or whose affiliates or associates beneficially own, directly or indirectly, such stock.</w:t>
      </w:r>
    </w:p>
    <w:p>
      <w:pPr>
        <w:spacing w:after="0" w:line="17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individual, corporation, partnership, unincorporated association or other entity.</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w:t>
      </w:r>
      <w:r>
        <w:rPr>
          <w:rFonts w:ascii="Times New Roman" w:cs="Times New Roman" w:eastAsia="Times New Roman" w:hAnsi="Times New Roman"/>
          <w:sz w:val="18"/>
          <w:szCs w:val="18"/>
          <w:color w:val="auto"/>
        </w:rPr>
        <w:t>” means, with respect to any corporation, capital stock and, with respect to any other entity, any equity interest.</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voting stock</w:t>
      </w:r>
      <w:r>
        <w:rPr>
          <w:rFonts w:ascii="Times New Roman" w:cs="Times New Roman" w:eastAsia="Times New Roman" w:hAnsi="Times New Roman"/>
          <w:sz w:val="18"/>
          <w:szCs w:val="18"/>
          <w:color w:val="auto"/>
        </w:rPr>
        <w:t>” means stock of any class or series entitled to vote generally in the election of directors.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EXCLUSIVE FORUM FOR CERTAIN LAWSUITS</w:t>
      </w:r>
    </w:p>
    <w:p>
      <w:pPr>
        <w:spacing w:after="0" w:line="207" w:lineRule="exact"/>
        <w:rPr>
          <w:sz w:val="20"/>
          <w:szCs w:val="20"/>
          <w:color w:val="auto"/>
        </w:rPr>
      </w:pPr>
    </w:p>
    <w:p>
      <w:pPr>
        <w:ind w:right="20" w:firstLine="1296"/>
        <w:spacing w:after="0" w:line="268" w:lineRule="auto"/>
        <w:rPr>
          <w:sz w:val="20"/>
          <w:szCs w:val="20"/>
          <w:color w:val="auto"/>
        </w:rPr>
      </w:pPr>
      <w:r>
        <w:rPr>
          <w:rFonts w:ascii="Times New Roman" w:cs="Times New Roman" w:eastAsia="Times New Roman" w:hAnsi="Times New Roman"/>
          <w:sz w:val="17"/>
          <w:szCs w:val="17"/>
          <w:color w:val="auto"/>
        </w:rPr>
        <w:t xml:space="preserve">Section 13.1 </w:t>
      </w:r>
      <w:r>
        <w:rPr>
          <w:rFonts w:ascii="Times New Roman" w:cs="Times New Roman" w:eastAsia="Times New Roman" w:hAnsi="Times New Roman"/>
          <w:sz w:val="17"/>
          <w:szCs w:val="17"/>
          <w:u w:val="single" w:color="auto"/>
          <w:color w:val="auto"/>
        </w:rPr>
        <w:t>Forum</w:t>
      </w:r>
      <w:r>
        <w:rPr>
          <w:rFonts w:ascii="Times New Roman" w:cs="Times New Roman" w:eastAsia="Times New Roman" w:hAnsi="Times New Roman"/>
          <w:sz w:val="17"/>
          <w:szCs w:val="17"/>
          <w:color w:val="auto"/>
        </w:rPr>
        <w:t>. Unless the Corporation consents in writing to the selection of an alternative forum, the Court of Chancery of the State of Delaware (the “</w:t>
      </w:r>
      <w:r>
        <w:rPr>
          <w:rFonts w:ascii="Times New Roman" w:cs="Times New Roman" w:eastAsia="Times New Roman" w:hAnsi="Times New Roman"/>
          <w:sz w:val="17"/>
          <w:szCs w:val="17"/>
          <w:b w:val="1"/>
          <w:bCs w:val="1"/>
          <w:i w:val="1"/>
          <w:iCs w:val="1"/>
          <w:color w:val="auto"/>
        </w:rPr>
        <w:t>Court of Chancery</w:t>
      </w:r>
      <w:r>
        <w:rPr>
          <w:rFonts w:ascii="Times New Roman" w:cs="Times New Roman" w:eastAsia="Times New Roman" w:hAnsi="Times New Roman"/>
          <w:sz w:val="17"/>
          <w:szCs w:val="17"/>
          <w:color w:val="auto"/>
        </w:rPr>
        <w:t>”) shall be the sole and exclusive forum for any stockholder (including a beneficial owner) to bring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its directors, officers or employees arising pursuant to any provision of the DGCL or this Amended and Restated Certificate or the Bylaws, or (iv) any action asserting a claim against the Corporation, its directors, officers or employees governed by the internal affairs doctrine and, if brought outside of Delaware, the stockholder bringing the suit will be deemed to have consented to service of process on such stockholder’s counsel, except for, as to each of</w:t>
      </w:r>
    </w:p>
    <w:p>
      <w:pPr>
        <w:spacing w:after="0" w:line="2" w:lineRule="exact"/>
        <w:rPr>
          <w:sz w:val="20"/>
          <w:szCs w:val="20"/>
          <w:color w:val="auto"/>
        </w:rPr>
      </w:pPr>
    </w:p>
    <w:p>
      <w:pPr>
        <w:ind w:right="80" w:firstLine="8"/>
        <w:spacing w:after="0" w:line="251" w:lineRule="auto"/>
        <w:tabs>
          <w:tab w:leader="none" w:pos="21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through (iv) above, any claim (A)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as to which the Court of Chancery and the U.S. federal district court for the District of Delaware shall have concurrent jurisdiction. Notwithstanding the foregoing, the provisions of this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xml:space="preserve"> will not apply to suits brought to enforce a duty or liability created by the Exchange Act or any other claim for which the U.S. federal district courts have exclusive jurisdiction. Unless the Corporation consents in writing to the selection of an alternative forum, the U.S. federal district courts shall be the exclusive forum for the resolution of any complaint asserting a cause of action arising under the Securities Act of 1933, as amended, against the Corporation or any director, officer, other employee or agent of the Corporation. Any person or entity purchasing or otherwise acquiring any interest in any security of the Corporation shall be deemed to have notice of and consented to the provisions of this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13.2 </w:t>
      </w:r>
      <w:r>
        <w:rPr>
          <w:rFonts w:ascii="Times New Roman" w:cs="Times New Roman" w:eastAsia="Times New Roman" w:hAnsi="Times New Roman"/>
          <w:sz w:val="18"/>
          <w:szCs w:val="18"/>
          <w:u w:val="single" w:color="auto"/>
          <w:color w:val="auto"/>
        </w:rPr>
        <w:t>Consent to Jurisdiction</w:t>
      </w:r>
      <w:r>
        <w:rPr>
          <w:rFonts w:ascii="Times New Roman" w:cs="Times New Roman" w:eastAsia="Times New Roman" w:hAnsi="Times New Roman"/>
          <w:sz w:val="18"/>
          <w:szCs w:val="18"/>
          <w:color w:val="auto"/>
        </w:rPr>
        <w:t xml:space="preserve">. If any action the subject matter of which is within the scope of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xml:space="preserve"> immediately above is filed in a court other than a court located within the State of Delaware (a “</w:t>
      </w:r>
      <w:r>
        <w:rPr>
          <w:rFonts w:ascii="Times New Roman" w:cs="Times New Roman" w:eastAsia="Times New Roman" w:hAnsi="Times New Roman"/>
          <w:sz w:val="18"/>
          <w:szCs w:val="18"/>
          <w:b w:val="1"/>
          <w:bCs w:val="1"/>
          <w:i w:val="1"/>
          <w:iCs w:val="1"/>
          <w:color w:val="auto"/>
        </w:rPr>
        <w:t>Foreign Action</w:t>
      </w:r>
      <w:r>
        <w:rPr>
          <w:rFonts w:ascii="Times New Roman" w:cs="Times New Roman" w:eastAsia="Times New Roman" w:hAnsi="Times New Roman"/>
          <w:sz w:val="18"/>
          <w:szCs w:val="18"/>
          <w:color w:val="auto"/>
        </w:rPr>
        <w:t xml:space="preserve">”) in the name of any stockholder, such stockholder shall be deemed to have consented to (i) the personal jurisdiction of the state and U.S. federal district courts located within the State of Delaware in connection with any action brought in any such court to enforce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xml:space="preserve"> immediately above (an “</w:t>
      </w:r>
      <w:r>
        <w:rPr>
          <w:rFonts w:ascii="Times New Roman" w:cs="Times New Roman" w:eastAsia="Times New Roman" w:hAnsi="Times New Roman"/>
          <w:sz w:val="18"/>
          <w:szCs w:val="18"/>
          <w:b w:val="1"/>
          <w:bCs w:val="1"/>
          <w:i w:val="1"/>
          <w:iCs w:val="1"/>
          <w:color w:val="auto"/>
        </w:rPr>
        <w:t>FSC Enforcement Action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and (ii) having service of process made upon such stockholder in any such FSC Enforcement Action by service upon such stockholder’s counsel in the Foreign Action as agent for such stockholder.</w:t>
      </w:r>
    </w:p>
    <w:p>
      <w:pPr>
        <w:spacing w:after="0" w:line="185" w:lineRule="exact"/>
        <w:rPr>
          <w:sz w:val="20"/>
          <w:szCs w:val="20"/>
          <w:color w:val="auto"/>
        </w:rPr>
      </w:pPr>
    </w:p>
    <w:p>
      <w:pPr>
        <w:ind w:right="4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13.3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If any provision or provisions of this </w:t>
      </w:r>
      <w:r>
        <w:rPr>
          <w:rFonts w:ascii="Times New Roman" w:cs="Times New Roman" w:eastAsia="Times New Roman" w:hAnsi="Times New Roman"/>
          <w:sz w:val="18"/>
          <w:szCs w:val="18"/>
          <w:i w:val="1"/>
          <w:iCs w:val="1"/>
          <w:color w:val="auto"/>
        </w:rPr>
        <w:t>Article XII</w:t>
      </w:r>
      <w:r>
        <w:rPr>
          <w:rFonts w:ascii="Times New Roman" w:cs="Times New Roman" w:eastAsia="Times New Roman" w:hAnsi="Times New Roman"/>
          <w:sz w:val="18"/>
          <w:szCs w:val="18"/>
          <w:color w:val="auto"/>
        </w:rPr>
        <w:t xml:space="preserve">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w:t>
      </w:r>
      <w:r>
        <w:rPr>
          <w:rFonts w:ascii="Times New Roman" w:cs="Times New Roman" w:eastAsia="Times New Roman" w:hAnsi="Times New Roman"/>
          <w:sz w:val="18"/>
          <w:szCs w:val="18"/>
          <w:i w:val="1"/>
          <w:iCs w:val="1"/>
          <w:color w:val="auto"/>
        </w:rPr>
        <w:t>Article XII</w:t>
      </w:r>
      <w:r>
        <w:rPr>
          <w:rFonts w:ascii="Times New Roman" w:cs="Times New Roman" w:eastAsia="Times New Roman" w:hAnsi="Times New Roman"/>
          <w:sz w:val="18"/>
          <w:szCs w:val="18"/>
          <w:color w:val="auto"/>
        </w:rPr>
        <w:t xml:space="preserve"> (including, without limitation, each portion of any sentence of this </w:t>
      </w:r>
      <w:r>
        <w:rPr>
          <w:rFonts w:ascii="Times New Roman" w:cs="Times New Roman" w:eastAsia="Times New Roman" w:hAnsi="Times New Roman"/>
          <w:sz w:val="18"/>
          <w:szCs w:val="18"/>
          <w:i w:val="1"/>
          <w:iCs w:val="1"/>
          <w:color w:val="auto"/>
        </w:rPr>
        <w:t>Article XII</w:t>
      </w:r>
      <w:r>
        <w:rPr>
          <w:rFonts w:ascii="Times New Roman" w:cs="Times New Roman" w:eastAsia="Times New Roman" w:hAnsi="Times New Roman"/>
          <w:sz w:val="18"/>
          <w:szCs w:val="18"/>
          <w:color w:val="auto"/>
        </w:rPr>
        <w:t xml:space="preserve"> containing any such provision held to be invalid, illegal or unenforceable that is not itself held to be invalid, illegal or unenforceable) and the application of such provision to other persons or entities and circumstances shall not in any way be affected or impaired thereby. Any person or entity purchasing or otherwise acquiring any interest in shares of capital stock of the Corporation shall be deemed to have notice of and consented to the provisions of this </w:t>
      </w:r>
      <w:r>
        <w:rPr>
          <w:rFonts w:ascii="Times New Roman" w:cs="Times New Roman" w:eastAsia="Times New Roman" w:hAnsi="Times New Roman"/>
          <w:sz w:val="18"/>
          <w:szCs w:val="18"/>
          <w:i w:val="1"/>
          <w:iCs w:val="1"/>
          <w:color w:val="auto"/>
        </w:rPr>
        <w:t>Article XII</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60" w:name="page61"/>
    <w:bookmarkEnd w:id="60"/>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CM Life Sciences, Inc. has caused this Amended and Restated Certificate to be duly executed and acknowledged in its name and on its behalf by an authorized officer as of the date first set forth above.</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CM LIFE SCIENCES, INC.</w:t>
      </w:r>
    </w:p>
    <w:p>
      <w:pPr>
        <w:spacing w:after="0" w:line="27"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Brian Emes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5715</wp:posOffset>
            </wp:positionV>
            <wp:extent cx="255460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ind w:left="7220"/>
        <w:spacing w:after="0"/>
        <w:rPr>
          <w:sz w:val="20"/>
          <w:szCs w:val="20"/>
          <w:color w:val="auto"/>
        </w:rPr>
      </w:pPr>
      <w:r>
        <w:rPr>
          <w:rFonts w:ascii="Times New Roman" w:cs="Times New Roman" w:eastAsia="Times New Roman" w:hAnsi="Times New Roman"/>
          <w:sz w:val="18"/>
          <w:szCs w:val="18"/>
          <w:color w:val="auto"/>
        </w:rPr>
        <w:t>Name: Brian Emes</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 and Secretary</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[Signature Page to Amended and Restated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CM LIFE SCIENCES,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September 1, 2020</w:t>
      </w:r>
    </w:p>
    <w:p>
      <w:pPr>
        <w:spacing w:after="0" w:line="221"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18"/>
          <w:szCs w:val="18"/>
          <w:color w:val="auto"/>
        </w:rPr>
        <w:t>THIS WARRANT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dated September 1, 2020, is by and between CM Life Sciences,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Continental Stock Transfer &amp; Trust Company, a New York corporation, as warrant agent (in such capacity, the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WHEREAS, it is proposed that the Company enter into that certain Private Placement Warrants Purchase Agreement, with CMLS Holdings LLC, a Delaware limited liability company (the “</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and those individuals named in Exhibit A thereto (together with the Sponsor, the “</w:t>
      </w:r>
      <w:r>
        <w:rPr>
          <w:rFonts w:ascii="Times New Roman" w:cs="Times New Roman" w:eastAsia="Times New Roman" w:hAnsi="Times New Roman"/>
          <w:sz w:val="18"/>
          <w:szCs w:val="18"/>
          <w:b w:val="1"/>
          <w:bCs w:val="1"/>
          <w:i w:val="1"/>
          <w:iCs w:val="1"/>
          <w:color w:val="auto"/>
        </w:rPr>
        <w:t>Purchasers</w:t>
      </w:r>
      <w:r>
        <w:rPr>
          <w:rFonts w:ascii="Times New Roman" w:cs="Times New Roman" w:eastAsia="Times New Roman" w:hAnsi="Times New Roman"/>
          <w:sz w:val="18"/>
          <w:szCs w:val="18"/>
          <w:color w:val="auto"/>
        </w:rPr>
        <w:t xml:space="preserve">”) pursuant to which the Purchasers will purchase an aggregate of 6,466,667 warrants (or up to 7,236,667 warrants if the underwriters in the Offering (defined below) exercise their Over-allotment Option (as defined below) in full) simultaneously with the closing of the Offering (and the closing of the Over-allotment Option, if applicable), bearing the legend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i w:val="1"/>
          <w:iCs w:val="1"/>
          <w:color w:val="auto"/>
        </w:rPr>
        <w:t>Private Placement Warrants</w:t>
      </w:r>
      <w:r>
        <w:rPr>
          <w:rFonts w:ascii="Times New Roman" w:cs="Times New Roman" w:eastAsia="Times New Roman" w:hAnsi="Times New Roman"/>
          <w:sz w:val="18"/>
          <w:szCs w:val="18"/>
          <w:color w:val="auto"/>
        </w:rPr>
        <w:t>”) at a purchase price of $1.50 per Private Placement Warrant. Each Private Placement Warrant entitles the holder thereof to purchase one share of Common Stock (as defined below) at a price of $11.50 per share, subject to adjustment as described herein; and</w:t>
      </w:r>
    </w:p>
    <w:p>
      <w:pPr>
        <w:spacing w:after="0" w:line="189" w:lineRule="exact"/>
        <w:rPr>
          <w:sz w:val="20"/>
          <w:szCs w:val="20"/>
          <w:color w:val="auto"/>
        </w:rPr>
      </w:pPr>
    </w:p>
    <w:p>
      <w:pPr>
        <w:ind w:right="500" w:firstLine="648"/>
        <w:spacing w:after="0" w:line="258" w:lineRule="auto"/>
        <w:rPr>
          <w:sz w:val="20"/>
          <w:szCs w:val="20"/>
          <w:color w:val="auto"/>
        </w:rPr>
      </w:pPr>
      <w:r>
        <w:rPr>
          <w:rFonts w:ascii="Times New Roman" w:cs="Times New Roman" w:eastAsia="Times New Roman" w:hAnsi="Times New Roman"/>
          <w:sz w:val="18"/>
          <w:szCs w:val="18"/>
          <w:color w:val="auto"/>
        </w:rPr>
        <w:t>WHEREAS, in order to finance the Company’s transaction costs in connection with an intended initial merger, capital stock exchange, asset acquisition, stock purchase, reorganization or similar business combination, involving the Company and one or more businesses (a “</w:t>
      </w:r>
      <w:r>
        <w:rPr>
          <w:rFonts w:ascii="Times New Roman" w:cs="Times New Roman" w:eastAsia="Times New Roman" w:hAnsi="Times New Roman"/>
          <w:sz w:val="18"/>
          <w:szCs w:val="18"/>
          <w:b w:val="1"/>
          <w:bCs w:val="1"/>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Combination</w:t>
      </w:r>
      <w:r>
        <w:rPr>
          <w:rFonts w:ascii="Times New Roman" w:cs="Times New Roman" w:eastAsia="Times New Roman" w:hAnsi="Times New Roman"/>
          <w:sz w:val="18"/>
          <w:szCs w:val="18"/>
          <w:color w:val="auto"/>
        </w:rPr>
        <w:t>”), the Sponsor or an affiliate of the Sponsor or certain of the Company’s officers and directors may, but are not obligated to, loan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funds as the Company may require, of which up to $1,500,000 of such loans may be convertible into up to an additional 1,000,000 Private Placement Warrants at a price of $1.50 per Private Placement Warrant; and</w:t>
      </w:r>
    </w:p>
    <w:p>
      <w:pPr>
        <w:spacing w:after="0" w:line="17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WHEREAS, the Company is engaged in an initial public offering (the “</w:t>
      </w:r>
      <w:r>
        <w:rPr>
          <w:rFonts w:ascii="Times New Roman" w:cs="Times New Roman" w:eastAsia="Times New Roman" w:hAnsi="Times New Roman"/>
          <w:sz w:val="18"/>
          <w:szCs w:val="18"/>
          <w:b w:val="1"/>
          <w:bCs w:val="1"/>
          <w:i w:val="1"/>
          <w:iCs w:val="1"/>
          <w:color w:val="auto"/>
        </w:rPr>
        <w:t>Offering</w:t>
      </w:r>
      <w:r>
        <w:rPr>
          <w:rFonts w:ascii="Times New Roman" w:cs="Times New Roman" w:eastAsia="Times New Roman" w:hAnsi="Times New Roman"/>
          <w:sz w:val="18"/>
          <w:szCs w:val="18"/>
          <w:color w:val="auto"/>
        </w:rPr>
        <w:t>”) of units of the Company’s equity securities, each such unit comprised of one share of Class A common stock of the Company, par value $0.0001 per 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and one-third of one Public Warrant (as defined below) (the “</w:t>
      </w:r>
      <w:r>
        <w:rPr>
          <w:rFonts w:ascii="Times New Roman" w:cs="Times New Roman" w:eastAsia="Times New Roman" w:hAnsi="Times New Roman"/>
          <w:sz w:val="18"/>
          <w:szCs w:val="18"/>
          <w:b w:val="1"/>
          <w:bCs w:val="1"/>
          <w:i w:val="1"/>
          <w:iCs w:val="1"/>
          <w:color w:val="auto"/>
        </w:rPr>
        <w:t>Units</w:t>
      </w:r>
      <w:r>
        <w:rPr>
          <w:rFonts w:ascii="Times New Roman" w:cs="Times New Roman" w:eastAsia="Times New Roman" w:hAnsi="Times New Roman"/>
          <w:sz w:val="18"/>
          <w:szCs w:val="18"/>
          <w:color w:val="auto"/>
        </w:rPr>
        <w:t>”) and, in connection therewith, has determined to issue and deliver up to 14,758,333 redeemable warrants (including up to 1,925,000 redeemable warrants subject to the Over-allotment Option) to public investors in the Offering (the “</w:t>
      </w:r>
      <w:r>
        <w:rPr>
          <w:rFonts w:ascii="Times New Roman" w:cs="Times New Roman" w:eastAsia="Times New Roman" w:hAnsi="Times New Roman"/>
          <w:sz w:val="18"/>
          <w:szCs w:val="18"/>
          <w:b w:val="1"/>
          <w:bCs w:val="1"/>
          <w:i w:val="1"/>
          <w:iCs w:val="1"/>
          <w:color w:val="auto"/>
        </w:rPr>
        <w:t>Public Warrants</w:t>
      </w:r>
      <w:r>
        <w:rPr>
          <w:rFonts w:ascii="Times New Roman" w:cs="Times New Roman" w:eastAsia="Times New Roman" w:hAnsi="Times New Roman"/>
          <w:sz w:val="18"/>
          <w:szCs w:val="18"/>
          <w:color w:val="auto"/>
        </w:rPr>
        <w:t>” and, together with the Private Placement Warrants, the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Each whole Warrant entitles the holder thereof to purchase one share of Common Stock for $11.50 per share, subject to adjustment as described herein. Only whole Warrants are exercisable. A holder of the Public Warrants will not be able to exercise any fraction of a Warrant; and</w:t>
      </w:r>
    </w:p>
    <w:p>
      <w:pPr>
        <w:spacing w:after="0" w:line="183"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18"/>
          <w:szCs w:val="18"/>
          <w:color w:val="auto"/>
        </w:rPr>
        <w:t>WHEREAS, the Company has filed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a registration statement on Form S-1, File No. 333-246251 and prospectus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for the registration,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of the Units, the Public Warrants and the Common Stock included in the Units; and</w:t>
      </w:r>
    </w:p>
    <w:p>
      <w:pPr>
        <w:spacing w:after="0" w:line="175"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desires the Warrant Agent to act on behalf of the Company, and the Warrant Agent is willing to so act, in connection with the issuance, registration, transfer, exchange, redemption and exercise of the Warrants;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ind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desires to provide for the form and provisions of the Warrants, the terms upon which they shall be issued and exercised, and the respective rights, limitation of rights, and immunities of the Company, the Warrant Agent and the holders of the Warrants; and</w:t>
      </w:r>
    </w:p>
    <w:p>
      <w:pPr>
        <w:spacing w:after="0" w:line="162" w:lineRule="exact"/>
        <w:rPr>
          <w:sz w:val="20"/>
          <w:szCs w:val="20"/>
          <w:color w:val="auto"/>
        </w:rPr>
      </w:pPr>
    </w:p>
    <w:p>
      <w:pPr>
        <w:ind w:right="520" w:firstLine="648"/>
        <w:spacing w:after="0" w:line="266" w:lineRule="auto"/>
        <w:rPr>
          <w:sz w:val="20"/>
          <w:szCs w:val="20"/>
          <w:color w:val="auto"/>
        </w:rPr>
      </w:pPr>
      <w:r>
        <w:rPr>
          <w:rFonts w:ascii="Times New Roman" w:cs="Times New Roman" w:eastAsia="Times New Roman" w:hAnsi="Times New Roman"/>
          <w:sz w:val="18"/>
          <w:szCs w:val="18"/>
          <w:color w:val="auto"/>
        </w:rPr>
        <w:t>WHEREAS, all acts and things have been done and performed which are necessary to make the Warrants, when executed on behalf of the Company and countersigned by or on behalf of the Warrant Agent (if a physical certificate is issued), as provided herein, the valid, binding and legal obligations of the Company, and to authorize the execution and delivery of this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mutual agreements herein contained, the parties hereto agree as follows:</w:t>
      </w:r>
    </w:p>
    <w:p>
      <w:pPr>
        <w:spacing w:after="0" w:line="225" w:lineRule="exact"/>
        <w:rPr>
          <w:sz w:val="20"/>
          <w:szCs w:val="20"/>
          <w:color w:val="auto"/>
        </w:rPr>
      </w:pPr>
    </w:p>
    <w:p>
      <w:pPr>
        <w:ind w:right="220" w:firstLine="656"/>
        <w:spacing w:after="0" w:line="312" w:lineRule="auto"/>
        <w:tabs>
          <w:tab w:leader="none" w:pos="873"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Appointment of Warrant Agent</w:t>
      </w:r>
      <w:r>
        <w:rPr>
          <w:rFonts w:ascii="Times New Roman" w:cs="Times New Roman" w:eastAsia="Times New Roman" w:hAnsi="Times New Roman"/>
          <w:sz w:val="17"/>
          <w:szCs w:val="17"/>
          <w:color w:val="auto"/>
        </w:rPr>
        <w:t>. The Company hereby appoints the Warrant Agent to act as agent for the Company for the Warrants, and the Warrant Agent hereby accepts such appointment and agrees to perform the same in accordance with the terms and conditions set forth in this Agreement.</w:t>
      </w:r>
    </w:p>
    <w:p>
      <w:pPr>
        <w:spacing w:after="0" w:line="139" w:lineRule="exact"/>
        <w:rPr>
          <w:rFonts w:ascii="Times New Roman" w:cs="Times New Roman" w:eastAsia="Times New Roman" w:hAnsi="Times New Roman"/>
          <w:sz w:val="17"/>
          <w:szCs w:val="17"/>
          <w:color w:val="auto"/>
        </w:rPr>
      </w:pPr>
    </w:p>
    <w:p>
      <w:pPr>
        <w:ind w:left="880" w:hanging="224"/>
        <w:spacing w:after="0"/>
        <w:tabs>
          <w:tab w:leader="none" w:pos="8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Form of Warrant</w:t>
      </w:r>
      <w:r>
        <w:rPr>
          <w:rFonts w:ascii="Times New Roman" w:cs="Times New Roman" w:eastAsia="Times New Roman" w:hAnsi="Times New Roman"/>
          <w:sz w:val="18"/>
          <w:szCs w:val="18"/>
          <w:color w:val="auto"/>
        </w:rPr>
        <w:t>. Each Warrant shall initially be issued in registered form only.</w:t>
      </w:r>
    </w:p>
    <w:p>
      <w:pPr>
        <w:spacing w:after="0" w:line="225" w:lineRule="exact"/>
        <w:rPr>
          <w:sz w:val="20"/>
          <w:szCs w:val="20"/>
          <w:color w:val="auto"/>
        </w:rPr>
      </w:pPr>
    </w:p>
    <w:p>
      <w:pPr>
        <w:ind w:right="24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Effect of Countersignature</w:t>
      </w:r>
      <w:r>
        <w:rPr>
          <w:rFonts w:ascii="Times New Roman" w:cs="Times New Roman" w:eastAsia="Times New Roman" w:hAnsi="Times New Roman"/>
          <w:sz w:val="18"/>
          <w:szCs w:val="18"/>
          <w:color w:val="auto"/>
        </w:rPr>
        <w:t>. If a physical certificate is issued, unless and until countersigned by the Warrant Agent pursuant to this Agreement, a certificated Warrant shall be invalid and of no effect and may not be exercised by the holder thereof.</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260" w:firstLine="1944"/>
        <w:spacing w:after="0" w:line="257" w:lineRule="auto"/>
        <w:rPr>
          <w:sz w:val="20"/>
          <w:szCs w:val="20"/>
          <w:color w:val="auto"/>
        </w:rPr>
      </w:pPr>
      <w:r>
        <w:rPr>
          <w:rFonts w:ascii="Times New Roman" w:cs="Times New Roman" w:eastAsia="Times New Roman" w:hAnsi="Times New Roman"/>
          <w:sz w:val="18"/>
          <w:szCs w:val="18"/>
          <w:color w:val="auto"/>
        </w:rPr>
        <w:t xml:space="preserve">2.3.1.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Warrant Agent shall maintain books (the “</w:t>
      </w:r>
      <w:r>
        <w:rPr>
          <w:rFonts w:ascii="Times New Roman" w:cs="Times New Roman" w:eastAsia="Times New Roman" w:hAnsi="Times New Roman"/>
          <w:sz w:val="18"/>
          <w:szCs w:val="18"/>
          <w:b w:val="1"/>
          <w:bCs w:val="1"/>
          <w:i w:val="1"/>
          <w:iCs w:val="1"/>
          <w:color w:val="auto"/>
        </w:rPr>
        <w:t>Warrant Register</w:t>
      </w:r>
      <w:r>
        <w:rPr>
          <w:rFonts w:ascii="Times New Roman" w:cs="Times New Roman" w:eastAsia="Times New Roman" w:hAnsi="Times New Roman"/>
          <w:sz w:val="18"/>
          <w:szCs w:val="18"/>
          <w:color w:val="auto"/>
        </w:rPr>
        <w:t>”), for the registration of original issuance and the registration of transfer of the Warrants. Upon the initial issuance of the Warrants in book-entry form, the Warrant Agent shall issue and register the Warrants in the names of the respective holders thereof in such denominations and otherwise in accordance with instructions delivered to the Warrant Agent by the Company. Ownership of beneficial interests in the Public Warrants shall be shown on, and the transfer of such ownership shall be effected through, records maintained by institutions that have accounts with The Depository Trust Company (the “</w:t>
      </w:r>
      <w:r>
        <w:rPr>
          <w:rFonts w:ascii="Times New Roman" w:cs="Times New Roman" w:eastAsia="Times New Roman" w:hAnsi="Times New Roman"/>
          <w:sz w:val="18"/>
          <w:szCs w:val="18"/>
          <w:b w:val="1"/>
          <w:bCs w:val="1"/>
          <w:i w:val="1"/>
          <w:iCs w:val="1"/>
          <w:color w:val="auto"/>
        </w:rPr>
        <w:t>Depositary</w:t>
      </w:r>
      <w:r>
        <w:rPr>
          <w:rFonts w:ascii="Times New Roman" w:cs="Times New Roman" w:eastAsia="Times New Roman" w:hAnsi="Times New Roman"/>
          <w:sz w:val="18"/>
          <w:szCs w:val="18"/>
          <w:color w:val="auto"/>
        </w:rPr>
        <w:t>”) (such institution, with respect to a Warrant in its account, a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right="60" w:firstLine="648"/>
        <w:spacing w:after="0" w:line="277" w:lineRule="auto"/>
        <w:rPr>
          <w:sz w:val="20"/>
          <w:szCs w:val="20"/>
          <w:color w:val="auto"/>
        </w:rPr>
      </w:pPr>
      <w:r>
        <w:rPr>
          <w:rFonts w:ascii="Times New Roman" w:cs="Times New Roman" w:eastAsia="Times New Roman" w:hAnsi="Times New Roman"/>
          <w:sz w:val="17"/>
          <w:szCs w:val="17"/>
          <w:color w:val="auto"/>
        </w:rPr>
        <w:t>If the Depositary subsequently ceases to make its book-entry settlement system available for the Public Warrants, the Company may instruct the Warrant Agent regarding making other arrangements for book-entry settlement. In the event that the Public Warrants are not eligible for, or it is no longer necessary to have the Public Warrants available in, book-entry form, the Warrant Agent shall provide written instructions to the Depositary to deliver to the Warrant Agent for cancellation each book-entry Public Warrant, and the Company shall instruct the Warrant Agent to deliver to the Depositary definitive certificates in physical form evidencing such Warrants (“</w:t>
      </w:r>
      <w:r>
        <w:rPr>
          <w:rFonts w:ascii="Times New Roman" w:cs="Times New Roman" w:eastAsia="Times New Roman" w:hAnsi="Times New Roman"/>
          <w:sz w:val="17"/>
          <w:szCs w:val="17"/>
          <w:b w:val="1"/>
          <w:bCs w:val="1"/>
          <w:i w:val="1"/>
          <w:iCs w:val="1"/>
          <w:color w:val="auto"/>
        </w:rPr>
        <w:t>Definitive Warrant Certificates</w:t>
      </w:r>
      <w:r>
        <w:rPr>
          <w:rFonts w:ascii="Times New Roman" w:cs="Times New Roman" w:eastAsia="Times New Roman" w:hAnsi="Times New Roman"/>
          <w:sz w:val="17"/>
          <w:szCs w:val="17"/>
          <w:color w:val="auto"/>
        </w:rPr>
        <w:t xml:space="preserve">”) which shall be in the form annexed hereto as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Physical certificates, if issued, shall be signed by, or bear the facsimile signature of, the Chairman of the Board, Chief Executive Officer or other principal officer of the Company. In the event the person whose facsimile signature has been placed upon any Warrant shall have ceased to serve in the capacity in which such person signed the Warrant before such Warrant is issued, it may be issued with the same effect as if he or she had not ceased to be such at the date of issuance.</w:t>
      </w:r>
    </w:p>
    <w:p>
      <w:pPr>
        <w:spacing w:after="0" w:line="180" w:lineRule="exact"/>
        <w:rPr>
          <w:sz w:val="20"/>
          <w:szCs w:val="20"/>
          <w:color w:val="auto"/>
        </w:rPr>
      </w:pPr>
    </w:p>
    <w:p>
      <w:pPr>
        <w:ind w:right="60" w:firstLine="1944"/>
        <w:spacing w:after="0" w:line="261" w:lineRule="auto"/>
        <w:rPr>
          <w:sz w:val="20"/>
          <w:szCs w:val="20"/>
          <w:color w:val="auto"/>
        </w:rPr>
      </w:pPr>
      <w:r>
        <w:rPr>
          <w:rFonts w:ascii="Times New Roman" w:cs="Times New Roman" w:eastAsia="Times New Roman" w:hAnsi="Times New Roman"/>
          <w:sz w:val="18"/>
          <w:szCs w:val="18"/>
          <w:color w:val="auto"/>
        </w:rPr>
        <w:t xml:space="preserve">2.3.2. </w:t>
      </w:r>
      <w:r>
        <w:rPr>
          <w:rFonts w:ascii="Times New Roman" w:cs="Times New Roman" w:eastAsia="Times New Roman" w:hAnsi="Times New Roman"/>
          <w:sz w:val="18"/>
          <w:szCs w:val="18"/>
          <w:u w:val="single" w:color="auto"/>
          <w:color w:val="auto"/>
        </w:rPr>
        <w:t>Registered Holder</w:t>
      </w:r>
      <w:r>
        <w:rPr>
          <w:rFonts w:ascii="Times New Roman" w:cs="Times New Roman" w:eastAsia="Times New Roman" w:hAnsi="Times New Roman"/>
          <w:sz w:val="18"/>
          <w:szCs w:val="18"/>
          <w:color w:val="auto"/>
        </w:rPr>
        <w:t>. Prior to due presentment for registration of transfer of any Warrant, the Company and the Warrant Agent may deem and treat the person in whose name such Warrant is registered in the Warrant Register (the “</w:t>
      </w:r>
      <w:r>
        <w:rPr>
          <w:rFonts w:ascii="Times New Roman" w:cs="Times New Roman" w:eastAsia="Times New Roman" w:hAnsi="Times New Roman"/>
          <w:sz w:val="18"/>
          <w:szCs w:val="18"/>
          <w:b w:val="1"/>
          <w:bCs w:val="1"/>
          <w:i w:val="1"/>
          <w:iCs w:val="1"/>
          <w:color w:val="auto"/>
        </w:rPr>
        <w:t>Registered Holder</w:t>
      </w:r>
      <w:r>
        <w:rPr>
          <w:rFonts w:ascii="Times New Roman" w:cs="Times New Roman" w:eastAsia="Times New Roman" w:hAnsi="Times New Roman"/>
          <w:sz w:val="18"/>
          <w:szCs w:val="18"/>
          <w:color w:val="auto"/>
        </w:rPr>
        <w:t>”) as the absolute owner of such Warrant and of each Warrant represented thereby, for the purpose of any exercise thereof, and for all other purposes, and neither the Company nor the Warrant Agent shall be affected by any notice to the contrary.</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ind w:right="40" w:firstLine="1296"/>
        <w:spacing w:after="0" w:line="254"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Detachability of Warrants</w:t>
      </w:r>
      <w:r>
        <w:rPr>
          <w:rFonts w:ascii="Times New Roman" w:cs="Times New Roman" w:eastAsia="Times New Roman" w:hAnsi="Times New Roman"/>
          <w:sz w:val="18"/>
          <w:szCs w:val="18"/>
          <w:color w:val="auto"/>
        </w:rPr>
        <w:t>. The shares of Common Stock and Public Warrants comprising the Units shall begin separate trading on the 52nd day following the date of the Prospectus or, if such 52nd day is not on a day, other than a Saturday, Sunday or federal holiday, on which banks in New York City are generally open for normal business (a “</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then on the immediately succeeding Business Day following such date, or earlier (the “</w:t>
      </w:r>
      <w:r>
        <w:rPr>
          <w:rFonts w:ascii="Times New Roman" w:cs="Times New Roman" w:eastAsia="Times New Roman" w:hAnsi="Times New Roman"/>
          <w:sz w:val="18"/>
          <w:szCs w:val="18"/>
          <w:b w:val="1"/>
          <w:bCs w:val="1"/>
          <w:i w:val="1"/>
          <w:iCs w:val="1"/>
          <w:color w:val="auto"/>
        </w:rPr>
        <w:t>Detachment Date</w:t>
      </w:r>
      <w:r>
        <w:rPr>
          <w:rFonts w:ascii="Times New Roman" w:cs="Times New Roman" w:eastAsia="Times New Roman" w:hAnsi="Times New Roman"/>
          <w:sz w:val="18"/>
          <w:szCs w:val="18"/>
          <w:color w:val="auto"/>
        </w:rPr>
        <w:t>”) with the consent of Jefferies LLC, but in no event shall the shares of Common Stock and the Public Warrants comprising the Units be separately traded until (A) the Company has filed a Current Report on Form 8-K with the Commission containing an audited balance sheet reflecting the receipt by the Company of the gross proceeds of the Offering, including the proceeds then received by the Company from the exercise by the underwriters of their right to purchase additional Units in the Offering (the “</w:t>
      </w:r>
      <w:r>
        <w:rPr>
          <w:rFonts w:ascii="Times New Roman" w:cs="Times New Roman" w:eastAsia="Times New Roman" w:hAnsi="Times New Roman"/>
          <w:sz w:val="18"/>
          <w:szCs w:val="18"/>
          <w:b w:val="1"/>
          <w:bCs w:val="1"/>
          <w:i w:val="1"/>
          <w:iCs w:val="1"/>
          <w:color w:val="auto"/>
        </w:rPr>
        <w:t>Over-allotment Option</w:t>
      </w:r>
      <w:r>
        <w:rPr>
          <w:rFonts w:ascii="Times New Roman" w:cs="Times New Roman" w:eastAsia="Times New Roman" w:hAnsi="Times New Roman"/>
          <w:sz w:val="18"/>
          <w:szCs w:val="18"/>
          <w:color w:val="auto"/>
        </w:rPr>
        <w:t>”), if the Over-allotment Option is exercised prior to the filing of the Current Report on Form 8-K, and (B) the Company issues a press release announcing when such separate trading shall begin.</w:t>
      </w:r>
    </w:p>
    <w:p>
      <w:pPr>
        <w:spacing w:after="0" w:line="192" w:lineRule="exact"/>
        <w:rPr>
          <w:sz w:val="20"/>
          <w:szCs w:val="20"/>
          <w:color w:val="auto"/>
        </w:rPr>
      </w:pPr>
    </w:p>
    <w:p>
      <w:pPr>
        <w:ind w:right="12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Fractional Warrants</w:t>
      </w:r>
      <w:r>
        <w:rPr>
          <w:rFonts w:ascii="Times New Roman" w:cs="Times New Roman" w:eastAsia="Times New Roman" w:hAnsi="Times New Roman"/>
          <w:sz w:val="18"/>
          <w:szCs w:val="18"/>
          <w:color w:val="auto"/>
        </w:rPr>
        <w:t>. The Company shall not issue fractional Warrants other than as part of the Units, each of which is comprised of one share of Common Stock and one-third of one whole Public Warrant. If, upon the detachment of Public Warrants from the Units or otherwise, a holder of Warrants would be entitled to receive a fractional Warrant, the Company shall round down to the nearest whole number the number of Warrants to be issued to such holder.</w:t>
      </w:r>
    </w:p>
    <w:p>
      <w:pPr>
        <w:spacing w:after="0" w:line="180"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Private Placement Warrants</w:t>
      </w:r>
      <w:r>
        <w:rPr>
          <w:rFonts w:ascii="Times New Roman" w:cs="Times New Roman" w:eastAsia="Times New Roman" w:hAnsi="Times New Roman"/>
          <w:sz w:val="18"/>
          <w:szCs w:val="18"/>
          <w:color w:val="auto"/>
        </w:rPr>
        <w:t xml:space="preserve">. The Private Placement Warrants shall be identical to the Public Warrants, except that so long as they are held by a Purchaser or any of its Permitted Transferees (as defined below) the Private Placement Warrants: (i) may be exercised for cash or on a “cashless basis,” pursuant to </w:t>
      </w:r>
      <w:r>
        <w:rPr>
          <w:rFonts w:ascii="Times New Roman" w:cs="Times New Roman" w:eastAsia="Times New Roman" w:hAnsi="Times New Roman"/>
          <w:sz w:val="18"/>
          <w:szCs w:val="18"/>
          <w:u w:val="single" w:color="auto"/>
          <w:color w:val="auto"/>
        </w:rPr>
        <w:t>subsection 3.3.1(c)</w:t>
      </w:r>
      <w:r>
        <w:rPr>
          <w:rFonts w:ascii="Times New Roman" w:cs="Times New Roman" w:eastAsia="Times New Roman" w:hAnsi="Times New Roman"/>
          <w:sz w:val="18"/>
          <w:szCs w:val="18"/>
          <w:color w:val="auto"/>
        </w:rPr>
        <w:t xml:space="preserve"> hereof, (ii) including the shares of Common Stock issuable upon exercise of the Private Placement Warrants, may not be transferred, assigned or sold until thirty (30) days after the completion by the Company of an initial Business Combination, (iii) shall not be redeemable by the Company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hereof and (iv) shall only be redeemable by the Company pursuant to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if the Reference Value (as defined below) is less than $18.00 per share (subject to adjustment in compliance with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case of (ii), the Private Placement Warrants and any shares of Common Stock issued upon exercise of the Private Placement Warrants may be transferred by the holders thereof:</w:t>
      </w:r>
    </w:p>
    <w:p>
      <w:pPr>
        <w:spacing w:after="0" w:line="192" w:lineRule="exact"/>
        <w:rPr>
          <w:sz w:val="20"/>
          <w:szCs w:val="20"/>
          <w:color w:val="auto"/>
        </w:rPr>
      </w:pPr>
    </w:p>
    <w:p>
      <w:pPr>
        <w:ind w:right="200" w:firstLine="1952"/>
        <w:spacing w:after="0" w:line="266" w:lineRule="auto"/>
        <w:tabs>
          <w:tab w:leader="none" w:pos="223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officers or directors, any affiliates or family members of any of the Company’s officers or directors, any members or partners of the Sponsor or their affiliates (including members of the Sponsor’s members), any affiliates of the Sponsor, or any employees of such affiliates;</w:t>
      </w:r>
    </w:p>
    <w:p>
      <w:pPr>
        <w:spacing w:after="0" w:line="175" w:lineRule="exact"/>
        <w:rPr>
          <w:rFonts w:ascii="Times New Roman" w:cs="Times New Roman" w:eastAsia="Times New Roman" w:hAnsi="Times New Roman"/>
          <w:sz w:val="18"/>
          <w:szCs w:val="18"/>
          <w:color w:val="auto"/>
        </w:rPr>
      </w:pPr>
    </w:p>
    <w:p>
      <w:pPr>
        <w:ind w:right="140" w:firstLine="1952"/>
        <w:spacing w:after="0" w:line="282" w:lineRule="auto"/>
        <w:tabs>
          <w:tab w:leader="none" w:pos="224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individual, by gift to a member of one of the individual’s immediate family or to a trust, the beneficiary of which is a member of the individual’s immediate family, an affiliate of such person or to a charitable organization;</w:t>
      </w:r>
    </w:p>
    <w:p>
      <w:pPr>
        <w:spacing w:after="0" w:line="161" w:lineRule="exact"/>
        <w:rPr>
          <w:rFonts w:ascii="Times New Roman" w:cs="Times New Roman" w:eastAsia="Times New Roman" w:hAnsi="Times New Roman"/>
          <w:sz w:val="18"/>
          <w:szCs w:val="18"/>
          <w:color w:val="auto"/>
        </w:rPr>
      </w:pPr>
    </w:p>
    <w:p>
      <w:pPr>
        <w:ind w:left="2240" w:hanging="288"/>
        <w:spacing w:after="0"/>
        <w:tabs>
          <w:tab w:leader="none" w:pos="22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individual, by virtue of laws of descent and distribution upon death of the individual;</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individual, pursuant to a qualified domestic relations order;</w:t>
      </w:r>
    </w:p>
    <w:p>
      <w:pPr>
        <w:spacing w:after="0" w:line="225" w:lineRule="exact"/>
        <w:rPr>
          <w:rFonts w:ascii="Times New Roman" w:cs="Times New Roman" w:eastAsia="Times New Roman" w:hAnsi="Times New Roman"/>
          <w:sz w:val="18"/>
          <w:szCs w:val="18"/>
          <w:color w:val="auto"/>
        </w:rPr>
      </w:pPr>
    </w:p>
    <w:p>
      <w:pPr>
        <w:ind w:right="180" w:firstLine="1952"/>
        <w:spacing w:after="0" w:line="282" w:lineRule="auto"/>
        <w:tabs>
          <w:tab w:leader="none" w:pos="223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private sales or transfers made in connection with the consummation of the Company’s Business Combination at prices no greater than the price at which the Private Placement Warrants or Common Stock, as applicable, were originally purchased;</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ind w:left="1960"/>
        <w:spacing w:after="0"/>
        <w:rPr>
          <w:sz w:val="20"/>
          <w:szCs w:val="20"/>
          <w:color w:val="auto"/>
        </w:rPr>
      </w:pPr>
      <w:r>
        <w:rPr>
          <w:rFonts w:ascii="Times New Roman" w:cs="Times New Roman" w:eastAsia="Times New Roman" w:hAnsi="Times New Roman"/>
          <w:sz w:val="18"/>
          <w:szCs w:val="18"/>
          <w:color w:val="auto"/>
        </w:rPr>
        <w:t>(f) by virtue of the laws of the State of Delaware or the Sponsor’s organizational documents upon liquidation or dissolution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Sponsor;</w:t>
      </w:r>
    </w:p>
    <w:p>
      <w:pPr>
        <w:spacing w:after="0" w:line="207" w:lineRule="exact"/>
        <w:rPr>
          <w:sz w:val="20"/>
          <w:szCs w:val="20"/>
          <w:color w:val="auto"/>
        </w:rPr>
      </w:pPr>
    </w:p>
    <w:p>
      <w:pPr>
        <w:ind w:left="2260" w:hanging="308"/>
        <w:spacing w:after="0"/>
        <w:tabs>
          <w:tab w:leader="none" w:pos="22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for no value for cancellation in connection with the consummation of its initial Business Combination;</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Company’s liquidation prior to the completion of its initial Business Combination; or</w:t>
      </w:r>
    </w:p>
    <w:p>
      <w:pPr>
        <w:spacing w:after="0" w:line="225" w:lineRule="exact"/>
        <w:rPr>
          <w:rFonts w:ascii="Times New Roman" w:cs="Times New Roman" w:eastAsia="Times New Roman" w:hAnsi="Times New Roman"/>
          <w:sz w:val="18"/>
          <w:szCs w:val="18"/>
          <w:color w:val="auto"/>
        </w:rPr>
      </w:pPr>
    </w:p>
    <w:p>
      <w:pPr>
        <w:ind w:right="60" w:firstLine="1952"/>
        <w:spacing w:after="0" w:line="266" w:lineRule="auto"/>
        <w:tabs>
          <w:tab w:leader="none" w:pos="220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Company’s completion of a liquidation, merger, capital stock exchange or other similar transaction which results in all of the Company’s stockholders having the right to exchange their Common Stock for cash, securities or other property subsequent to the completion of the Company’s initial Business Combination;</w:t>
      </w:r>
    </w:p>
    <w:p>
      <w:pPr>
        <w:spacing w:after="0" w:line="172"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case of clauses (a) through (f), these permitted transferees (the “</w:t>
      </w:r>
      <w:r>
        <w:rPr>
          <w:rFonts w:ascii="Times New Roman" w:cs="Times New Roman" w:eastAsia="Times New Roman" w:hAnsi="Times New Roman"/>
          <w:sz w:val="18"/>
          <w:szCs w:val="18"/>
          <w:b w:val="1"/>
          <w:bCs w:val="1"/>
          <w:i w:val="1"/>
          <w:iCs w:val="1"/>
          <w:color w:val="auto"/>
        </w:rPr>
        <w:t>Permitted Transferees</w:t>
      </w:r>
      <w:r>
        <w:rPr>
          <w:rFonts w:ascii="Times New Roman" w:cs="Times New Roman" w:eastAsia="Times New Roman" w:hAnsi="Times New Roman"/>
          <w:sz w:val="18"/>
          <w:szCs w:val="18"/>
          <w:color w:val="auto"/>
        </w:rPr>
        <w:t>”) must enter into a written agreement with the Company agreeing to be bound by the transfer restrictions in this Agreement.</w:t>
      </w:r>
    </w:p>
    <w:p>
      <w:pPr>
        <w:spacing w:after="0" w:line="159" w:lineRule="exact"/>
        <w:rPr>
          <w:sz w:val="20"/>
          <w:szCs w:val="20"/>
          <w:color w:val="auto"/>
        </w:rPr>
      </w:pPr>
    </w:p>
    <w:p>
      <w:pPr>
        <w:ind w:left="840" w:hanging="184"/>
        <w:spacing w:after="0"/>
        <w:tabs>
          <w:tab w:leader="none" w:pos="8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Exercise of 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Warrant Price</w:t>
      </w:r>
      <w:r>
        <w:rPr>
          <w:rFonts w:ascii="Times New Roman" w:cs="Times New Roman" w:eastAsia="Times New Roman" w:hAnsi="Times New Roman"/>
          <w:sz w:val="18"/>
          <w:szCs w:val="18"/>
          <w:color w:val="auto"/>
        </w:rPr>
        <w:t xml:space="preserve">. Each whole Warrant shall entitle the Registered Holder thereof, subject to the provisions of such Warrant and of this Agreement, to purchase from the Company the number of shares of Common Stock stated therein, at the price of $11.50 per share, subject to the adjustments provided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and in the last sentence of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i w:val="1"/>
          <w:iCs w:val="1"/>
          <w:color w:val="auto"/>
        </w:rPr>
        <w:t>Warrant Price</w:t>
      </w:r>
      <w:r>
        <w:rPr>
          <w:rFonts w:ascii="Times New Roman" w:cs="Times New Roman" w:eastAsia="Times New Roman" w:hAnsi="Times New Roman"/>
          <w:sz w:val="18"/>
          <w:szCs w:val="18"/>
          <w:color w:val="auto"/>
        </w:rPr>
        <w:t>” as used in this Agreement shall mean the price per share (including in cash or by payment of Warrants pursuant to a “cashless exercise,” to the extent permitted hereunder) described in the prior sentence at which shares of Common Stock may be purchased at the time a Warrant is exercised. The Company in its sole discretion may lower the Warrant Price at any time prior to the Expiration Date (as defined below) for a period of not less than fifteen Business Days (unless otherwise required by the Commission, any national securities exchange on which the Warrants are listed or applicable law); provided that the Company shall provide at least five days’ prior written notice of such reduction to Registered Holders of the Warrants; and provided further, that any such reduction shall be identical among all of the Warrants.</w:t>
      </w:r>
    </w:p>
    <w:p>
      <w:pPr>
        <w:spacing w:after="0" w:line="18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Duration of Warrants</w:t>
      </w:r>
      <w:r>
        <w:rPr>
          <w:rFonts w:ascii="Times New Roman" w:cs="Times New Roman" w:eastAsia="Times New Roman" w:hAnsi="Times New Roman"/>
          <w:sz w:val="18"/>
          <w:szCs w:val="18"/>
          <w:color w:val="auto"/>
        </w:rPr>
        <w:t>. A Warrant may be exercised only during the period (the “</w:t>
      </w:r>
      <w:r>
        <w:rPr>
          <w:rFonts w:ascii="Times New Roman" w:cs="Times New Roman" w:eastAsia="Times New Roman" w:hAnsi="Times New Roman"/>
          <w:sz w:val="18"/>
          <w:szCs w:val="18"/>
          <w:b w:val="1"/>
          <w:bCs w:val="1"/>
          <w:i w:val="1"/>
          <w:iCs w:val="1"/>
          <w:color w:val="auto"/>
        </w:rPr>
        <w:t>Exercise Period</w:t>
      </w:r>
      <w:r>
        <w:rPr>
          <w:rFonts w:ascii="Times New Roman" w:cs="Times New Roman" w:eastAsia="Times New Roman" w:hAnsi="Times New Roman"/>
          <w:sz w:val="18"/>
          <w:szCs w:val="18"/>
          <w:color w:val="auto"/>
        </w:rPr>
        <w:t>”) (A) commencing on the later of:</w:t>
      </w:r>
    </w:p>
    <w:p>
      <w:pPr>
        <w:spacing w:after="0" w:line="31" w:lineRule="exact"/>
        <w:rPr>
          <w:sz w:val="20"/>
          <w:szCs w:val="20"/>
          <w:color w:val="auto"/>
        </w:rPr>
      </w:pPr>
    </w:p>
    <w:p>
      <w:pPr>
        <w:ind w:right="40" w:firstLine="8"/>
        <w:spacing w:after="0" w:line="250" w:lineRule="auto"/>
        <w:tabs>
          <w:tab w:leader="none" w:pos="21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is thirty (30) days after the first date on which the Company completes a Business Combination, and (ii) the date that is twelve (12) months from the date of the closing of the Offering, and (B) terminating at the earliest to occur of (x) 5:00 p.m., New York City time on the date that is five (5) years after the date on which the Company completes its initial Business Combination, (y) the liquidation of the Company in accordance with the Company’s amended and restated certificate of incorporation (as amended from time to time, the “</w:t>
      </w:r>
      <w:r>
        <w:rPr>
          <w:rFonts w:ascii="Times New Roman" w:cs="Times New Roman" w:eastAsia="Times New Roman" w:hAnsi="Times New Roman"/>
          <w:sz w:val="18"/>
          <w:szCs w:val="18"/>
          <w:b w:val="1"/>
          <w:bCs w:val="1"/>
          <w:i w:val="1"/>
          <w:iCs w:val="1"/>
          <w:color w:val="auto"/>
        </w:rPr>
        <w:t>Charter</w:t>
      </w:r>
      <w:r>
        <w:rPr>
          <w:rFonts w:ascii="Times New Roman" w:cs="Times New Roman" w:eastAsia="Times New Roman" w:hAnsi="Times New Roman"/>
          <w:sz w:val="18"/>
          <w:szCs w:val="18"/>
          <w:color w:val="auto"/>
        </w:rPr>
        <w:t xml:space="preserve">”), if the Company fails to complete a Business Combination, and (z) other than with respect to the Private Placement Warrants then held by a Purchaser or its Permitted Transferees with respect to a redemption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hereof or, if the Reference Value equals or exceeds $18.00 per share (subject to adjustment in compliance with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xml:space="preserve"> hereof),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hereof, 5:00 p.m., New York City time on the Redemption Date (as defined below) as provided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exercise of any Warrant shall be subject to the satisfaction of any applicable conditions, as set forth in </w:t>
      </w:r>
      <w:r>
        <w:rPr>
          <w:rFonts w:ascii="Times New Roman" w:cs="Times New Roman" w:eastAsia="Times New Roman" w:hAnsi="Times New Roman"/>
          <w:sz w:val="18"/>
          <w:szCs w:val="18"/>
          <w:u w:val="single" w:color="auto"/>
          <w:color w:val="auto"/>
        </w:rPr>
        <w:t>subsection 3.3.2</w:t>
      </w:r>
      <w:r>
        <w:rPr>
          <w:rFonts w:ascii="Times New Roman" w:cs="Times New Roman" w:eastAsia="Times New Roman" w:hAnsi="Times New Roman"/>
          <w:sz w:val="18"/>
          <w:szCs w:val="18"/>
          <w:color w:val="auto"/>
        </w:rPr>
        <w:t xml:space="preserve"> below, with respect to an effective registration statement or a valid exemption therefrom being available. Except with respect to the right to receive the Redemption Price (as defined below) (other than with respect to a Private Placement Warrant then held by a Purchaser or its Permitted Transferees in connection with a redemption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hereof or, if the Reference Value equals or exceeds $18.00 per share (subject to adjustment in compliance with </w:t>
      </w:r>
      <w:r>
        <w:rPr>
          <w:rFonts w:ascii="Times New Roman" w:cs="Times New Roman" w:eastAsia="Times New Roman" w:hAnsi="Times New Roman"/>
          <w:sz w:val="18"/>
          <w:szCs w:val="18"/>
          <w:u w:val="single" w:color="auto"/>
          <w:color w:val="auto"/>
        </w:rPr>
        <w:t>Section</w:t>
      </w:r>
    </w:p>
    <w:p>
      <w:pPr>
        <w:spacing w:after="0" w:line="4" w:lineRule="exact"/>
        <w:rPr>
          <w:rFonts w:ascii="Times New Roman" w:cs="Times New Roman" w:eastAsia="Times New Roman" w:hAnsi="Times New Roman"/>
          <w:sz w:val="18"/>
          <w:szCs w:val="18"/>
          <w:color w:val="auto"/>
        </w:rPr>
      </w:pPr>
    </w:p>
    <w:p>
      <w:pPr>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xml:space="preserve"> hereof),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hereof) in the event of a redemption (as set forth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hereof), each Warrant (other than a Private Placement Warrant then held by a Purchaser or its Permitted Transferees in the event of a redemption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hereof or, if the Reference Value equals or exceeds $18.00 per share (subject to adjustment in compliance with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hereof) not exercised on or before the Redemption Date shall become void, and all rights thereunder and all rights in respect thereof under this Agreement shall cease at 5:00 p.m. New York City time on the Redemption Date. The Company in its sole discretion may extend the duration of the Warrants by delaying the Redemption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provide at least twenty (20) days prior written notice of any such extension to Registered Holders of the Warrants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such extension shall be identical in duration among all the Warrants.</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5" w:name="page66"/>
    <w:bookmarkEnd w:id="65"/>
    <w:p>
      <w:pPr>
        <w:ind w:left="130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Exercise of 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944"/>
        <w:spacing w:after="0" w:line="254" w:lineRule="auto"/>
        <w:rPr>
          <w:sz w:val="20"/>
          <w:szCs w:val="20"/>
          <w:color w:val="auto"/>
        </w:rPr>
      </w:pPr>
      <w:r>
        <w:rPr>
          <w:rFonts w:ascii="Times New Roman" w:cs="Times New Roman" w:eastAsia="Times New Roman" w:hAnsi="Times New Roman"/>
          <w:sz w:val="18"/>
          <w:szCs w:val="18"/>
          <w:color w:val="auto"/>
        </w:rPr>
        <w:t xml:space="preserve">3.3.1.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Subject to the provisions of the Warrant and this Agreement, a Warrant may be exercised by the Registered Holder thereof by delivering to the Warrant Agent at its corporate trust department (i) the Definitive Warrant Certificate evidencing the Warrants to be exercised, or, in the case of a Warrant represented by a book-entry, the Warrants to be exercised (the “</w:t>
      </w:r>
      <w:r>
        <w:rPr>
          <w:rFonts w:ascii="Times New Roman" w:cs="Times New Roman" w:eastAsia="Times New Roman" w:hAnsi="Times New Roman"/>
          <w:sz w:val="18"/>
          <w:szCs w:val="18"/>
          <w:b w:val="1"/>
          <w:bCs w:val="1"/>
          <w:i w:val="1"/>
          <w:iCs w:val="1"/>
          <w:color w:val="auto"/>
        </w:rPr>
        <w:t>Book-Entry Warrants</w:t>
      </w:r>
      <w:r>
        <w:rPr>
          <w:rFonts w:ascii="Times New Roman" w:cs="Times New Roman" w:eastAsia="Times New Roman" w:hAnsi="Times New Roman"/>
          <w:sz w:val="18"/>
          <w:szCs w:val="18"/>
          <w:color w:val="auto"/>
        </w:rPr>
        <w:t>”) on the records of the Depositary to an account of the Warrant Agent at the Depositary designated for such purposes in writing by the Warrant Agent to the Depositary from time to time, (ii) an election to purchase (“</w:t>
      </w:r>
      <w:r>
        <w:rPr>
          <w:rFonts w:ascii="Times New Roman" w:cs="Times New Roman" w:eastAsia="Times New Roman" w:hAnsi="Times New Roman"/>
          <w:sz w:val="18"/>
          <w:szCs w:val="18"/>
          <w:b w:val="1"/>
          <w:bCs w:val="1"/>
          <w:i w:val="1"/>
          <w:iCs w:val="1"/>
          <w:color w:val="auto"/>
        </w:rPr>
        <w:t>Election to Purchase</w:t>
      </w:r>
      <w:r>
        <w:rPr>
          <w:rFonts w:ascii="Times New Roman" w:cs="Times New Roman" w:eastAsia="Times New Roman" w:hAnsi="Times New Roman"/>
          <w:sz w:val="18"/>
          <w:szCs w:val="18"/>
          <w:color w:val="auto"/>
        </w:rPr>
        <w:t>”) any shares of Common Stock pursuant to the exercise of a Warrant, properly completed and executed by the Registered Holder on the reverse of the Definitive Warrant Certificate or, in the case of a Book-Entry Warrant, properly delivered by the Participant in accordance with the Depositary’s procedures, and (iii) the payment in full of the Warrant Price for each share of Common Stock as to which the Warrant is exercised and any and all applicable taxes due in connection with the exercise of the Warrant, the exchange of the Warrant for the shares of Common Stock and the issuance of such shares of Common Stock, as follows:</w:t>
      </w:r>
    </w:p>
    <w:p>
      <w:pPr>
        <w:spacing w:after="0" w:line="188" w:lineRule="exact"/>
        <w:rPr>
          <w:sz w:val="20"/>
          <w:szCs w:val="20"/>
          <w:color w:val="auto"/>
        </w:rPr>
      </w:pPr>
    </w:p>
    <w:p>
      <w:pPr>
        <w:ind w:left="2240" w:hanging="288"/>
        <w:spacing w:after="0"/>
        <w:tabs>
          <w:tab w:leader="none" w:pos="22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lawful money of the United States, in good certified check or good bank draft payable to the order of the Warrant Agent;</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firstLine="1952"/>
        <w:spacing w:after="0" w:line="254" w:lineRule="auto"/>
        <w:tabs>
          <w:tab w:leader="none" w:pos="223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Private Placement Warrant, so long as such Private Placement Warrant is held by a Purchaser or a Permitted Transferee, by surrendering the Warrants for that number of shares of Common Stock equal to (i) if in connection with a redemption of Private Placement Warrants pursuant to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hereof, as provided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hereof with respect to a Make-Whole Exercise (as defined below) and (ii) in all other scenarios, the quotient obtained by dividing (x) the product of the number of shares of Common Stock underlying the Warrants, multiplied by the excess of the “</w:t>
      </w:r>
      <w:r>
        <w:rPr>
          <w:rFonts w:ascii="Times New Roman" w:cs="Times New Roman" w:eastAsia="Times New Roman" w:hAnsi="Times New Roman"/>
          <w:sz w:val="18"/>
          <w:szCs w:val="18"/>
          <w:b w:val="1"/>
          <w:bCs w:val="1"/>
          <w:i w:val="1"/>
          <w:iCs w:val="1"/>
          <w:color w:val="auto"/>
        </w:rPr>
        <w:t>Purchaser Exercise Fair Market Value</w:t>
      </w:r>
      <w:r>
        <w:rPr>
          <w:rFonts w:ascii="Times New Roman" w:cs="Times New Roman" w:eastAsia="Times New Roman" w:hAnsi="Times New Roman"/>
          <w:sz w:val="18"/>
          <w:szCs w:val="18"/>
          <w:color w:val="auto"/>
        </w:rPr>
        <w:t xml:space="preserve">” (as defined in this </w:t>
      </w:r>
      <w:r>
        <w:rPr>
          <w:rFonts w:ascii="Times New Roman" w:cs="Times New Roman" w:eastAsia="Times New Roman" w:hAnsi="Times New Roman"/>
          <w:sz w:val="18"/>
          <w:szCs w:val="18"/>
          <w:u w:val="single" w:color="auto"/>
          <w:color w:val="auto"/>
        </w:rPr>
        <w:t>subsection 3.3.1(c)</w:t>
      </w:r>
      <w:r>
        <w:rPr>
          <w:rFonts w:ascii="Times New Roman" w:cs="Times New Roman" w:eastAsia="Times New Roman" w:hAnsi="Times New Roman"/>
          <w:sz w:val="18"/>
          <w:szCs w:val="18"/>
          <w:color w:val="auto"/>
        </w:rPr>
        <w:t xml:space="preserve">) less the Warrant Price by (y) the Purchaser Exercise Fair Market Value. Solely for purposes of this </w:t>
      </w:r>
      <w:r>
        <w:rPr>
          <w:rFonts w:ascii="Times New Roman" w:cs="Times New Roman" w:eastAsia="Times New Roman" w:hAnsi="Times New Roman"/>
          <w:sz w:val="18"/>
          <w:szCs w:val="18"/>
          <w:u w:val="single" w:color="auto"/>
          <w:color w:val="auto"/>
        </w:rPr>
        <w:t>subsection 3.3.1(c)</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Purchaser Exercise Fair Market Value</w:t>
      </w:r>
      <w:r>
        <w:rPr>
          <w:rFonts w:ascii="Times New Roman" w:cs="Times New Roman" w:eastAsia="Times New Roman" w:hAnsi="Times New Roman"/>
          <w:sz w:val="18"/>
          <w:szCs w:val="18"/>
          <w:color w:val="auto"/>
        </w:rPr>
        <w:t>” shall mean the average last reported sale price of the Common Stock for the ten (10) trading days ending on the third (3rd) trading day prior to the date on which notice of exercise of the Private Placement Warrant is sent to the Warrant Agent;</w:t>
      </w:r>
    </w:p>
    <w:p>
      <w:pPr>
        <w:spacing w:after="0" w:line="19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provided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hereof with respect to a Make-Whole Exercise; or</w:t>
      </w:r>
    </w:p>
    <w:p>
      <w:pPr>
        <w:spacing w:after="0" w:line="225" w:lineRule="exact"/>
        <w:rPr>
          <w:rFonts w:ascii="Times New Roman" w:cs="Times New Roman" w:eastAsia="Times New Roman" w:hAnsi="Times New Roman"/>
          <w:sz w:val="18"/>
          <w:szCs w:val="18"/>
          <w:color w:val="auto"/>
        </w:rPr>
      </w:pPr>
    </w:p>
    <w:p>
      <w:pPr>
        <w:ind w:left="2240" w:hanging="288"/>
        <w:spacing w:after="0"/>
        <w:tabs>
          <w:tab w:leader="none" w:pos="22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provided in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hereof.</w:t>
      </w:r>
    </w:p>
    <w:p>
      <w:pPr>
        <w:spacing w:after="0" w:line="200" w:lineRule="exact"/>
        <w:rPr>
          <w:sz w:val="20"/>
          <w:szCs w:val="20"/>
          <w:color w:val="auto"/>
        </w:rPr>
      </w:pPr>
    </w:p>
    <w:p>
      <w:pPr>
        <w:spacing w:after="0" w:line="2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66" w:name="page67"/>
    <w:bookmarkEnd w:id="66"/>
    <w:p>
      <w:pPr>
        <w:ind w:right="20" w:firstLine="1944"/>
        <w:spacing w:after="0" w:line="252" w:lineRule="auto"/>
        <w:rPr>
          <w:sz w:val="20"/>
          <w:szCs w:val="20"/>
          <w:color w:val="auto"/>
        </w:rPr>
      </w:pPr>
      <w:r>
        <w:rPr>
          <w:rFonts w:ascii="Times New Roman" w:cs="Times New Roman" w:eastAsia="Times New Roman" w:hAnsi="Times New Roman"/>
          <w:sz w:val="18"/>
          <w:szCs w:val="18"/>
          <w:color w:val="auto"/>
        </w:rPr>
        <w:t xml:space="preserve">3.3.2. </w:t>
      </w:r>
      <w:r>
        <w:rPr>
          <w:rFonts w:ascii="Times New Roman" w:cs="Times New Roman" w:eastAsia="Times New Roman" w:hAnsi="Times New Roman"/>
          <w:sz w:val="18"/>
          <w:szCs w:val="18"/>
          <w:u w:val="single" w:color="auto"/>
          <w:color w:val="auto"/>
        </w:rPr>
        <w:t>Issuance of Common Stock on Exercise</w:t>
      </w:r>
      <w:r>
        <w:rPr>
          <w:rFonts w:ascii="Times New Roman" w:cs="Times New Roman" w:eastAsia="Times New Roman" w:hAnsi="Times New Roman"/>
          <w:sz w:val="18"/>
          <w:szCs w:val="18"/>
          <w:color w:val="auto"/>
        </w:rPr>
        <w:t xml:space="preserve">. As soon as practicable after the exercise of any Warrant and the clearance of the funds in payment of the Warrant Price (if payment is pursuant to </w:t>
      </w:r>
      <w:r>
        <w:rPr>
          <w:rFonts w:ascii="Times New Roman" w:cs="Times New Roman" w:eastAsia="Times New Roman" w:hAnsi="Times New Roman"/>
          <w:sz w:val="18"/>
          <w:szCs w:val="18"/>
          <w:u w:val="single" w:color="auto"/>
          <w:color w:val="auto"/>
        </w:rPr>
        <w:t>subsection 3.3.1(a)</w:t>
      </w:r>
      <w:r>
        <w:rPr>
          <w:rFonts w:ascii="Times New Roman" w:cs="Times New Roman" w:eastAsia="Times New Roman" w:hAnsi="Times New Roman"/>
          <w:sz w:val="18"/>
          <w:szCs w:val="18"/>
          <w:color w:val="auto"/>
        </w:rPr>
        <w:t xml:space="preserve">), the Company shall issue to the Registered Holder of such Warrant a book-entry position or certificate, as applicable, for the number of whole shares of Common Stock to which he, she or it is entitled, registered in such name or names as may be directed by him, her or it on the register of members of the Company, and if such Warrant shall not have been exercised in full, a new book-entry position or countersigned Warrant, as applicable, for the number of shares as to which such Warrant shall not have been exercised. Notwithstanding the foregoing, the Company shall not be obligated to deliver any shares of Common Stock pursuant to the exercise of a Warrant and shall have no obligation to settle such Warrant exercise unless a registration statement under the Securities Act with respect to the shares of Common Stock underlying the Public Warrants is then effective and a prospectus relating thereto is current, subject to the Company’s satisfying its obligations under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hereof or a valid exemption from registration is available. No Warrant shall be exercisable and the Company shall not be obligated to issue shares of Common Stock upon exercise of a Warrant unless the shares of Common Stock issuable upon such Warrant exercise have been registered, qualified or deemed to be exempt from registration or qualification under the securities laws of the state of residence of the Registered Holder of the Warrants. Subject to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of this Agreement, a Registered Holder of Warrants may exercise its Warrants only for a whole number of shares of Common Stock. The Company may require holders of Public Warrants to settle the Warrant on a “cashless basis” pursuant to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hereof. If, by reason of any exercise of Warrants on a “cashless basis”, the holder of any Warrant would be entitled, upon the exercise of such Warrant, to receive a fractional interest in a share of Common Stock, the Company shall round down to the nearest whole number, the number of shares of Common Stock to be issued to such holder.</w:t>
      </w:r>
    </w:p>
    <w:p>
      <w:pPr>
        <w:spacing w:after="0" w:line="195" w:lineRule="exact"/>
        <w:rPr>
          <w:sz w:val="20"/>
          <w:szCs w:val="20"/>
          <w:color w:val="auto"/>
        </w:rPr>
      </w:pPr>
    </w:p>
    <w:p>
      <w:pPr>
        <w:ind w:right="600" w:firstLine="1944"/>
        <w:spacing w:after="0" w:line="282" w:lineRule="auto"/>
        <w:rPr>
          <w:sz w:val="20"/>
          <w:szCs w:val="20"/>
          <w:color w:val="auto"/>
        </w:rPr>
      </w:pPr>
      <w:r>
        <w:rPr>
          <w:rFonts w:ascii="Times New Roman" w:cs="Times New Roman" w:eastAsia="Times New Roman" w:hAnsi="Times New Roman"/>
          <w:sz w:val="18"/>
          <w:szCs w:val="18"/>
          <w:color w:val="auto"/>
        </w:rPr>
        <w:t xml:space="preserve">3.3.3. </w:t>
      </w:r>
      <w:r>
        <w:rPr>
          <w:rFonts w:ascii="Times New Roman" w:cs="Times New Roman" w:eastAsia="Times New Roman" w:hAnsi="Times New Roman"/>
          <w:sz w:val="18"/>
          <w:szCs w:val="18"/>
          <w:u w:val="single" w:color="auto"/>
          <w:color w:val="auto"/>
        </w:rPr>
        <w:t>Valid Issuance</w:t>
      </w:r>
      <w:r>
        <w:rPr>
          <w:rFonts w:ascii="Times New Roman" w:cs="Times New Roman" w:eastAsia="Times New Roman" w:hAnsi="Times New Roman"/>
          <w:sz w:val="18"/>
          <w:szCs w:val="18"/>
          <w:color w:val="auto"/>
        </w:rPr>
        <w:t>. All shares of Common Stock issued upon the proper exercise of a Warrant in conformity with this Agreement shall be validly issued, fully paid and nonassessable.</w:t>
      </w:r>
    </w:p>
    <w:p>
      <w:pPr>
        <w:spacing w:after="0" w:line="162" w:lineRule="exact"/>
        <w:rPr>
          <w:sz w:val="20"/>
          <w:szCs w:val="20"/>
          <w:color w:val="auto"/>
        </w:rPr>
      </w:pPr>
    </w:p>
    <w:p>
      <w:pPr>
        <w:ind w:firstLine="1944"/>
        <w:spacing w:after="0" w:line="255" w:lineRule="auto"/>
        <w:rPr>
          <w:sz w:val="20"/>
          <w:szCs w:val="20"/>
          <w:color w:val="auto"/>
        </w:rPr>
      </w:pPr>
      <w:r>
        <w:rPr>
          <w:rFonts w:ascii="Times New Roman" w:cs="Times New Roman" w:eastAsia="Times New Roman" w:hAnsi="Times New Roman"/>
          <w:sz w:val="18"/>
          <w:szCs w:val="18"/>
          <w:color w:val="auto"/>
        </w:rPr>
        <w:t xml:space="preserve">3.3.4. </w:t>
      </w:r>
      <w:r>
        <w:rPr>
          <w:rFonts w:ascii="Times New Roman" w:cs="Times New Roman" w:eastAsia="Times New Roman" w:hAnsi="Times New Roman"/>
          <w:sz w:val="18"/>
          <w:szCs w:val="18"/>
          <w:u w:val="single" w:color="auto"/>
          <w:color w:val="auto"/>
        </w:rPr>
        <w:t>Date of Issuance</w:t>
      </w:r>
      <w:r>
        <w:rPr>
          <w:rFonts w:ascii="Times New Roman" w:cs="Times New Roman" w:eastAsia="Times New Roman" w:hAnsi="Times New Roman"/>
          <w:sz w:val="18"/>
          <w:szCs w:val="18"/>
          <w:color w:val="auto"/>
        </w:rPr>
        <w:t>. Each person in whose name any book-entry position or certificate, as applicable, for shares of Common Stock is issued and who is registered in the register of members of the Company shall for all purposes be deemed to have become the holder of record of such shares of Common Stock on the date on which the Warrant, or book-entry position representing such Warrant, was surrendered and payment of the Warrant Price was made, irrespective of the date of delivery of such certificate in the case of a certificated Warrant, except that, if the date of such surrender and payment is a date when the register of members of the Company or book-entry system of the Warrant Agent are closed, such person shall be deemed to have become the holder of such shares at the close of business on the next succeeding date on which the share transfer books or book-entry system are open.</w:t>
      </w:r>
    </w:p>
    <w:p>
      <w:pPr>
        <w:spacing w:after="0" w:line="189"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 xml:space="preserve">3.3.5. </w:t>
      </w:r>
      <w:r>
        <w:rPr>
          <w:rFonts w:ascii="Times New Roman" w:cs="Times New Roman" w:eastAsia="Times New Roman" w:hAnsi="Times New Roman"/>
          <w:sz w:val="18"/>
          <w:szCs w:val="18"/>
          <w:u w:val="single" w:color="auto"/>
          <w:color w:val="auto"/>
        </w:rPr>
        <w:t>Maximum Percentage</w:t>
      </w:r>
      <w:r>
        <w:rPr>
          <w:rFonts w:ascii="Times New Roman" w:cs="Times New Roman" w:eastAsia="Times New Roman" w:hAnsi="Times New Roman"/>
          <w:sz w:val="18"/>
          <w:szCs w:val="18"/>
          <w:color w:val="auto"/>
        </w:rPr>
        <w:t xml:space="preserve">. A holder of a Warrant may notify the Company in writing in the event it elects to be subject to the provisions contained in this </w:t>
      </w:r>
      <w:r>
        <w:rPr>
          <w:rFonts w:ascii="Times New Roman" w:cs="Times New Roman" w:eastAsia="Times New Roman" w:hAnsi="Times New Roman"/>
          <w:sz w:val="18"/>
          <w:szCs w:val="18"/>
          <w:u w:val="single" w:color="auto"/>
          <w:color w:val="auto"/>
        </w:rPr>
        <w:t>subsection 3.3.5</w:t>
      </w:r>
      <w:r>
        <w:rPr>
          <w:rFonts w:ascii="Times New Roman" w:cs="Times New Roman" w:eastAsia="Times New Roman" w:hAnsi="Times New Roman"/>
          <w:sz w:val="18"/>
          <w:szCs w:val="18"/>
          <w:color w:val="auto"/>
        </w:rPr>
        <w:t xml:space="preserve">; however, no holder of a Warrant shall be subject to this </w:t>
      </w:r>
      <w:r>
        <w:rPr>
          <w:rFonts w:ascii="Times New Roman" w:cs="Times New Roman" w:eastAsia="Times New Roman" w:hAnsi="Times New Roman"/>
          <w:sz w:val="18"/>
          <w:szCs w:val="18"/>
          <w:u w:val="single" w:color="auto"/>
          <w:color w:val="auto"/>
        </w:rPr>
        <w:t>subsection 3.3.5</w:t>
      </w:r>
      <w:r>
        <w:rPr>
          <w:rFonts w:ascii="Times New Roman" w:cs="Times New Roman" w:eastAsia="Times New Roman" w:hAnsi="Times New Roman"/>
          <w:sz w:val="18"/>
          <w:szCs w:val="18"/>
          <w:color w:val="auto"/>
        </w:rPr>
        <w:t xml:space="preserve"> unless he, she or it makes such election. If the election is made by a holder, the Warrant Agent shall not effect the exercise of the holder’s Warrant, and such holder shall not have the right to exercise such Warrant, to the extent that after giving effect to such exercise, such person (together with such person’s affiliates), to the Warrant Agent’s actual knowledge, would beneficially own in excess of 4.9% or 9.8% (as specified by the holder) (the “</w:t>
      </w:r>
      <w:r>
        <w:rPr>
          <w:rFonts w:ascii="Times New Roman" w:cs="Times New Roman" w:eastAsia="Times New Roman" w:hAnsi="Times New Roman"/>
          <w:sz w:val="18"/>
          <w:szCs w:val="18"/>
          <w:b w:val="1"/>
          <w:bCs w:val="1"/>
          <w:i w:val="1"/>
          <w:iCs w:val="1"/>
          <w:color w:val="auto"/>
        </w:rPr>
        <w:t>Maximum Percentage</w:t>
      </w:r>
      <w:r>
        <w:rPr>
          <w:rFonts w:ascii="Times New Roman" w:cs="Times New Roman" w:eastAsia="Times New Roman" w:hAnsi="Times New Roman"/>
          <w:sz w:val="18"/>
          <w:szCs w:val="18"/>
          <w:color w:val="auto"/>
        </w:rPr>
        <w:t>”) of the shares of Common Stock outstanding immediately after giving effect to such exercise. For purposes of the foregoing sentence, the aggregate number of shares of Common Stock beneficially owned by such person and its affiliates shall include the number of shares of Common Stock issuable upon exercise of the Warrant with respect to which the determination of such sentence is being made, but shall exclude shares of Common Stock that would be issuable upon (x) exercise of the remaining, unexercised portion of the Warrant beneficially owned by such person and its affiliates and (y) exercise or conversion of the unexercised or unconverted portion of any other securities of the Company beneficially owned by such person and its affiliates (including, without limitation, any convertible notes or convertible preferred stock or warrants) subject to a limitation on conversion or exercise analogous to the limitation contained herein. Except as set forth in the preceding sentence, for purposes of this paragraph, beneficial ownership shall be calculated in accordance with Section 13(d)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For purposes of the Warrant, in determining the number of outstanding shares of Common Stock, the holder may rely on the number of outstanding shares of Common Stock as reflected in (1) the Company’s most recent Annual Report on Form 10-K, Quarterly Report on Form 10-Q, Current Report on Form 8-K or other public filing with the Commission as the case may be, (2) a more recent public announcement by the Company or (3) any other notice by the Company or Continental Stock Transfer &amp; Trust Company, as transfer agent (in such capacity, the “</w:t>
      </w:r>
      <w:r>
        <w:rPr>
          <w:rFonts w:ascii="Times New Roman" w:cs="Times New Roman" w:eastAsia="Times New Roman" w:hAnsi="Times New Roman"/>
          <w:sz w:val="18"/>
          <w:szCs w:val="18"/>
          <w:b w:val="1"/>
          <w:bCs w:val="1"/>
          <w:i w:val="1"/>
          <w:iCs w:val="1"/>
          <w:color w:val="auto"/>
        </w:rPr>
        <w:t>Transfer Agent</w:t>
      </w:r>
      <w:r>
        <w:rPr>
          <w:rFonts w:ascii="Times New Roman" w:cs="Times New Roman" w:eastAsia="Times New Roman" w:hAnsi="Times New Roman"/>
          <w:sz w:val="18"/>
          <w:szCs w:val="18"/>
          <w:color w:val="auto"/>
        </w:rPr>
        <w:t xml:space="preserve">”), setting forth the number of shares of Common Stock outstanding. For any reason at any time, upon the written request of the holder of the Warrant, the Company shall, within two (2) Business Days, confirm orally and in writing to such holder the number of shares of Common Stock then outstanding. In any case, the number of issued and outstanding shares of Common Stock shall be determined after giving effect to the conversion or exercise of equity securities of the Company by the holder and its affiliates since the date as of which such number of issued and outstanding shares of Common Stock was reported. By written notice to the Company, the holder of a Warrant may from time to time increase or decrease the Maximum Percentage applicable to such holder to any other percentage specified in such notice;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any such increase shall not be effective until the sixty-first (61st) day after such notice is delivered to the Company.</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7" w:name="page68"/>
    <w:bookmarkEnd w:id="67"/>
    <w:p>
      <w:pPr>
        <w:ind w:left="880" w:hanging="224"/>
        <w:spacing w:after="0"/>
        <w:tabs>
          <w:tab w:leader="none" w:pos="8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Stock Dividends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944"/>
        <w:spacing w:after="0" w:line="252"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Split-Ups</w:t>
      </w:r>
      <w:r>
        <w:rPr>
          <w:rFonts w:ascii="Times New Roman" w:cs="Times New Roman" w:eastAsia="Times New Roman" w:hAnsi="Times New Roman"/>
          <w:sz w:val="18"/>
          <w:szCs w:val="18"/>
          <w:color w:val="auto"/>
        </w:rPr>
        <w:t xml:space="preserve">. If after the date hereof, and subject to the provisions of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below, the number of issued and outstanding shares of Common Stock is increased by a stock dividend of Common Stock, or by a split-up of shares of Common Stock or other similar event, then, on the effective date of such share split-ups or similar event, the number of shares of Common Stock issuable on exercise of each Warrant shall be increased in proportion to such increase in the issued and outstanding shares of Common Stock. A rights offering made to all or substantially all holders of the Common Stock entitling holders to purchase shares of Common Stock at a price less than the “Historical Fair Market Value” (as defined below) shall be deemed a stock dividend of a number of shares of Common Stock equal to the product of (i) the number of shares of Common Stock actually sold in such rights offering (or issuable under any other equity securities sold in such rights offering that are convertible into or exercisable for shares of Common Stock) multiplied by (ii) one (1) minus the quotient of (x) the price per share of Common Stock paid in such rights offering divided by (y) the Historical Fair Market Value. For purposes of this </w:t>
      </w:r>
      <w:r>
        <w:rPr>
          <w:rFonts w:ascii="Times New Roman" w:cs="Times New Roman" w:eastAsia="Times New Roman" w:hAnsi="Times New Roman"/>
          <w:sz w:val="18"/>
          <w:szCs w:val="18"/>
          <w:u w:val="single" w:color="auto"/>
          <w:color w:val="auto"/>
        </w:rPr>
        <w:t>subsection 4.1.1</w:t>
      </w:r>
      <w:r>
        <w:rPr>
          <w:rFonts w:ascii="Times New Roman" w:cs="Times New Roman" w:eastAsia="Times New Roman" w:hAnsi="Times New Roman"/>
          <w:sz w:val="18"/>
          <w:szCs w:val="18"/>
          <w:color w:val="auto"/>
        </w:rPr>
        <w:t>, (i) if the rights offering is for securities convertible into or exercisable for shares of Common Stock, in determining the price payable for shares of Common Stock, there shall be taken into account any consideration received for such rights, as well as any additional amount payable upon exercise or conversion and (ii) “</w:t>
      </w:r>
      <w:r>
        <w:rPr>
          <w:rFonts w:ascii="Times New Roman" w:cs="Times New Roman" w:eastAsia="Times New Roman" w:hAnsi="Times New Roman"/>
          <w:sz w:val="18"/>
          <w:szCs w:val="18"/>
          <w:b w:val="1"/>
          <w:bCs w:val="1"/>
          <w:i w:val="1"/>
          <w:iCs w:val="1"/>
          <w:color w:val="auto"/>
        </w:rPr>
        <w:t>Historical Fair Market Value</w:t>
      </w:r>
      <w:r>
        <w:rPr>
          <w:rFonts w:ascii="Times New Roman" w:cs="Times New Roman" w:eastAsia="Times New Roman" w:hAnsi="Times New Roman"/>
          <w:sz w:val="18"/>
          <w:szCs w:val="18"/>
          <w:color w:val="auto"/>
        </w:rPr>
        <w:t>” means the volume weighted average price of the Common Stock during the ten (10) trading day period ending on the trading day prior to the first date on which the shares of Common Stock trade on the applicable exchange or in the applicable market, regular way, without the right to receive such rights. No shares of Common Stock shall be issued at less than their par value.</w:t>
      </w:r>
    </w:p>
    <w:p>
      <w:pPr>
        <w:spacing w:after="0" w:line="197" w:lineRule="exact"/>
        <w:rPr>
          <w:sz w:val="20"/>
          <w:szCs w:val="20"/>
          <w:color w:val="auto"/>
        </w:rPr>
      </w:pPr>
    </w:p>
    <w:p>
      <w:pPr>
        <w:ind w:firstLine="1944"/>
        <w:spacing w:after="0" w:line="252"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Extraordinary Dividends</w:t>
      </w:r>
      <w:r>
        <w:rPr>
          <w:rFonts w:ascii="Times New Roman" w:cs="Times New Roman" w:eastAsia="Times New Roman" w:hAnsi="Times New Roman"/>
          <w:sz w:val="18"/>
          <w:szCs w:val="18"/>
          <w:color w:val="auto"/>
        </w:rPr>
        <w:t xml:space="preserve">. If the Company, at any time while the Warrants are outstanding and unexpired, pays to all or substantially all of the holders of the Common Stock a dividend or makes a distribution in cash, securities or other assets on account of such shares of Common Stock (or other shares into which the Warrants are convertible), other than (a) as described in </w:t>
      </w:r>
      <w:r>
        <w:rPr>
          <w:rFonts w:ascii="Times New Roman" w:cs="Times New Roman" w:eastAsia="Times New Roman" w:hAnsi="Times New Roman"/>
          <w:sz w:val="18"/>
          <w:szCs w:val="18"/>
          <w:u w:val="single" w:color="auto"/>
          <w:color w:val="auto"/>
        </w:rPr>
        <w:t>subsection 4.1.1</w:t>
      </w:r>
      <w:r>
        <w:rPr>
          <w:rFonts w:ascii="Times New Roman" w:cs="Times New Roman" w:eastAsia="Times New Roman" w:hAnsi="Times New Roman"/>
          <w:sz w:val="18"/>
          <w:szCs w:val="18"/>
          <w:color w:val="auto"/>
        </w:rPr>
        <w:t xml:space="preserve"> above, (b) Ordinary Cash Dividends (as defined below), (c) to satisfy the redemption rights of the holders of the Common Stock in connection with a proposed initial Business Combination, (d) to satisfy the redemption rights of the holders of the Common Stock in connection with a stockholder vote to amend the Charter (i) to modify the substance or timing of the Company’s obligation to redeem 100% of the Company’s public shares if it does not complete its initial Business Combination within the period set forth in the Charter, or (ii) with respect to any other material provision relating to the rights of holders of Common Stock or pre-initial Business Combination activity or (e) in connection with the redemption of public shares upon the failure of the Company to complete its initial Business Combination and any subsequent distribution of its assets upon its liquidation (any such non-excluded event being referred to herein as an “</w:t>
      </w:r>
      <w:r>
        <w:rPr>
          <w:rFonts w:ascii="Times New Roman" w:cs="Times New Roman" w:eastAsia="Times New Roman" w:hAnsi="Times New Roman"/>
          <w:sz w:val="18"/>
          <w:szCs w:val="18"/>
          <w:b w:val="1"/>
          <w:bCs w:val="1"/>
          <w:i w:val="1"/>
          <w:iCs w:val="1"/>
          <w:color w:val="auto"/>
        </w:rPr>
        <w:t>Extraordinary Dividend</w:t>
      </w:r>
      <w:r>
        <w:rPr>
          <w:rFonts w:ascii="Times New Roman" w:cs="Times New Roman" w:eastAsia="Times New Roman" w:hAnsi="Times New Roman"/>
          <w:sz w:val="18"/>
          <w:szCs w:val="18"/>
          <w:color w:val="auto"/>
        </w:rPr>
        <w:t>”), then the Warrant Price shall be decreased, effective immediately after the effective date of such Extraordinary Dividend, by the amount of cash and/or the fair market value (as determined by the Company’s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xml:space="preserve">”), in good faith) of any securities or other assets paid on each share of Common Stock in respect of such Extraordinary Dividend. For purposes of this </w:t>
      </w:r>
      <w:r>
        <w:rPr>
          <w:rFonts w:ascii="Times New Roman" w:cs="Times New Roman" w:eastAsia="Times New Roman" w:hAnsi="Times New Roman"/>
          <w:sz w:val="18"/>
          <w:szCs w:val="18"/>
          <w:u w:val="single" w:color="auto"/>
          <w:color w:val="auto"/>
        </w:rPr>
        <w:t>subsection 4.1.2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Ordinary Cash Dividends</w:t>
      </w:r>
      <w:r>
        <w:rPr>
          <w:rFonts w:ascii="Times New Roman" w:cs="Times New Roman" w:eastAsia="Times New Roman" w:hAnsi="Times New Roman"/>
          <w:sz w:val="18"/>
          <w:szCs w:val="18"/>
          <w:color w:val="auto"/>
        </w:rPr>
        <w:t xml:space="preserve">” means any cash dividend or cash distribution which, when combined on a per share basis, with the per share amounts of all other cash dividends and cash distributions paid on the shares of Common Stock during the 365-day period ending on the date of declaration of such dividend or distribution to the extent it does not exceed $0.50 (which amount shall be adjusted to appropriately reflect any of the events referred to in other subsections of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and excluding cash dividends or cash distributions that resulted in an adjustment to the Warrant Price or to the number of shares of Common Stock issuable on exercise of each Warrant).</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Aggregation of Shares</w:t>
      </w:r>
      <w:r>
        <w:rPr>
          <w:rFonts w:ascii="Times New Roman" w:cs="Times New Roman" w:eastAsia="Times New Roman" w:hAnsi="Times New Roman"/>
          <w:sz w:val="18"/>
          <w:szCs w:val="18"/>
          <w:color w:val="auto"/>
        </w:rPr>
        <w:t xml:space="preserve">. If after the date hereof, and subject to the provisions of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hereof, the number of issued and outstanding shares of Common Stock is decreased by a consolidation, combination, reverse stock split or reclassification of shares of Common Stock or other similar event, then, on the effective date of such consolidation, combination, reverse stock split, reclassification or similar event, the number of shares of Common Stock issuable on exercise of each Warrant shall be decreased in proportion to such decrease in issued and outstanding shares of Common Stock.</w:t>
      </w:r>
    </w:p>
    <w:p>
      <w:pPr>
        <w:spacing w:after="0" w:line="183" w:lineRule="exact"/>
        <w:rPr>
          <w:sz w:val="20"/>
          <w:szCs w:val="20"/>
          <w:color w:val="auto"/>
        </w:rPr>
      </w:pPr>
    </w:p>
    <w:p>
      <w:pPr>
        <w:ind w:right="12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Adjustments in Exercise Price</w:t>
      </w:r>
      <w:r>
        <w:rPr>
          <w:rFonts w:ascii="Times New Roman" w:cs="Times New Roman" w:eastAsia="Times New Roman" w:hAnsi="Times New Roman"/>
          <w:sz w:val="18"/>
          <w:szCs w:val="18"/>
          <w:color w:val="auto"/>
        </w:rPr>
        <w:t xml:space="preserve">. Whenever the number of shares of Common Stock purchasable upon the exercise of the Warrants is adjusted, as provided in </w:t>
      </w:r>
      <w:r>
        <w:rPr>
          <w:rFonts w:ascii="Times New Roman" w:cs="Times New Roman" w:eastAsia="Times New Roman" w:hAnsi="Times New Roman"/>
          <w:sz w:val="18"/>
          <w:szCs w:val="18"/>
          <w:u w:val="single" w:color="auto"/>
          <w:color w:val="auto"/>
        </w:rPr>
        <w:t>subsection 4.1.1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above, the Warrant Price shall be adjusted (to the nearest cent) by multiplying such Warrant Price immediately prior to such adjustment by a fraction (x) the numerator of which shall be the number of shares of Common Stock purchasable upon the exercise of the Warrants immediately prior to such adjustment, and (y) the denominator of which shall be the number of shares of Common Stock so purchasable immediately thereafter.</w:t>
      </w:r>
    </w:p>
    <w:p>
      <w:pPr>
        <w:spacing w:after="0" w:line="183" w:lineRule="exact"/>
        <w:rPr>
          <w:sz w:val="20"/>
          <w:szCs w:val="20"/>
          <w:color w:val="auto"/>
        </w:rPr>
      </w:pPr>
    </w:p>
    <w:p>
      <w:pPr>
        <w:ind w:right="40" w:firstLine="1296"/>
        <w:spacing w:after="0" w:line="253"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Raising of the Capital in Connection with the Initial Business Combination</w:t>
      </w:r>
      <w:r>
        <w:rPr>
          <w:rFonts w:ascii="Times New Roman" w:cs="Times New Roman" w:eastAsia="Times New Roman" w:hAnsi="Times New Roman"/>
          <w:sz w:val="18"/>
          <w:szCs w:val="18"/>
          <w:color w:val="auto"/>
        </w:rPr>
        <w:t>. If (x) the Company issues additional shares of Common Stock or equity-linked securities for capital raising purposes in connection with the closing of its initial Business Combination at an issue price or effective issue price of less than $9.20 per share of Common Stock (with such issue price or effective issue price to be determined in good faith by the Board and, in the case of any such issuance to the Sponsor or its affiliates, without taking into account any shares of Class B Common Stock (as defined below), par value $0.0001 per share, of the Company held by the Sponsor or such affiliates, as applicable, prior to such issuance) (the “</w:t>
      </w:r>
      <w:r>
        <w:rPr>
          <w:rFonts w:ascii="Times New Roman" w:cs="Times New Roman" w:eastAsia="Times New Roman" w:hAnsi="Times New Roman"/>
          <w:sz w:val="18"/>
          <w:szCs w:val="18"/>
          <w:b w:val="1"/>
          <w:bCs w:val="1"/>
          <w:i w:val="1"/>
          <w:iCs w:val="1"/>
          <w:color w:val="auto"/>
        </w:rPr>
        <w:t>Newly Issued Price</w:t>
      </w:r>
      <w:r>
        <w:rPr>
          <w:rFonts w:ascii="Times New Roman" w:cs="Times New Roman" w:eastAsia="Times New Roman" w:hAnsi="Times New Roman"/>
          <w:sz w:val="18"/>
          <w:szCs w:val="18"/>
          <w:color w:val="auto"/>
        </w:rPr>
        <w:t>”), (y) the aggregate gross proceeds from such issuances represent more than 60% of the total equity proceeds, and interest thereon, available for the funding of the Company’s initial Business Combination on the date of the completion of the Company’s initial Business Combination (net of redemptions), and (z) the volume-weighted average trading price of the Common Stock during the twenty (20) trading day period starting on the trading day prior to the day on which the Company consummates its initial Business Combination (such price, the “</w:t>
      </w:r>
      <w:r>
        <w:rPr>
          <w:rFonts w:ascii="Times New Roman" w:cs="Times New Roman" w:eastAsia="Times New Roman" w:hAnsi="Times New Roman"/>
          <w:sz w:val="18"/>
          <w:szCs w:val="18"/>
          <w:b w:val="1"/>
          <w:bCs w:val="1"/>
          <w:i w:val="1"/>
          <w:iCs w:val="1"/>
          <w:color w:val="auto"/>
        </w:rPr>
        <w:t>Market Value</w:t>
      </w:r>
      <w:r>
        <w:rPr>
          <w:rFonts w:ascii="Times New Roman" w:cs="Times New Roman" w:eastAsia="Times New Roman" w:hAnsi="Times New Roman"/>
          <w:sz w:val="18"/>
          <w:szCs w:val="18"/>
          <w:color w:val="auto"/>
        </w:rPr>
        <w:t xml:space="preserve">”) is below $9.20 per share, the Warrant Price shall be adjusted (to the nearest cent) to be equal to 115% of the higher of the Market Value and the Newly Issued Price, the $18.00 per share redemption trigger price described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hereof shall be adjusted (to the nearest cent) to be equal to 180% of the higher of the Market Value and the Newly Issued Price and the $10.00 per share redemption trigger price described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shall be adjusted (to the nearest cent) to be equal to the higher of the Market Value and the Newly Issued Price.</w:t>
      </w: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9" w:name="page70"/>
    <w:bookmarkEnd w:id="69"/>
    <w:p>
      <w:pPr>
        <w:ind w:firstLine="1296"/>
        <w:spacing w:after="0" w:line="266" w:lineRule="auto"/>
        <w:rPr>
          <w:sz w:val="20"/>
          <w:szCs w:val="20"/>
          <w:color w:val="auto"/>
        </w:rPr>
      </w:pPr>
      <w:r>
        <w:rPr>
          <w:rFonts w:ascii="Times New Roman" w:cs="Times New Roman" w:eastAsia="Times New Roman" w:hAnsi="Times New Roman"/>
          <w:sz w:val="17"/>
          <w:szCs w:val="17"/>
          <w:color w:val="auto"/>
        </w:rPr>
        <w:t xml:space="preserve">4.5. </w:t>
      </w:r>
      <w:r>
        <w:rPr>
          <w:rFonts w:ascii="Times New Roman" w:cs="Times New Roman" w:eastAsia="Times New Roman" w:hAnsi="Times New Roman"/>
          <w:sz w:val="17"/>
          <w:szCs w:val="17"/>
          <w:u w:val="single" w:color="auto"/>
          <w:color w:val="auto"/>
        </w:rPr>
        <w:t>Replacement of Securities upon Reorganization, etc</w:t>
      </w:r>
      <w:r>
        <w:rPr>
          <w:rFonts w:ascii="Times New Roman" w:cs="Times New Roman" w:eastAsia="Times New Roman" w:hAnsi="Times New Roman"/>
          <w:sz w:val="17"/>
          <w:szCs w:val="17"/>
          <w:color w:val="auto"/>
        </w:rPr>
        <w:t xml:space="preserve">. In case of any reclassification or reorganization of the issued and outstanding shares of Common Stock (other than a change under </w:t>
      </w:r>
      <w:r>
        <w:rPr>
          <w:rFonts w:ascii="Times New Roman" w:cs="Times New Roman" w:eastAsia="Times New Roman" w:hAnsi="Times New Roman"/>
          <w:sz w:val="17"/>
          <w:szCs w:val="17"/>
          <w:u w:val="single" w:color="auto"/>
          <w:color w:val="auto"/>
        </w:rPr>
        <w:t>Section 4.1</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4.2</w:t>
      </w:r>
      <w:r>
        <w:rPr>
          <w:rFonts w:ascii="Times New Roman" w:cs="Times New Roman" w:eastAsia="Times New Roman" w:hAnsi="Times New Roman"/>
          <w:sz w:val="17"/>
          <w:szCs w:val="17"/>
          <w:color w:val="auto"/>
        </w:rPr>
        <w:t xml:space="preserve"> hereof or that solely affects the par value of such shares of Common Stock), or in the case of any merger or consolidation of the Company with or into another corporation (other than a consolidation or merger in which the Company is the continuing corporation and that does not result in any reclassification or reorganization of the issued and outstanding shares of Common Stock), or in the case of any sale or conveyance to another corporation or entity of the assets or other property of the Company as an entirety or substantially as an entirety in connection with which the Company is dissolved, the holders of the Warrants shall thereafter have the right to purchase and receive, upon the basis and upon the terms and conditions specified in the Warrants and in lieu of the shares of Common Stock of the Company immediately theretofore purchasable and receivable upon the exercise of the rights represented thereby, the kind and amount of shares or stock or other securities or property (including cash) receivable upon such reclassification, reorganization, merger or consolidation, or upon a dissolution following any such sale or transfer, that the holder of the Warrants would have received if such holder had exercised his, her or its Warrant(s) immediately prior to such event (the “</w:t>
      </w:r>
      <w:r>
        <w:rPr>
          <w:rFonts w:ascii="Times New Roman" w:cs="Times New Roman" w:eastAsia="Times New Roman" w:hAnsi="Times New Roman"/>
          <w:sz w:val="17"/>
          <w:szCs w:val="17"/>
          <w:b w:val="1"/>
          <w:bCs w:val="1"/>
          <w:i w:val="1"/>
          <w:iCs w:val="1"/>
          <w:color w:val="auto"/>
        </w:rPr>
        <w:t>Alternative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Issuance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 if the holders of the Common Stock were entitled to exercise a right of election as to the kind or amount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securities, cash or other assets receivable upon such consolidation or merger, then the kind and amount of securities, cash or other assets constituting the Alternative Issuance for which each Warrant shall become exercisable shall be deemed to be the weighted average of the kind and amount received per share by the holders of the Common Stock in such consolidation or merger that affirmatively make such election, and (ii) if a tender, exchange or redemption offer shall have been made to and accepted by the holders of the Common Stock (other than a tender, exchange or redemption offer made by the Company in connection with redemption rights held by stockholders of the Company as provided for in the Charter or as a result of the redemption of shares of Common Stock by the Company if a proposed initial Business Combination is presented to the stockholders of the Company for approval)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issued and outstanding shares of Common Stock, the holder of a Warrant shall be entitled to receive as the Alternative Issuance, the highest amount of cash, securities or other property to which such holder would actually have been entitled as a stockholder if such Warrant holder had exercised the Warrant prior to the expiration of such tender or exchange offer, accepted such offer and all of the Common Stock held by such holder had been purchased pursuant to such tender or exchange offer, subject to adjustments (from and after the consummation of such tender or exchange offer) as nearly equivalent as possible to the adjustments provided for in this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if less than 70% of the consideration receivable by the holders of the Common Stock in the applicable event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properly exercises the Warrant within thirty (30) days following the public disclosure of the consummation of such applicable event by the Company pursuant to a Current Report on Form 8-K filed with the Commission, the Warrant Price shall be reduced by an amount (in dollars) equal to the difference of (i) the Warrant Price in effect prior to such reduction minus (ii) (A) the Per Share Consideration (as defined below) (but in no event less than zero) minus (B) the Black-Scholes Warrant Value (as defined below). The “</w:t>
      </w:r>
      <w:r>
        <w:rPr>
          <w:rFonts w:ascii="Times New Roman" w:cs="Times New Roman" w:eastAsia="Times New Roman" w:hAnsi="Times New Roman"/>
          <w:sz w:val="17"/>
          <w:szCs w:val="17"/>
          <w:b w:val="1"/>
          <w:bCs w:val="1"/>
          <w:i w:val="1"/>
          <w:iCs w:val="1"/>
          <w:color w:val="auto"/>
        </w:rPr>
        <w:t>Black-Scholes Warrant Value</w:t>
      </w:r>
      <w:r>
        <w:rPr>
          <w:rFonts w:ascii="Times New Roman" w:cs="Times New Roman" w:eastAsia="Times New Roman" w:hAnsi="Times New Roman"/>
          <w:sz w:val="17"/>
          <w:szCs w:val="17"/>
          <w:color w:val="auto"/>
        </w:rPr>
        <w:t>” means the value of a Warrant immediately prior to the consummation of the applicable event based on the Black-Scholes Warrant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Model for a Capped American Call on Bloomberg Financial Markets (assuming zero dividends) (“</w:t>
      </w:r>
      <w:r>
        <w:rPr>
          <w:rFonts w:ascii="Times New Roman" w:cs="Times New Roman" w:eastAsia="Times New Roman" w:hAnsi="Times New Roman"/>
          <w:sz w:val="17"/>
          <w:szCs w:val="17"/>
          <w:b w:val="1"/>
          <w:bCs w:val="1"/>
          <w:i w:val="1"/>
          <w:iCs w:val="1"/>
          <w:color w:val="auto"/>
        </w:rPr>
        <w:t>Bloomberg</w:t>
      </w:r>
      <w:r>
        <w:rPr>
          <w:rFonts w:ascii="Times New Roman" w:cs="Times New Roman" w:eastAsia="Times New Roman" w:hAnsi="Times New Roman"/>
          <w:sz w:val="17"/>
          <w:szCs w:val="17"/>
          <w:color w:val="auto"/>
        </w:rPr>
        <w:t>”). For purposes of calculating such amount,</w:t>
      </w:r>
    </w:p>
    <w:p>
      <w:pPr>
        <w:spacing w:after="0" w:line="213" w:lineRule="exact"/>
        <w:rPr>
          <w:sz w:val="20"/>
          <w:szCs w:val="20"/>
          <w:color w:val="auto"/>
        </w:rPr>
      </w:pPr>
    </w:p>
    <w:p>
      <w:pPr>
        <w:ind w:right="40" w:firstLine="8"/>
        <w:spacing w:after="0" w:line="251" w:lineRule="auto"/>
        <w:tabs>
          <w:tab w:leader="none" w:pos="21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this Agreement shall be taken into account, (ii) the price of each share of Common Stock shall be the volume weighted average price of the Common Stock during the ten (10) trading day period ending on the trading day prior to the effective date of the applicable event, (iii) the assumed volatility shall be the 90 day volatility obtained from the HVT function on Bloomberg determined as of the trading day immediately prior to the day of the announcement of the applicable event and (iv) the assumed risk-free interest rate shall correspond to the U.S. Treasury rate for a period equal to the remaining term of the Warrant. “</w:t>
      </w:r>
      <w:r>
        <w:rPr>
          <w:rFonts w:ascii="Times New Roman" w:cs="Times New Roman" w:eastAsia="Times New Roman" w:hAnsi="Times New Roman"/>
          <w:sz w:val="18"/>
          <w:szCs w:val="18"/>
          <w:b w:val="1"/>
          <w:bCs w:val="1"/>
          <w:i w:val="1"/>
          <w:iCs w:val="1"/>
          <w:color w:val="auto"/>
        </w:rPr>
        <w:t>Per Share Consideration</w:t>
      </w:r>
      <w:r>
        <w:rPr>
          <w:rFonts w:ascii="Times New Roman" w:cs="Times New Roman" w:eastAsia="Times New Roman" w:hAnsi="Times New Roman"/>
          <w:sz w:val="18"/>
          <w:szCs w:val="18"/>
          <w:color w:val="auto"/>
        </w:rPr>
        <w:t xml:space="preserve">” means (i) if the consideration paid to holders of the Common Stock consists exclusively of cash, the amount of such cash per share of Common Stock, and (ii) in all other cases, the volume weighted average price of the Common Stock as reported during the ten (10) trading day period ending on the trading day prior to the effective date of the applicable event. If any reclassification or reorganization also results in a change in shares of Common Stock covered by </w:t>
      </w:r>
      <w:r>
        <w:rPr>
          <w:rFonts w:ascii="Times New Roman" w:cs="Times New Roman" w:eastAsia="Times New Roman" w:hAnsi="Times New Roman"/>
          <w:sz w:val="18"/>
          <w:szCs w:val="18"/>
          <w:u w:val="single" w:color="auto"/>
          <w:color w:val="auto"/>
        </w:rPr>
        <w:t>subsection 4.1.1</w:t>
      </w:r>
      <w:r>
        <w:rPr>
          <w:rFonts w:ascii="Times New Roman" w:cs="Times New Roman" w:eastAsia="Times New Roman" w:hAnsi="Times New Roman"/>
          <w:sz w:val="18"/>
          <w:szCs w:val="18"/>
          <w:color w:val="auto"/>
        </w:rPr>
        <w:t xml:space="preserve">, then such adjustment shall be made pursuant to </w:t>
      </w:r>
      <w:r>
        <w:rPr>
          <w:rFonts w:ascii="Times New Roman" w:cs="Times New Roman" w:eastAsia="Times New Roman" w:hAnsi="Times New Roman"/>
          <w:sz w:val="18"/>
          <w:szCs w:val="18"/>
          <w:u w:val="single" w:color="auto"/>
          <w:color w:val="auto"/>
        </w:rPr>
        <w:t>subsection 4.1.1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Sections 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4.4</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shall similarly apply to successive reclassifications, reorganizations, mergers or consolidations, sales or other transfers. In no event shall the Warrant Price be reduced to less than the par value per share issuable upon exercise of such Warrant.</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70" w:name="page71"/>
    <w:bookmarkEnd w:id="70"/>
    <w:p>
      <w:pPr>
        <w:ind w:right="20" w:firstLine="1296"/>
        <w:spacing w:after="0" w:line="255"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Notices of Changes in Warrant</w:t>
      </w:r>
      <w:r>
        <w:rPr>
          <w:rFonts w:ascii="Times New Roman" w:cs="Times New Roman" w:eastAsia="Times New Roman" w:hAnsi="Times New Roman"/>
          <w:sz w:val="18"/>
          <w:szCs w:val="18"/>
          <w:color w:val="auto"/>
        </w:rPr>
        <w:t xml:space="preserve">. Upon every adjustment of the Warrant Price or the number of shares of Common Stock issuable upon exercise of a Warrant, the Company shall give written notice thereof to the Warrant Agent, which notice shall state the Warrant Price resulting from such adjustment and the increase or decrease, if any, in the number of shares of Common Stock purchasable at such price upon the exercise of a Warrant, setting forth in reasonable detail the method of calculation and the facts upon which such calculation is based. Upon the occurrence of any event specified in </w:t>
      </w:r>
      <w:r>
        <w:rPr>
          <w:rFonts w:ascii="Times New Roman" w:cs="Times New Roman" w:eastAsia="Times New Roman" w:hAnsi="Times New Roman"/>
          <w:sz w:val="18"/>
          <w:szCs w:val="18"/>
          <w:u w:val="single" w:color="auto"/>
          <w:color w:val="auto"/>
        </w:rPr>
        <w:t>Sections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4.5</w:t>
      </w:r>
      <w:r>
        <w:rPr>
          <w:rFonts w:ascii="Times New Roman" w:cs="Times New Roman" w:eastAsia="Times New Roman" w:hAnsi="Times New Roman"/>
          <w:sz w:val="18"/>
          <w:szCs w:val="18"/>
          <w:color w:val="auto"/>
        </w:rPr>
        <w:t>, the Company shall give written notice of the occurrence of such event to each holder of a Warrant, at the last address set forth for such holder in the Warrant Register, of the record date or the effective date of the event. Failure to give such notice, or any defect therein, shall not affect the legality or validity of such event.</w:t>
      </w:r>
    </w:p>
    <w:p>
      <w:pPr>
        <w:spacing w:after="0" w:line="189"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No Fractional Shares</w:t>
      </w:r>
      <w:r>
        <w:rPr>
          <w:rFonts w:ascii="Times New Roman" w:cs="Times New Roman" w:eastAsia="Times New Roman" w:hAnsi="Times New Roman"/>
          <w:sz w:val="18"/>
          <w:szCs w:val="18"/>
          <w:color w:val="auto"/>
        </w:rPr>
        <w:t xml:space="preserve">. Notwithstanding any provision contained in this Agreement to the contrary, the Company shall not issue fractional shares of Common Stock upon the exercise of Warrants. If, by reason of any adjustment made pursuant to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the holder of any Warrant would be entitled, upon the exercise of such Warrant, to receive a fractional interest in a share, the Company shall, upon such exercise, round down to the nearest whole number the number of shares of Common Stock to be issued to such holder.</w:t>
      </w:r>
    </w:p>
    <w:p>
      <w:pPr>
        <w:spacing w:after="0" w:line="180" w:lineRule="exact"/>
        <w:rPr>
          <w:sz w:val="20"/>
          <w:szCs w:val="20"/>
          <w:color w:val="auto"/>
        </w:rPr>
      </w:pPr>
    </w:p>
    <w:p>
      <w:pPr>
        <w:ind w:right="6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Form of Warrant</w:t>
      </w:r>
      <w:r>
        <w:rPr>
          <w:rFonts w:ascii="Times New Roman" w:cs="Times New Roman" w:eastAsia="Times New Roman" w:hAnsi="Times New Roman"/>
          <w:sz w:val="18"/>
          <w:szCs w:val="18"/>
          <w:color w:val="auto"/>
        </w:rPr>
        <w:t xml:space="preserve">. The form of Warrant need not be changed because of any adjustment pursuant to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and Warrants issued after such adjustment may state the same Warrant Price and the same number of shares of Common Stock as is stated in the Warrants initially issued pursuant to this Agreement; provided, however, that the Company may at any time in its sole discretion make any change in the form of Warrant that the Company may deem appropriate and that does not affect the substance thereof, and any Warrant thereafter issued or countersigned, whether in exchange or substitution for an outstanding Warrant or otherwise, may be in the form as so changed.</w:t>
      </w:r>
    </w:p>
    <w:p>
      <w:pPr>
        <w:spacing w:after="0" w:line="183" w:lineRule="exact"/>
        <w:rPr>
          <w:sz w:val="20"/>
          <w:szCs w:val="20"/>
          <w:color w:val="auto"/>
        </w:rPr>
      </w:pPr>
    </w:p>
    <w:p>
      <w:pPr>
        <w:ind w:left="880" w:hanging="224"/>
        <w:spacing w:after="0"/>
        <w:tabs>
          <w:tab w:leader="none" w:pos="8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Exchange of 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0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Registration of Transfer</w:t>
      </w:r>
      <w:r>
        <w:rPr>
          <w:rFonts w:ascii="Times New Roman" w:cs="Times New Roman" w:eastAsia="Times New Roman" w:hAnsi="Times New Roman"/>
          <w:sz w:val="18"/>
          <w:szCs w:val="18"/>
          <w:color w:val="auto"/>
        </w:rPr>
        <w:t>. The Warrant Agent shall register the transfer, from time to time, of any outstanding Warrant upon the Warrant Register, upon surrender of such Warrant for transfer, properly endorsed with signatures properly guaranteed and accompanied by appropriate instructions for transfer. Upon any such transfer, a new Warrant representing an equal aggregate number of Warrants shall be issued and the old Warrant shall be cancelled by the Warrant Agent. In the case of certificated Warrants, the Warrants so cancelled shall be delivered by the Warrant Agent to the Company from time to time upon request.</w:t>
      </w:r>
    </w:p>
    <w:p>
      <w:pPr>
        <w:spacing w:after="0" w:line="183" w:lineRule="exact"/>
        <w:rPr>
          <w:sz w:val="20"/>
          <w:szCs w:val="20"/>
          <w:color w:val="auto"/>
        </w:rPr>
      </w:pPr>
    </w:p>
    <w:p>
      <w:pPr>
        <w:ind w:right="60" w:firstLine="1296"/>
        <w:spacing w:after="0" w:line="254"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Procedure for Surrender of Warrants</w:t>
      </w:r>
      <w:r>
        <w:rPr>
          <w:rFonts w:ascii="Times New Roman" w:cs="Times New Roman" w:eastAsia="Times New Roman" w:hAnsi="Times New Roman"/>
          <w:sz w:val="18"/>
          <w:szCs w:val="18"/>
          <w:color w:val="auto"/>
        </w:rPr>
        <w:t xml:space="preserve">. Warrants may be surrendered to the Warrant Agent, together with a written request for exchange or transfer, and thereupon the Warrant Agent shall issue in exchange therefor one or more new Warrants as requested by the Registered Holder of the Warrants so surrendered, representing an equal aggregate number of Warrants;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except as otherwise provided herein or with respect to any Book-Entry Warrant, each Book-Entry Warrant may be transferred only in whole and only to the Depositary, to another nominee of the Depositary, to a successor depository, or to a nominee of a successor depository;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event that a Warrant surrendered for transfer bears a restrictive legend (as in the case of the Private Placement Warrants), the Warrant Agent shall not cancel such Warrant and issue new Warrants in exchange thereof until the Warrant Agent has received an opinion of counsel for the Company stating that such transfer may be made and indicating whether the new Warrants must also bear a restrictive legend.</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ind w:right="1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Fractional Warrants</w:t>
      </w:r>
      <w:r>
        <w:rPr>
          <w:rFonts w:ascii="Times New Roman" w:cs="Times New Roman" w:eastAsia="Times New Roman" w:hAnsi="Times New Roman"/>
          <w:sz w:val="18"/>
          <w:szCs w:val="18"/>
          <w:color w:val="auto"/>
        </w:rPr>
        <w:t>. The Warrant Agent shall not be required to effect any registration of transfer or exchange which shall result in the issuance of a warrant certificate or book-entry position for a fraction of a warrant, except as part of the Units.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Service Charges</w:t>
      </w:r>
      <w:r>
        <w:rPr>
          <w:rFonts w:ascii="Times New Roman" w:cs="Times New Roman" w:eastAsia="Times New Roman" w:hAnsi="Times New Roman"/>
          <w:sz w:val="18"/>
          <w:szCs w:val="18"/>
          <w:color w:val="auto"/>
        </w:rPr>
        <w:t>. No service charge shall be made for any exchange or registration of transfer of Warrants.</w:t>
      </w:r>
    </w:p>
    <w:p>
      <w:pPr>
        <w:spacing w:after="0" w:line="225" w:lineRule="exact"/>
        <w:rPr>
          <w:sz w:val="20"/>
          <w:szCs w:val="20"/>
          <w:color w:val="auto"/>
        </w:rPr>
      </w:pPr>
    </w:p>
    <w:p>
      <w:pPr>
        <w:ind w:right="8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Warrant Execution and Countersignature</w:t>
      </w:r>
      <w:r>
        <w:rPr>
          <w:rFonts w:ascii="Times New Roman" w:cs="Times New Roman" w:eastAsia="Times New Roman" w:hAnsi="Times New Roman"/>
          <w:sz w:val="18"/>
          <w:szCs w:val="18"/>
          <w:color w:val="auto"/>
        </w:rPr>
        <w:t xml:space="preserve">. The Warrant Agent is hereby authorized to countersign and to deliver, in accordance with the terms of this Agreement, the Warrants required to be issued pursuant to the provisions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and the Company, whenever required by the Warrant Agent, shall supply the Warrant Agent with Warrants duly executed on behalf of the Company for such purpose.</w:t>
      </w:r>
    </w:p>
    <w:p>
      <w:pPr>
        <w:spacing w:after="0" w:line="176" w:lineRule="exact"/>
        <w:rPr>
          <w:sz w:val="20"/>
          <w:szCs w:val="20"/>
          <w:color w:val="auto"/>
        </w:rPr>
      </w:pPr>
    </w:p>
    <w:p>
      <w:pPr>
        <w:ind w:right="32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Transfer of Warrants</w:t>
      </w:r>
      <w:r>
        <w:rPr>
          <w:rFonts w:ascii="Times New Roman" w:cs="Times New Roman" w:eastAsia="Times New Roman" w:hAnsi="Times New Roman"/>
          <w:sz w:val="18"/>
          <w:szCs w:val="18"/>
          <w:color w:val="auto"/>
        </w:rPr>
        <w:t xml:space="preserve">. Prior to the Detachment Date, the Public Warrants may be transferred or exchanged only together with the Unit in which such Warrant is included, and only for the purpose of effecting, or in conjunction with, a transfer or exchange of such Unit. Furthermore, each transfer of a Unit on the register relating to such Units shall operate also to transfer the Warrants included in such Unit. Notwithstanding the foregoing, the provisions of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shall have no effect on any transfer of Warrants on and after the Detachment Date.</w:t>
      </w:r>
    </w:p>
    <w:p>
      <w:pPr>
        <w:spacing w:after="0" w:line="180" w:lineRule="exact"/>
        <w:rPr>
          <w:sz w:val="20"/>
          <w:szCs w:val="20"/>
          <w:color w:val="auto"/>
        </w:rPr>
      </w:pPr>
    </w:p>
    <w:p>
      <w:pPr>
        <w:ind w:left="880" w:hanging="224"/>
        <w:spacing w:after="0"/>
        <w:tabs>
          <w:tab w:leader="none" w:pos="8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Redemption of Warrants for Cash</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hereof, not less than all of the outstanding Warrants may be redeemed, at the option of the Company, at any time during the Exercise Period, at the office of the Warrant Agent, upon notice to the Registered Holders of the Warrants, as described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below, at a Redemption Price of $0.01 per Warrant, provided that (a) the Reference Value equals or exceeds $18.00 per share (subject to adjustment in compliance with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and (b) there is an effective registration statement covering the issuance of the shares of Common Stock issuable upon exercise of the Warrants, and a current prospectus relating thereto, available throughout the 30-day Redemption Period (as defined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below).</w:t>
      </w:r>
    </w:p>
    <w:p>
      <w:pPr>
        <w:spacing w:after="0" w:line="18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Redemption of Warrants for Shares of Common Stock</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hereof, not less than all of the outstanding Warrants may be redeemed, at the option of the Company, at any time during the Exercise Period, at the office of the Warrant Agent, upon notice to the Registered Holders of the Warrants, as described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below, at a Redemption Price of $0.10 per Warrant,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Reference Value equals or exceeds $10.00 per share (subject to adjustment in compliance with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and (ii) if the Reference Value is less than $18.00 per share (subject to adjustment in compliance with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the Private Placement Warrants are also concurrently called for redemption on the same terms as the outstanding Public Warrants. During the 30-day Redemption Period in connection with a redemption pursuant to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Registered Holders of the Warrants may elect to exercise their Warrants on a “cashless basis” pursuant to </w:t>
      </w:r>
      <w:r>
        <w:rPr>
          <w:rFonts w:ascii="Times New Roman" w:cs="Times New Roman" w:eastAsia="Times New Roman" w:hAnsi="Times New Roman"/>
          <w:sz w:val="18"/>
          <w:szCs w:val="18"/>
          <w:u w:val="single" w:color="auto"/>
          <w:color w:val="auto"/>
        </w:rPr>
        <w:t>subsection 3.3.1</w:t>
      </w:r>
      <w:r>
        <w:rPr>
          <w:rFonts w:ascii="Times New Roman" w:cs="Times New Roman" w:eastAsia="Times New Roman" w:hAnsi="Times New Roman"/>
          <w:sz w:val="18"/>
          <w:szCs w:val="18"/>
          <w:color w:val="auto"/>
        </w:rPr>
        <w:t xml:space="preserve"> and receive a number of shares of Common Stock determined by reference to the table below, based on the Redemption Date (calculated for purposes of the table as the period to expiration of the Warrants) and the “Redemption Fair Market Value” (as such term is defined in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b w:val="1"/>
          <w:bCs w:val="1"/>
          <w:i w:val="1"/>
          <w:iCs w:val="1"/>
          <w:color w:val="auto"/>
        </w:rPr>
        <w:t>Make-Whole Exercise</w:t>
      </w:r>
      <w:r>
        <w:rPr>
          <w:rFonts w:ascii="Times New Roman" w:cs="Times New Roman" w:eastAsia="Times New Roman" w:hAnsi="Times New Roman"/>
          <w:sz w:val="18"/>
          <w:szCs w:val="18"/>
          <w:color w:val="auto"/>
        </w:rPr>
        <w:t xml:space="preserve">”). Solely for purposes of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Redemption Fair Market Value</w:t>
      </w:r>
      <w:r>
        <w:rPr>
          <w:rFonts w:ascii="Times New Roman" w:cs="Times New Roman" w:eastAsia="Times New Roman" w:hAnsi="Times New Roman"/>
          <w:sz w:val="18"/>
          <w:szCs w:val="18"/>
          <w:color w:val="auto"/>
        </w:rPr>
        <w:t xml:space="preserve">” shall mean the volume weighted average price of the shares of Common Stock for the ten (10) trading days immediately following the date on which notice of redemption pursuant to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is sent to the Registered Holders. In connection with any redemption pursuant to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the Company shall provide the Registered Holders with the Redemption Fair Market Value no later than one (1) Business Day after the ten (10) trading day period described above ends.</w:t>
      </w: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45"/>
        </w:trPr>
        <w:tc>
          <w:tcPr>
            <w:tcW w:w="3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960" w:type="dxa"/>
            <w:vAlign w:val="bottom"/>
            <w:gridSpan w:val="18"/>
          </w:tcPr>
          <w:p>
            <w:pPr>
              <w:ind w:left="380"/>
              <w:spacing w:after="0"/>
              <w:rPr>
                <w:sz w:val="20"/>
                <w:szCs w:val="20"/>
                <w:color w:val="auto"/>
              </w:rPr>
            </w:pPr>
            <w:r>
              <w:rPr>
                <w:rFonts w:ascii="Times New Roman" w:cs="Times New Roman" w:eastAsia="Times New Roman" w:hAnsi="Times New Roman"/>
                <w:sz w:val="18"/>
                <w:szCs w:val="18"/>
                <w:b w:val="1"/>
                <w:bCs w:val="1"/>
                <w:color w:val="auto"/>
              </w:rPr>
              <w:t>Redemption Fair Market Value of Class A Common Stock (period to expiration of warrants)</w:t>
            </w:r>
          </w:p>
        </w:tc>
      </w:tr>
      <w:tr>
        <w:trPr>
          <w:trHeight w:val="23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Redemption Date</w:t>
            </w:r>
          </w:p>
        </w:tc>
        <w:tc>
          <w:tcPr>
            <w:tcW w:w="92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7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11.00</w:t>
            </w:r>
          </w:p>
        </w:tc>
        <w:tc>
          <w:tcPr>
            <w:tcW w:w="2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12.00</w:t>
            </w:r>
          </w:p>
        </w:tc>
        <w:tc>
          <w:tcPr>
            <w:tcW w:w="2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13.00</w:t>
            </w:r>
          </w:p>
        </w:tc>
        <w:tc>
          <w:tcPr>
            <w:tcW w:w="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14.00</w:t>
            </w:r>
          </w:p>
        </w:tc>
        <w:tc>
          <w:tcPr>
            <w:tcW w:w="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15.00</w:t>
            </w:r>
          </w:p>
        </w:tc>
        <w:tc>
          <w:tcPr>
            <w:tcW w:w="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16.00</w:t>
            </w:r>
          </w:p>
        </w:tc>
        <w:tc>
          <w:tcPr>
            <w:tcW w:w="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17.00</w:t>
            </w:r>
          </w:p>
        </w:tc>
        <w:tc>
          <w:tcPr>
            <w:tcW w:w="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≥18.00</w:t>
            </w:r>
          </w:p>
        </w:tc>
        <w:tc>
          <w:tcPr>
            <w:tcW w:w="100" w:type="dxa"/>
            <w:vAlign w:val="bottom"/>
          </w:tcPr>
          <w:p>
            <w:pPr>
              <w:spacing w:after="0"/>
              <w:rPr>
                <w:sz w:val="20"/>
                <w:szCs w:val="20"/>
                <w:color w:val="auto"/>
              </w:rPr>
            </w:pPr>
          </w:p>
        </w:tc>
      </w:tr>
      <w:tr>
        <w:trPr>
          <w:trHeight w:val="216"/>
        </w:trPr>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60 months</w:t>
            </w: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0.261</w:t>
            </w: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0.281</w:t>
            </w: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0.297</w:t>
            </w: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0.311</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0.324</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0.337</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0.348</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0.358</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57 months</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0.257</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0.277</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0.294</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0.310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0.324</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0.337</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0.348</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0.358</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54 months</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0.252</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0.272</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0.291</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0.307</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0.322</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0.335</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0.347</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0.357</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51 months</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0.246</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0.268</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0.287</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0.304</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0.320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0.333</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0.346</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0.357</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48 months</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0.241</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0.263</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0.283</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0.301</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0.317</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0.332</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0.344</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0.356</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45 months</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0.235</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0.258</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0.279</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0.298</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0.315</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0.330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0.343</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0.356</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42 months</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0.228</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0.252</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0.274</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0.294</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0.312</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0.328</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0.342</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0.355</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39 months</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0.221</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0.246</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0.269</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0.290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0.309</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0.325</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0.340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0.354</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36 months</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0.213</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0.239</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0.263</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0.285</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0.305</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0.323</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0.339</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0.353</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33 months</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0.205</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0.232</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0.257</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0.280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0.301</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0.320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0.337</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0.352</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30 months</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0.196</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0.224</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0.250</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0.274</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0.297</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0.316</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0.335</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0.351</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27 months</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0.185</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0.214</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0.242</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0.268</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0.291</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0.313</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0.332</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0.350</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24 months</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0.173</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0.204</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0.233</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0.260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0.285</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0.308</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0.329</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0.348</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 months</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0.161</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0.193</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0.223</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0.252</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0.279</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0.304</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0.326</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0.347</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18 months</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0.146</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0.179</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0.211</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0.242</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0.271</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0.298</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0.322</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0.345</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 months</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0.130</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0.164</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0.197</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0.230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0.262</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0.291</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0.317</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0.342</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12 months</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0.111</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0.146</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0.181</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0.216</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0.250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0.282</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0.312</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0.339</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 months</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0.090</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0.125</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0.162</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0.199</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0.237</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0.272</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0.305</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0.336</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 months</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0.065</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0.099</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0.137</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0.178</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0.219</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0.259</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0.296</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0.331</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 months</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0.034</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0.065</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0.104</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0.150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0.197</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0.243</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0.286</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0.326</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0 months</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0.042</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0.115</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0.179</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0.233</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0.281</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0.323</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r>
    </w:tbl>
    <w:p>
      <w:pPr>
        <w:spacing w:after="0" w:line="19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exact Redemption Fair Market Value and Redemption Date may not be set forth in the table above, in which case, if the Redemption Fair Market Value is between two values in the table or the Redemption Date is between two redemption dates in the table, the number of shares of Common Stock to be issued for each Warrant exercised in a Make-Whole Exercise shall be determined by a straight-line interpolation between the number of shares set forth for the higher and lower Redemption Fair Market Values and the earlier and later redemption dates, as applicable, based on a 365- or 366-day year, as applicable.</w:t>
      </w:r>
    </w:p>
    <w:p>
      <w:pPr>
        <w:spacing w:after="0" w:line="183"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17"/>
          <w:szCs w:val="17"/>
          <w:color w:val="auto"/>
        </w:rPr>
        <w:t xml:space="preserve">The share prices set forth in the column headings of the table above shall be adjusted as of any date on which the number of shares issuable upon exercise of a Warrant or the Exercise Price is adjusted pursuant to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hereof. If the number of shares issuable upon exercise of a Warrant is adjusted pursuant to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hereof, the adjusted share prices in the column headings shall equal the share prices immediately prior to such adjustment, multiplied by a fraction, the numerator of which is the number of shares deliverable upon exercise of a Warrant immediately prior to such adjustment and the denominator of which is the number of shares deliverable upon exercise of a Warrant as so adjusted. The number of shares in the table above shall be adjusted in the same manner and at the same time as the number of shares issuable upon exercise of a Warrant. If the Exercise Price of a warrant is adjusted, (a) in the case of an adjustment pursuant to </w:t>
      </w:r>
      <w:r>
        <w:rPr>
          <w:rFonts w:ascii="Times New Roman" w:cs="Times New Roman" w:eastAsia="Times New Roman" w:hAnsi="Times New Roman"/>
          <w:sz w:val="17"/>
          <w:szCs w:val="17"/>
          <w:u w:val="single" w:color="auto"/>
          <w:color w:val="auto"/>
        </w:rPr>
        <w:t>Section 4.4</w:t>
      </w:r>
      <w:r>
        <w:rPr>
          <w:rFonts w:ascii="Times New Roman" w:cs="Times New Roman" w:eastAsia="Times New Roman" w:hAnsi="Times New Roman"/>
          <w:sz w:val="17"/>
          <w:szCs w:val="17"/>
          <w:color w:val="auto"/>
        </w:rPr>
        <w:t xml:space="preserve"> hereof, the adjusted share prices in the column headings shall equal the share prices immediately prior to such adjustment multiplied by a fraction, the numerator of which is the higher of the Market Value and the Newly Issued Price and the denominator of which is $10.00 and (b) in the case of an adjustment pursuant to </w:t>
      </w:r>
      <w:r>
        <w:rPr>
          <w:rFonts w:ascii="Times New Roman" w:cs="Times New Roman" w:eastAsia="Times New Roman" w:hAnsi="Times New Roman"/>
          <w:sz w:val="17"/>
          <w:szCs w:val="17"/>
          <w:u w:val="single" w:color="auto"/>
          <w:color w:val="auto"/>
        </w:rPr>
        <w:t>Section 4.1.2</w:t>
      </w:r>
      <w:r>
        <w:rPr>
          <w:rFonts w:ascii="Times New Roman" w:cs="Times New Roman" w:eastAsia="Times New Roman" w:hAnsi="Times New Roman"/>
          <w:sz w:val="17"/>
          <w:szCs w:val="17"/>
          <w:color w:val="auto"/>
        </w:rPr>
        <w:t xml:space="preserve"> hereof, the adjusted share prices in the column headings shall equal the share prices immediately prior to such adjustment less the decrease in the Exercise Price pursuant to such Exercise Price adjustment. In no event shall the number of shares issued in connection with a Make-Whole Exercise exceed 0.361 shares of Common Stock per Warrant (subject to adjustment)</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Date Fixed for, and Notice of, Redemption; Redemption Price; Reference Value</w:t>
      </w:r>
      <w:r>
        <w:rPr>
          <w:rFonts w:ascii="Times New Roman" w:cs="Times New Roman" w:eastAsia="Times New Roman" w:hAnsi="Times New Roman"/>
          <w:sz w:val="18"/>
          <w:szCs w:val="18"/>
          <w:color w:val="auto"/>
        </w:rPr>
        <w:t>. In the event that the Company elects to redeem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Warrants pursuant to </w:t>
      </w:r>
      <w:r>
        <w:rPr>
          <w:rFonts w:ascii="Times New Roman" w:cs="Times New Roman" w:eastAsia="Times New Roman" w:hAnsi="Times New Roman"/>
          <w:sz w:val="18"/>
          <w:szCs w:val="18"/>
          <w:u w:val="single" w:color="auto"/>
          <w:color w:val="auto"/>
        </w:rPr>
        <w:t>Sections 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6.2</w:t>
      </w:r>
      <w:r>
        <w:rPr>
          <w:rFonts w:ascii="Times New Roman" w:cs="Times New Roman" w:eastAsia="Times New Roman" w:hAnsi="Times New Roman"/>
          <w:sz w:val="18"/>
          <w:szCs w:val="18"/>
          <w:color w:val="auto"/>
        </w:rPr>
        <w:t xml:space="preserve"> above, the Company shall fix a date for the redemption (the “</w:t>
      </w:r>
      <w:r>
        <w:rPr>
          <w:rFonts w:ascii="Times New Roman" w:cs="Times New Roman" w:eastAsia="Times New Roman" w:hAnsi="Times New Roman"/>
          <w:sz w:val="18"/>
          <w:szCs w:val="18"/>
          <w:b w:val="1"/>
          <w:bCs w:val="1"/>
          <w:i w:val="1"/>
          <w:iCs w:val="1"/>
          <w:color w:val="auto"/>
        </w:rPr>
        <w:t>Redemption Date</w:t>
      </w:r>
      <w:r>
        <w:rPr>
          <w:rFonts w:ascii="Times New Roman" w:cs="Times New Roman" w:eastAsia="Times New Roman" w:hAnsi="Times New Roman"/>
          <w:sz w:val="18"/>
          <w:szCs w:val="18"/>
          <w:color w:val="auto"/>
        </w:rPr>
        <w:t>”). Notice of redemption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mailed by first class mail, postage prepaid, by the Company not less than thirty (30) days prior to the Redemption Date (the “</w:t>
      </w:r>
      <w:r>
        <w:rPr>
          <w:rFonts w:ascii="Times New Roman" w:cs="Times New Roman" w:eastAsia="Times New Roman" w:hAnsi="Times New Roman"/>
          <w:sz w:val="18"/>
          <w:szCs w:val="18"/>
          <w:b w:val="1"/>
          <w:bCs w:val="1"/>
          <w:i w:val="1"/>
          <w:iCs w:val="1"/>
          <w:color w:val="auto"/>
        </w:rPr>
        <w:t>30-day Redemption Period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Registered Holders of the Warrants to be redeemed at their last addresses as they shall appear on the registration books. Any notice mailed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manner herein provided shall be conclusively presumed to have been duly given whether or not the Registered Holder received such notice. As used in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 “</w:t>
      </w:r>
      <w:r>
        <w:rPr>
          <w:rFonts w:ascii="Times New Roman" w:cs="Times New Roman" w:eastAsia="Times New Roman" w:hAnsi="Times New Roman"/>
          <w:sz w:val="18"/>
          <w:szCs w:val="18"/>
          <w:b w:val="1"/>
          <w:bCs w:val="1"/>
          <w:i w:val="1"/>
          <w:iCs w:val="1"/>
          <w:color w:val="auto"/>
        </w:rPr>
        <w:t>Redemption Price</w:t>
      </w:r>
      <w:r>
        <w:rPr>
          <w:rFonts w:ascii="Times New Roman" w:cs="Times New Roman" w:eastAsia="Times New Roman" w:hAnsi="Times New Roman"/>
          <w:sz w:val="18"/>
          <w:szCs w:val="18"/>
          <w:color w:val="auto"/>
        </w:rPr>
        <w:t xml:space="preserve">” shall mean the price per Warrant at which any Warrants are redeemed pursuant to </w:t>
      </w:r>
      <w:r>
        <w:rPr>
          <w:rFonts w:ascii="Times New Roman" w:cs="Times New Roman" w:eastAsia="Times New Roman" w:hAnsi="Times New Roman"/>
          <w:sz w:val="18"/>
          <w:szCs w:val="18"/>
          <w:u w:val="single" w:color="auto"/>
          <w:color w:val="auto"/>
        </w:rPr>
        <w:t>Sections 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6.2</w:t>
      </w:r>
      <w:r>
        <w:rPr>
          <w:rFonts w:ascii="Times New Roman" w:cs="Times New Roman" w:eastAsia="Times New Roman" w:hAnsi="Times New Roman"/>
          <w:sz w:val="18"/>
          <w:szCs w:val="18"/>
          <w:color w:val="auto"/>
        </w:rPr>
        <w:t xml:space="preserve"> and (b)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Reference Value</w:t>
      </w:r>
      <w:r>
        <w:rPr>
          <w:rFonts w:ascii="Times New Roman" w:cs="Times New Roman" w:eastAsia="Times New Roman" w:hAnsi="Times New Roman"/>
          <w:sz w:val="18"/>
          <w:szCs w:val="18"/>
          <w:color w:val="auto"/>
        </w:rPr>
        <w:t>” shall mean the last reported sales price of the shares of Common Stock for any twenty (20) trading days within the thirty (30) trading-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 period ending on the third trading day prior to the date on which notice of the redemption is given.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73" w:name="page74"/>
    <w:bookmarkEnd w:id="73"/>
    <w:p>
      <w:pPr>
        <w:ind w:right="6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Exercise After Notice of Redemption</w:t>
      </w:r>
      <w:r>
        <w:rPr>
          <w:rFonts w:ascii="Times New Roman" w:cs="Times New Roman" w:eastAsia="Times New Roman" w:hAnsi="Times New Roman"/>
          <w:sz w:val="18"/>
          <w:szCs w:val="18"/>
          <w:color w:val="auto"/>
        </w:rPr>
        <w:t xml:space="preserve">. The Warrants may be exercised, for cash (or on a “cashless basis” in accordance with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6.2</w:t>
      </w:r>
      <w:r>
        <w:rPr>
          <w:rFonts w:ascii="Times New Roman" w:cs="Times New Roman" w:eastAsia="Times New Roman" w:hAnsi="Times New Roman"/>
          <w:sz w:val="18"/>
          <w:szCs w:val="18"/>
          <w:color w:val="auto"/>
        </w:rPr>
        <w:t xml:space="preserve"> of this Agreement) at any time after notice of redemption shall have been given by the Company pursuant to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hereof and prior to the Redemption Date. On and after the Redemption Date, the record holder of the Warrants shall have no further rights except to receive, upon surrender of the Warrants, the Redemption Price.</w:t>
      </w:r>
    </w:p>
    <w:p>
      <w:pPr>
        <w:spacing w:after="0" w:line="180"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Exclusion of Private Placement Warrants</w:t>
      </w:r>
      <w:r>
        <w:rPr>
          <w:rFonts w:ascii="Times New Roman" w:cs="Times New Roman" w:eastAsia="Times New Roman" w:hAnsi="Times New Roman"/>
          <w:sz w:val="18"/>
          <w:szCs w:val="18"/>
          <w:color w:val="auto"/>
        </w:rPr>
        <w:t xml:space="preserve">. The Company agrees that (a) the redemption rights provided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hereof shall not apply to the Private Placement Warrants if at the time of the redemption such Private Placement Warrants continue to be held by a Purchaser or its Permitted Transferees and (b) if the Reference Value equals or exceeds $18.00 per share (subject to adjustment in compliance with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the redemption rights provided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hereof shall not apply to the Private Placement Warrants if at the time of the redemption such Private Placement Warrants continue to be held by either Purchaser or its Permitted Transferees, as applicable. However, once such Private Placement Warrants are transferred (other than to Permitted Transferees in accordance with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hereof), the Company may redeem the Private Placement Warrants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6.2</w:t>
      </w:r>
      <w:r>
        <w:rPr>
          <w:rFonts w:ascii="Times New Roman" w:cs="Times New Roman" w:eastAsia="Times New Roman" w:hAnsi="Times New Roman"/>
          <w:sz w:val="18"/>
          <w:szCs w:val="18"/>
          <w:color w:val="auto"/>
        </w:rPr>
        <w:t xml:space="preserve"> hereof, provided that the criteria for redemption are met, including the opportunity of the holder of such Private Placement Warrants to exercise the Private Placement Warrants prior to redemption pursuant to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hereof. Private Placement Warrants that are transferred to persons other than Permitted Transferees shall upon such transfer cease to be Private Placement Warrants and shall become Public Warrants under this Agreement, including for purposes of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 xml:space="preserve"> hereof.</w:t>
      </w:r>
    </w:p>
    <w:p>
      <w:pPr>
        <w:spacing w:after="0" w:line="194" w:lineRule="exact"/>
        <w:rPr>
          <w:sz w:val="20"/>
          <w:szCs w:val="20"/>
          <w:color w:val="auto"/>
        </w:rPr>
      </w:pPr>
    </w:p>
    <w:p>
      <w:pPr>
        <w:ind w:left="880" w:hanging="224"/>
        <w:spacing w:after="0"/>
        <w:tabs>
          <w:tab w:leader="none" w:pos="8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Provisions Relating to Rights of Holders of 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42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No Rights as Stockholder</w:t>
      </w:r>
      <w:r>
        <w:rPr>
          <w:rFonts w:ascii="Times New Roman" w:cs="Times New Roman" w:eastAsia="Times New Roman" w:hAnsi="Times New Roman"/>
          <w:sz w:val="18"/>
          <w:szCs w:val="18"/>
          <w:color w:val="auto"/>
        </w:rPr>
        <w:t>. A Warrant does not entitle the Registered Holder thereof to any of the rights of a stockholder of the Company, including, without limitation, the right to receive dividends, or other distributions, exercise any preemptive rights to vote or to consent or to receive notice as stockholders in respect of the meetings of stockholders or the election of directors of the Company or any other matter.</w:t>
      </w:r>
    </w:p>
    <w:p>
      <w:pPr>
        <w:spacing w:after="0" w:line="176" w:lineRule="exact"/>
        <w:rPr>
          <w:sz w:val="20"/>
          <w:szCs w:val="20"/>
          <w:color w:val="auto"/>
        </w:rPr>
      </w:pPr>
    </w:p>
    <w:p>
      <w:pPr>
        <w:ind w:right="8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Lost, Stolen, Mutilated, or Destroyed Warrants</w:t>
      </w:r>
      <w:r>
        <w:rPr>
          <w:rFonts w:ascii="Times New Roman" w:cs="Times New Roman" w:eastAsia="Times New Roman" w:hAnsi="Times New Roman"/>
          <w:sz w:val="18"/>
          <w:szCs w:val="18"/>
          <w:color w:val="auto"/>
        </w:rPr>
        <w:t>. If any Warrant is lost, stolen, mutilated, or destroyed, the Company and the Warrant Agent may on such terms as to indemnity or otherwise as they may in their discretion impose (which shall, in the case of a mutilated Warrant, include the surrender thereof), issue a new Warrant of like denomination, tenor, and date as the Warrant so lost, stolen, mutilated, or destroyed. Any such new Warrant shall constitute a substitute contractual obligation of the Company, whether or not the allegedly lost, stolen, mutilated, or destroyed Warrant shall be at any time enforceable by anyone.</w:t>
      </w:r>
    </w:p>
    <w:p>
      <w:pPr>
        <w:spacing w:after="0" w:line="183" w:lineRule="exact"/>
        <w:rPr>
          <w:sz w:val="20"/>
          <w:szCs w:val="20"/>
          <w:color w:val="auto"/>
        </w:rPr>
      </w:pPr>
    </w:p>
    <w:p>
      <w:pPr>
        <w:ind w:right="18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Reservation of Common Stock</w:t>
      </w:r>
      <w:r>
        <w:rPr>
          <w:rFonts w:ascii="Times New Roman" w:cs="Times New Roman" w:eastAsia="Times New Roman" w:hAnsi="Times New Roman"/>
          <w:sz w:val="18"/>
          <w:szCs w:val="18"/>
          <w:color w:val="auto"/>
        </w:rPr>
        <w:t>. The Company shall at all times reserve and keep available a number of its authorized but unissued shares of Common Stock that shall be sufficient to permit the exercise in full of all outstanding Warrants issued pursuant to this Agreement.</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ind w:left="1300"/>
        <w:spacing w:after="0"/>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Registration of Common Stock; Cashless Exercise at Company’s Option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7.4.1. </w:t>
      </w:r>
      <w:r>
        <w:rPr>
          <w:rFonts w:ascii="Times New Roman" w:cs="Times New Roman" w:eastAsia="Times New Roman" w:hAnsi="Times New Roman"/>
          <w:sz w:val="18"/>
          <w:szCs w:val="18"/>
          <w:u w:val="single" w:color="auto"/>
          <w:color w:val="auto"/>
        </w:rPr>
        <w:t>Registration of the Common Stock</w:t>
      </w:r>
      <w:r>
        <w:rPr>
          <w:rFonts w:ascii="Times New Roman" w:cs="Times New Roman" w:eastAsia="Times New Roman" w:hAnsi="Times New Roman"/>
          <w:sz w:val="18"/>
          <w:szCs w:val="18"/>
          <w:color w:val="auto"/>
        </w:rPr>
        <w:t>. The Company agrees that as soon as practicable, but in no event later than fifteen</w:t>
      </w:r>
    </w:p>
    <w:p>
      <w:pPr>
        <w:spacing w:after="0" w:line="27" w:lineRule="exact"/>
        <w:rPr>
          <w:sz w:val="20"/>
          <w:szCs w:val="20"/>
          <w:color w:val="auto"/>
        </w:rPr>
      </w:pPr>
    </w:p>
    <w:p>
      <w:pPr>
        <w:ind w:firstLine="8"/>
        <w:spacing w:after="0" w:line="250" w:lineRule="auto"/>
        <w:tabs>
          <w:tab w:leader="none" w:pos="34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after the closing of its initial Business Combination, it shall use its best efforts to file with the Commission a registration statement for the registration, under the Securities Act, of the shares of Common Stock issuable upon exercise of the Warrants. The Company shall use its best efforts to cause the same to become effective within sixty (60) Business Days following the closing of its initial Business Combination and to maintain the effectiveness of such registration statement, and a current prospectus relating thereto, until the expiration or redemption of the Warrants in accordance with the provisions of this Agreement. If any such registration statement has not been declared effective by the sixtieth (60th) Business Day following the closing of the Business Combination, holders of the Warrants shall have the right, during the period beginning on the sixty-first (61st) Business Day after the closing of the Business Combination and ending upon such registration statement being declared effective by the Commission, and during any other period when the Company shall fail to have maintained an effective registration statement covering the issuance of the shares of Common Stock issuable upon exercise of the Warrants, to exercise such Warrants on a “cashless basis,” by exchanging the Warrants (in accordance with Section 3(a)(9) of the Securities Act or another exemption) for that number of shares of Common Stock equal to the lesser of (A) the quotient obtained by dividing (x) the product of the number of shares of Common Stock underlying the Warrants, multiplied by the excess of the “Fair Market Value” (as defined below) less the Warrant Price by (y) the Fair Market Value and (B) 0.361. Solely for purposes of this </w:t>
      </w:r>
      <w:r>
        <w:rPr>
          <w:rFonts w:ascii="Times New Roman" w:cs="Times New Roman" w:eastAsia="Times New Roman" w:hAnsi="Times New Roman"/>
          <w:sz w:val="18"/>
          <w:szCs w:val="18"/>
          <w:u w:val="single" w:color="auto"/>
          <w:color w:val="auto"/>
        </w:rPr>
        <w:t>subsection 7.4.1</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xml:space="preserve">” shall mean the volume-weighted average price of the Common Stock as reported during the ten (10) trading day period ending on the trading day prior to the date that notice of exercise is received by the Warrant Agent from the holder of such Warrants or its securities broker or intermediary. The date that notice of “cashless exercise” is received by the Warrant Agent shall be conclusively determined by the Warrant Agent. In connection with the “cashless exercise” of a Public Warrant, the Company shall, upon request, provide the Warrant Agent with an opinion of counsel for the Company (which shall be an outside law firm with securities law experience) stating that (i) the exercise of the Warrants on a “cashless basis” in accordance with this </w:t>
      </w:r>
      <w:r>
        <w:rPr>
          <w:rFonts w:ascii="Times New Roman" w:cs="Times New Roman" w:eastAsia="Times New Roman" w:hAnsi="Times New Roman"/>
          <w:sz w:val="18"/>
          <w:szCs w:val="18"/>
          <w:u w:val="single" w:color="auto"/>
          <w:color w:val="auto"/>
        </w:rPr>
        <w:t>subsection 7.4.1</w:t>
      </w:r>
      <w:r>
        <w:rPr>
          <w:rFonts w:ascii="Times New Roman" w:cs="Times New Roman" w:eastAsia="Times New Roman" w:hAnsi="Times New Roman"/>
          <w:sz w:val="18"/>
          <w:szCs w:val="18"/>
          <w:color w:val="auto"/>
        </w:rPr>
        <w:t xml:space="preserve"> is not required to be registered under the Securities Act and (ii) the shares of Common Stock issued upon such exercise shall be freely tradable under United States federal securities laws by anyone who is not an affiliate (as such term is defined in Rule 144 under the Securities Act) of the Company and, accordingly, shall not be required to bear a restrictive legend. Except as provided in </w:t>
      </w:r>
      <w:r>
        <w:rPr>
          <w:rFonts w:ascii="Times New Roman" w:cs="Times New Roman" w:eastAsia="Times New Roman" w:hAnsi="Times New Roman"/>
          <w:sz w:val="18"/>
          <w:szCs w:val="18"/>
          <w:u w:val="single" w:color="auto"/>
          <w:color w:val="auto"/>
        </w:rPr>
        <w:t>subsection 7.4.2</w:t>
      </w:r>
      <w:r>
        <w:rPr>
          <w:rFonts w:ascii="Times New Roman" w:cs="Times New Roman" w:eastAsia="Times New Roman" w:hAnsi="Times New Roman"/>
          <w:sz w:val="18"/>
          <w:szCs w:val="18"/>
          <w:color w:val="auto"/>
        </w:rPr>
        <w:t xml:space="preserve">, for the avoidance of doubt, unless and until all of the Warrants have been exercised or have expired, the Company shall continue to be obligated to comply with its registration obligations under the first three sentences of this </w:t>
      </w:r>
      <w:r>
        <w:rPr>
          <w:rFonts w:ascii="Times New Roman" w:cs="Times New Roman" w:eastAsia="Times New Roman" w:hAnsi="Times New Roman"/>
          <w:sz w:val="18"/>
          <w:szCs w:val="18"/>
          <w:u w:val="single" w:color="auto"/>
          <w:color w:val="auto"/>
        </w:rPr>
        <w:t>subsection 7.4.1</w:t>
      </w:r>
      <w:r>
        <w:rPr>
          <w:rFonts w:ascii="Times New Roman" w:cs="Times New Roman" w:eastAsia="Times New Roman" w:hAnsi="Times New Roman"/>
          <w:sz w:val="18"/>
          <w:szCs w:val="18"/>
          <w:color w:val="auto"/>
        </w:rPr>
        <w:t>.</w:t>
      </w:r>
    </w:p>
    <w:p>
      <w:pPr>
        <w:spacing w:after="0" w:line="206" w:lineRule="exact"/>
        <w:rPr>
          <w:sz w:val="20"/>
          <w:szCs w:val="20"/>
          <w:color w:val="auto"/>
        </w:rPr>
      </w:pPr>
    </w:p>
    <w:p>
      <w:pPr>
        <w:ind w:firstLine="1944"/>
        <w:spacing w:after="0" w:line="254" w:lineRule="auto"/>
        <w:rPr>
          <w:sz w:val="20"/>
          <w:szCs w:val="20"/>
          <w:color w:val="auto"/>
        </w:rPr>
      </w:pPr>
      <w:r>
        <w:rPr>
          <w:rFonts w:ascii="Times New Roman" w:cs="Times New Roman" w:eastAsia="Times New Roman" w:hAnsi="Times New Roman"/>
          <w:sz w:val="18"/>
          <w:szCs w:val="18"/>
          <w:color w:val="auto"/>
        </w:rPr>
        <w:t xml:space="preserve">7.4.2. </w:t>
      </w:r>
      <w:r>
        <w:rPr>
          <w:rFonts w:ascii="Times New Roman" w:cs="Times New Roman" w:eastAsia="Times New Roman" w:hAnsi="Times New Roman"/>
          <w:sz w:val="18"/>
          <w:szCs w:val="18"/>
          <w:u w:val="single" w:color="auto"/>
          <w:color w:val="auto"/>
        </w:rPr>
        <w:t>Cashless Exercise at Company’s Option</w:t>
      </w:r>
      <w:r>
        <w:rPr>
          <w:rFonts w:ascii="Times New Roman" w:cs="Times New Roman" w:eastAsia="Times New Roman" w:hAnsi="Times New Roman"/>
          <w:sz w:val="18"/>
          <w:szCs w:val="18"/>
          <w:color w:val="auto"/>
        </w:rPr>
        <w:t xml:space="preserve">. If the Common Stock is at the time of any exercise of a Public Warrant not listed on a national securities exchange such that they satisfy the definition of a “covered security” under Section 18(b)(1) of the Securities Act, the Company may, at its option, (i) require holders of Public Warrants who exercise Public Warrants to exercise such Public Warrants on a “cashless basis” in accordance with Section 3(a)(9) of the Securities Act as described in </w:t>
      </w:r>
      <w:r>
        <w:rPr>
          <w:rFonts w:ascii="Times New Roman" w:cs="Times New Roman" w:eastAsia="Times New Roman" w:hAnsi="Times New Roman"/>
          <w:sz w:val="18"/>
          <w:szCs w:val="18"/>
          <w:u w:val="single" w:color="auto"/>
          <w:color w:val="auto"/>
        </w:rPr>
        <w:t>subsection 7.4.1</w:t>
      </w:r>
      <w:r>
        <w:rPr>
          <w:rFonts w:ascii="Times New Roman" w:cs="Times New Roman" w:eastAsia="Times New Roman" w:hAnsi="Times New Roman"/>
          <w:sz w:val="18"/>
          <w:szCs w:val="18"/>
          <w:color w:val="auto"/>
        </w:rPr>
        <w:t xml:space="preserve"> above and (ii) in the event the Company so elects, the Company shall (x) not be required to file or maintain in effect a registration statement for the registration, under the Securities Act, of the shares of Common Stock issuable upon exercise of the Warrants, notwithstanding anything in this Agreement to the contrary, and (y) use its commercially reasonable efforts to register or qualify for sale the shares of Common Stock issuable upon exercise of the Public Warrant under applicable blue sky laws to the extent an exemption is not available.</w:t>
      </w:r>
    </w:p>
    <w:p>
      <w:pPr>
        <w:spacing w:after="0" w:line="192" w:lineRule="exact"/>
        <w:rPr>
          <w:sz w:val="20"/>
          <w:szCs w:val="20"/>
          <w:color w:val="auto"/>
        </w:rPr>
      </w:pPr>
    </w:p>
    <w:p>
      <w:pPr>
        <w:ind w:left="880" w:hanging="224"/>
        <w:spacing w:after="0"/>
        <w:tabs>
          <w:tab w:leader="none" w:pos="8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Concerning the Warrant Agent and Other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The Company shall from time to time promptly pay all taxes and charges that may be imposed upon the Company or the Warrant Agent in respect of the issuance or delivery of shares of Common Stock upon the exercise of the Warrants, but the Company shall not be obligated to pay any transfer taxes in respect of the Warrants or such shares of Common Stock.</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5" w:name="page76"/>
    <w:bookmarkEnd w:id="75"/>
    <w:p>
      <w:pPr>
        <w:ind w:left="1300"/>
        <w:spacing w:after="0"/>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Resignation, Consolidation, or Merger of Warrant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944"/>
        <w:spacing w:after="0" w:line="252" w:lineRule="auto"/>
        <w:rPr>
          <w:sz w:val="20"/>
          <w:szCs w:val="20"/>
          <w:color w:val="auto"/>
        </w:rPr>
      </w:pPr>
      <w:r>
        <w:rPr>
          <w:rFonts w:ascii="Times New Roman" w:cs="Times New Roman" w:eastAsia="Times New Roman" w:hAnsi="Times New Roman"/>
          <w:sz w:val="18"/>
          <w:szCs w:val="18"/>
          <w:color w:val="auto"/>
        </w:rPr>
        <w:t xml:space="preserve">8.2.1. </w:t>
      </w:r>
      <w:r>
        <w:rPr>
          <w:rFonts w:ascii="Times New Roman" w:cs="Times New Roman" w:eastAsia="Times New Roman" w:hAnsi="Times New Roman"/>
          <w:sz w:val="18"/>
          <w:szCs w:val="18"/>
          <w:u w:val="single" w:color="auto"/>
          <w:color w:val="auto"/>
        </w:rPr>
        <w:t>Appointment of Successor Warrant Agent</w:t>
      </w:r>
      <w:r>
        <w:rPr>
          <w:rFonts w:ascii="Times New Roman" w:cs="Times New Roman" w:eastAsia="Times New Roman" w:hAnsi="Times New Roman"/>
          <w:sz w:val="18"/>
          <w:szCs w:val="18"/>
          <w:color w:val="auto"/>
        </w:rPr>
        <w:t>. The Warrant Agent, or any successor to it hereafter appointed, may resign its duties and be discharged from all further duties and liabilities hereunder after giving sixty (60) days’ notice in writing to the Company. If the office of the Warrant Agent becomes vacant by resignation or incapacity to act or otherwise, the Company shall appoint in writing a successor Warrant Agent in place of the Warrant Agent. If the Company shall fail to make such appointment within a period of thirty (30) days after it has been notified in writing of such resignation or incapacity by the Warrant Agent or by the holder of a Warrant (who shall, with such notice, submit his, her or its Warrant for inspection by the Company), then the holder of any Warrant may apply to the Supreme Court of the State of New York for the County of New York for the appointment of a successor Warrant Agent at the Company’s cost. Any successor Warrant Agent, whether appointed by the Company or by such court, shall be a corporation or other entity organized and existing under the laws of the State of New York, in good standing and having its principal office in the Borough of Manhattan, City and State of New York, and authorized under such laws to exercise corporate trust powers and subject to supervision or examination by federal or state authority. After appointment, any successor Warrant Agent shall be vested with all the authority, powers, rights, immunities, duties, and obligations of its predecessor Warrant Agent with like effect as if originally named as Warrant Agent hereunder, without any further act or deed; but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for more fully and effectually vesting in and confirming to such successor Warrant Agent all such authority, powers, rights, immunities, duties, and obligations.</w:t>
      </w:r>
    </w:p>
    <w:p>
      <w:pPr>
        <w:spacing w:after="0" w:line="196" w:lineRule="exact"/>
        <w:rPr>
          <w:sz w:val="20"/>
          <w:szCs w:val="20"/>
          <w:color w:val="auto"/>
        </w:rPr>
      </w:pPr>
    </w:p>
    <w:p>
      <w:pPr>
        <w:jc w:val="both"/>
        <w:ind w:right="180" w:firstLine="1944"/>
        <w:spacing w:after="0" w:line="282" w:lineRule="auto"/>
        <w:rPr>
          <w:sz w:val="20"/>
          <w:szCs w:val="20"/>
          <w:color w:val="auto"/>
        </w:rPr>
      </w:pPr>
      <w:r>
        <w:rPr>
          <w:rFonts w:ascii="Times New Roman" w:cs="Times New Roman" w:eastAsia="Times New Roman" w:hAnsi="Times New Roman"/>
          <w:sz w:val="18"/>
          <w:szCs w:val="18"/>
          <w:color w:val="auto"/>
        </w:rPr>
        <w:t xml:space="preserve">8.2.2. </w:t>
      </w:r>
      <w:r>
        <w:rPr>
          <w:rFonts w:ascii="Times New Roman" w:cs="Times New Roman" w:eastAsia="Times New Roman" w:hAnsi="Times New Roman"/>
          <w:sz w:val="18"/>
          <w:szCs w:val="18"/>
          <w:u w:val="single" w:color="auto"/>
          <w:color w:val="auto"/>
        </w:rPr>
        <w:t>Notice of Successor Warrant Agent</w:t>
      </w:r>
      <w:r>
        <w:rPr>
          <w:rFonts w:ascii="Times New Roman" w:cs="Times New Roman" w:eastAsia="Times New Roman" w:hAnsi="Times New Roman"/>
          <w:sz w:val="18"/>
          <w:szCs w:val="18"/>
          <w:color w:val="auto"/>
        </w:rPr>
        <w:t>. In the event a successor Warrant Agent shall be appointed, the Company shall give notice thereof to the predecessor Warrant Agent and the Transfer Agent for the Common Stock not later than the effective date of any such appointment.</w:t>
      </w:r>
    </w:p>
    <w:p>
      <w:pPr>
        <w:spacing w:after="0" w:line="162" w:lineRule="exact"/>
        <w:rPr>
          <w:sz w:val="20"/>
          <w:szCs w:val="20"/>
          <w:color w:val="auto"/>
        </w:rPr>
      </w:pPr>
    </w:p>
    <w:p>
      <w:pPr>
        <w:jc w:val="both"/>
        <w:ind w:right="240" w:firstLine="1944"/>
        <w:spacing w:after="0" w:line="266" w:lineRule="auto"/>
        <w:rPr>
          <w:sz w:val="20"/>
          <w:szCs w:val="20"/>
          <w:color w:val="auto"/>
        </w:rPr>
      </w:pPr>
      <w:r>
        <w:rPr>
          <w:rFonts w:ascii="Times New Roman" w:cs="Times New Roman" w:eastAsia="Times New Roman" w:hAnsi="Times New Roman"/>
          <w:sz w:val="18"/>
          <w:szCs w:val="18"/>
          <w:color w:val="auto"/>
        </w:rPr>
        <w:t xml:space="preserve">8.2.3. </w:t>
      </w:r>
      <w:r>
        <w:rPr>
          <w:rFonts w:ascii="Times New Roman" w:cs="Times New Roman" w:eastAsia="Times New Roman" w:hAnsi="Times New Roman"/>
          <w:sz w:val="18"/>
          <w:szCs w:val="18"/>
          <w:u w:val="single" w:color="auto"/>
          <w:color w:val="auto"/>
        </w:rPr>
        <w:t>Merger or Consolidation of Warrant Agent</w:t>
      </w:r>
      <w:r>
        <w:rPr>
          <w:rFonts w:ascii="Times New Roman" w:cs="Times New Roman" w:eastAsia="Times New Roman" w:hAnsi="Times New Roman"/>
          <w:sz w:val="18"/>
          <w:szCs w:val="18"/>
          <w:color w:val="auto"/>
        </w:rPr>
        <w:t>. Any entity into which the Warrant Agent may be merged or with which it may be consolidated or any entity resulting from any merger or consolidation to which the Warrant Agent shall be a party shall be the successor Warrant Agent under this Agreement without any further act.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Fees and Expenses of Warrant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1944"/>
        <w:spacing w:after="0" w:line="266" w:lineRule="auto"/>
        <w:rPr>
          <w:sz w:val="20"/>
          <w:szCs w:val="20"/>
          <w:color w:val="auto"/>
        </w:rPr>
      </w:pPr>
      <w:r>
        <w:rPr>
          <w:rFonts w:ascii="Times New Roman" w:cs="Times New Roman" w:eastAsia="Times New Roman" w:hAnsi="Times New Roman"/>
          <w:sz w:val="18"/>
          <w:szCs w:val="18"/>
          <w:color w:val="auto"/>
        </w:rPr>
        <w:t xml:space="preserve">8.3.1. </w:t>
      </w:r>
      <w:r>
        <w:rPr>
          <w:rFonts w:ascii="Times New Roman" w:cs="Times New Roman" w:eastAsia="Times New Roman" w:hAnsi="Times New Roman"/>
          <w:sz w:val="18"/>
          <w:szCs w:val="18"/>
          <w:u w:val="single" w:color="auto"/>
          <w:color w:val="auto"/>
        </w:rPr>
        <w:t>Remuneration</w:t>
      </w:r>
      <w:r>
        <w:rPr>
          <w:rFonts w:ascii="Times New Roman" w:cs="Times New Roman" w:eastAsia="Times New Roman" w:hAnsi="Times New Roman"/>
          <w:sz w:val="18"/>
          <w:szCs w:val="18"/>
          <w:color w:val="auto"/>
        </w:rPr>
        <w:t>. The Company agrees to pay the Warrant Agent reasonable remuneration for its services as such Warrant Agent hereunder and shall, pursuant to its obligations under this Agreement, reimburse the Warrant Agent upon demand for all expenditures that the Warrant Agent may reasonably incur in the execution of its duties hereunder.</w:t>
      </w:r>
    </w:p>
    <w:p>
      <w:pPr>
        <w:spacing w:after="0" w:line="176" w:lineRule="exact"/>
        <w:rPr>
          <w:sz w:val="20"/>
          <w:szCs w:val="20"/>
          <w:color w:val="auto"/>
        </w:rPr>
      </w:pPr>
    </w:p>
    <w:p>
      <w:pPr>
        <w:ind w:right="20" w:firstLine="1944"/>
        <w:spacing w:after="0" w:line="266" w:lineRule="auto"/>
        <w:rPr>
          <w:sz w:val="20"/>
          <w:szCs w:val="20"/>
          <w:color w:val="auto"/>
        </w:rPr>
      </w:pPr>
      <w:r>
        <w:rPr>
          <w:rFonts w:ascii="Times New Roman" w:cs="Times New Roman" w:eastAsia="Times New Roman" w:hAnsi="Times New Roman"/>
          <w:sz w:val="18"/>
          <w:szCs w:val="18"/>
          <w:color w:val="auto"/>
        </w:rPr>
        <w:t xml:space="preserve">8.3.2.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The Company agrees to perform, execute, acknowledge, and deliver or cause to be performed, executed, acknowledged, and delivered all such further and other acts, instruments, and assurances as may reasonably be required by the Warrant Agent for the carrying out or performing of the provisions of this Agreement.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Liability of Warrant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1944"/>
        <w:spacing w:after="0" w:line="258" w:lineRule="auto"/>
        <w:rPr>
          <w:sz w:val="20"/>
          <w:szCs w:val="20"/>
          <w:color w:val="auto"/>
        </w:rPr>
      </w:pPr>
      <w:r>
        <w:rPr>
          <w:rFonts w:ascii="Times New Roman" w:cs="Times New Roman" w:eastAsia="Times New Roman" w:hAnsi="Times New Roman"/>
          <w:sz w:val="18"/>
          <w:szCs w:val="18"/>
          <w:color w:val="auto"/>
        </w:rPr>
        <w:t xml:space="preserve">8.4.1. </w:t>
      </w:r>
      <w:r>
        <w:rPr>
          <w:rFonts w:ascii="Times New Roman" w:cs="Times New Roman" w:eastAsia="Times New Roman" w:hAnsi="Times New Roman"/>
          <w:sz w:val="18"/>
          <w:szCs w:val="18"/>
          <w:u w:val="single" w:color="auto"/>
          <w:color w:val="auto"/>
        </w:rPr>
        <w:t>Reliance on Company Statement</w:t>
      </w:r>
      <w:r>
        <w:rPr>
          <w:rFonts w:ascii="Times New Roman" w:cs="Times New Roman" w:eastAsia="Times New Roman" w:hAnsi="Times New Roman"/>
          <w:sz w:val="18"/>
          <w:szCs w:val="18"/>
          <w:color w:val="auto"/>
        </w:rPr>
        <w:t>. Whenever in the performance of its duties under this Agreement, the Warrant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statement signed by the Chief Executive Officer or Chairman of the Board of the Company and delivered to the Warrant Agent. The Warrant Agent may rely upon such statement for any action taken or suffered in good faith by it pursuant to the provisions of this Agreement.</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6" w:name="page77"/>
    <w:bookmarkEnd w:id="76"/>
    <w:p>
      <w:pPr>
        <w:ind w:right="160" w:firstLine="1944"/>
        <w:spacing w:after="0" w:line="261" w:lineRule="auto"/>
        <w:rPr>
          <w:sz w:val="20"/>
          <w:szCs w:val="20"/>
          <w:color w:val="auto"/>
        </w:rPr>
      </w:pPr>
      <w:r>
        <w:rPr>
          <w:rFonts w:ascii="Times New Roman" w:cs="Times New Roman" w:eastAsia="Times New Roman" w:hAnsi="Times New Roman"/>
          <w:sz w:val="18"/>
          <w:szCs w:val="18"/>
          <w:color w:val="auto"/>
        </w:rPr>
        <w:t xml:space="preserve">8.4.2. </w:t>
      </w: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The Warrant Agent shall be liable hereunder only for its own gross negligence, willful misconduct, fraud or bad faith. The Company agrees to indemnify the Warrant Agent and save it harmless against any and all liabilities, including judgments, out-of-pocket costs and reasonable outside counsel fees, for anything done or omitted by the Warrant Agent in the execution of this Agreement, except as a result of the Warrant Agent’s gross negligence, willful misconduct, fraud or bad faith.</w:t>
      </w:r>
    </w:p>
    <w:p>
      <w:pPr>
        <w:spacing w:after="0" w:line="180" w:lineRule="exact"/>
        <w:rPr>
          <w:sz w:val="20"/>
          <w:szCs w:val="20"/>
          <w:color w:val="auto"/>
        </w:rPr>
      </w:pPr>
    </w:p>
    <w:p>
      <w:pPr>
        <w:ind w:right="60" w:firstLine="1944"/>
        <w:spacing w:after="0" w:line="255" w:lineRule="auto"/>
        <w:rPr>
          <w:sz w:val="20"/>
          <w:szCs w:val="20"/>
          <w:color w:val="auto"/>
        </w:rPr>
      </w:pPr>
      <w:r>
        <w:rPr>
          <w:rFonts w:ascii="Times New Roman" w:cs="Times New Roman" w:eastAsia="Times New Roman" w:hAnsi="Times New Roman"/>
          <w:sz w:val="18"/>
          <w:szCs w:val="18"/>
          <w:color w:val="auto"/>
        </w:rPr>
        <w:t xml:space="preserve">8.4.3. </w:t>
      </w:r>
      <w:r>
        <w:rPr>
          <w:rFonts w:ascii="Times New Roman" w:cs="Times New Roman" w:eastAsia="Times New Roman" w:hAnsi="Times New Roman"/>
          <w:sz w:val="18"/>
          <w:szCs w:val="18"/>
          <w:u w:val="single" w:color="auto"/>
          <w:color w:val="auto"/>
        </w:rPr>
        <w:t>Exclusions</w:t>
      </w:r>
      <w:r>
        <w:rPr>
          <w:rFonts w:ascii="Times New Roman" w:cs="Times New Roman" w:eastAsia="Times New Roman" w:hAnsi="Times New Roman"/>
          <w:sz w:val="18"/>
          <w:szCs w:val="18"/>
          <w:color w:val="auto"/>
        </w:rPr>
        <w:t xml:space="preserve">. The Warrant Agent shall have no responsibility with respect to the validity of this Agreement or with respect to the validity or execution of any Warrant (except its countersignature thereof). The Warrant Agent shall not be responsible for any breach by the Company of any covenant or condition contained in this Agreement or in any Warrant. The Warrant Agent shall not be responsible to make any adjustments required under the provisions of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or responsible for the manner, method, or amount of any such adjustment or the ascertaining of the existence of facts that would require any such adjustment; nor shall it by any act hereunder be deemed to make any representation or warranty as to the authorization or reservation of any shares of Common Stock to be issued pursuant to this Agreement or any Warrant or as to whether any shares of Common Stock shall, when issued, be valid and fully paid and nonassessable.</w:t>
      </w:r>
    </w:p>
    <w:p>
      <w:pPr>
        <w:spacing w:after="0" w:line="189"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Acceptance of Agency</w:t>
      </w:r>
      <w:r>
        <w:rPr>
          <w:rFonts w:ascii="Times New Roman" w:cs="Times New Roman" w:eastAsia="Times New Roman" w:hAnsi="Times New Roman"/>
          <w:sz w:val="18"/>
          <w:szCs w:val="18"/>
          <w:color w:val="auto"/>
        </w:rPr>
        <w:t>. The Warrant Agent hereby accepts the agency established by this Agreement and agrees to perform the same upon the terms and conditions herein set forth and among other things, shall account promptly to the Company with respect to Warrants exercised and concurrently account for, and pay to the Company, all monies received by the Warrant Agent for the purchase of shares of Common Stock through the exercise of the Warrants.</w:t>
      </w:r>
    </w:p>
    <w:p>
      <w:pPr>
        <w:spacing w:after="0" w:line="176" w:lineRule="exact"/>
        <w:rPr>
          <w:sz w:val="20"/>
          <w:szCs w:val="20"/>
          <w:color w:val="auto"/>
        </w:rPr>
      </w:pPr>
    </w:p>
    <w:p>
      <w:pPr>
        <w:ind w:right="340" w:firstLine="1296"/>
        <w:spacing w:after="0" w:line="259"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The Warrant Agent has no right of set-off or any other right, title, interest or claim of any kind (“</w:t>
      </w:r>
      <w:r>
        <w:rPr>
          <w:rFonts w:ascii="Times New Roman" w:cs="Times New Roman" w:eastAsia="Times New Roman" w:hAnsi="Times New Roman"/>
          <w:sz w:val="18"/>
          <w:szCs w:val="18"/>
          <w:b w:val="1"/>
          <w:bCs w:val="1"/>
          <w:i w:val="1"/>
          <w:iCs w:val="1"/>
          <w:color w:val="auto"/>
        </w:rPr>
        <w:t>Claim</w:t>
      </w:r>
      <w:r>
        <w:rPr>
          <w:rFonts w:ascii="Times New Roman" w:cs="Times New Roman" w:eastAsia="Times New Roman" w:hAnsi="Times New Roman"/>
          <w:sz w:val="18"/>
          <w:szCs w:val="18"/>
          <w:color w:val="auto"/>
        </w:rPr>
        <w:t>”) in, or to any distribution of, the Trust Account (as defined in that certain Investment Management Trust Agreement, dated as of the date hereof, by and between the Company and Continental Stock Transfer &amp; Trust Company as trustee thereunder) and hereby agrees not to seek recourse, reimbursement, payment or satisfaction for any Claim against the Trust Account for any reason whatsoever. The Warrant Agent hereby waives any and all Claims against the Trust Account and any and all rights to seek access to the Trust Account.</w:t>
      </w:r>
    </w:p>
    <w:p>
      <w:pPr>
        <w:spacing w:after="0" w:line="183" w:lineRule="exact"/>
        <w:rPr>
          <w:sz w:val="20"/>
          <w:szCs w:val="20"/>
          <w:color w:val="auto"/>
        </w:rPr>
      </w:pPr>
    </w:p>
    <w:p>
      <w:pPr>
        <w:ind w:left="880" w:hanging="224"/>
        <w:spacing w:after="0"/>
        <w:tabs>
          <w:tab w:leader="none" w:pos="8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4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All the covenants and provisions of this Agreement by or for the benefit of the Company or the Warrant Agent shall bind and inure to the benefit of their respective successors and assigns.</w:t>
      </w:r>
    </w:p>
    <w:p>
      <w:pPr>
        <w:spacing w:after="0" w:line="162" w:lineRule="exact"/>
        <w:rPr>
          <w:sz w:val="20"/>
          <w:szCs w:val="20"/>
          <w:color w:val="auto"/>
        </w:rPr>
      </w:pPr>
    </w:p>
    <w:p>
      <w:pPr>
        <w:ind w:right="10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statement or demand authorized by this Agreement to be given or made by the Warrant Agent or by the holder of any Warrant to or on the Company shall be sufficiently given when so delivered if by hand or overnight delivery or if sent by certified mail or private courier service within five (5) days after deposit of such notice, postage prepaid, addressed (until another address is filed in writing by the Company with the Warrant Agent), as follows: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CM Life Sciences,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 Corvex Management LP</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667 Madison Avenue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NY 10065</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Eli Casdin and Brian Emes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eli@casdincapital.com</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bemes@corvexcap.com</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7" w:name="page78"/>
    <w:bookmarkEnd w:id="77"/>
    <w:p>
      <w:pPr>
        <w:ind w:left="130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1221 Avenue of the Americas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NY 10020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Joel L. Rubinstein, Esq.</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joel.rubinstein@whitecase.com</w:t>
      </w:r>
    </w:p>
    <w:p>
      <w:pPr>
        <w:spacing w:after="0" w:line="207"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Any notice, statement or demand authorized by this Agreement to be given or made by the holder of any Warrant or by the Company to or on the Warrant Agent shall be sufficiently given when so delivered if by hand or overnight delivery or if sent by certified mail or private courier service within five (5) days after deposit of such notice, postage prepaid, addressed (until another address is filed in writing by the Warrant Agent with the Company), as follows: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One State Street, 30th Floor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Compliance Department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each case, with copies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1221 Avenue of the Americas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NY 10020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Joel L. Rubinstein, Esq.</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joel.rubinstein@whitecase.com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Skadden, Arps, Slate, Meagher &amp; Flom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525 University Avenue, Suite 1400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Palo Alto, California 94301</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Gregg Noel</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gregg.noel@skadden.com</w:t>
      </w:r>
    </w:p>
    <w:p>
      <w:pPr>
        <w:spacing w:after="0" w:line="207"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Applicable Law and Exclusive Forum</w:t>
      </w:r>
      <w:r>
        <w:rPr>
          <w:rFonts w:ascii="Times New Roman" w:cs="Times New Roman" w:eastAsia="Times New Roman" w:hAnsi="Times New Roman"/>
          <w:sz w:val="18"/>
          <w:szCs w:val="18"/>
          <w:color w:val="auto"/>
        </w:rPr>
        <w:t xml:space="preserve">. The validity, interpretation, and performance of this Agreement and of the Warrants shall be governed in all respects by the laws of the State of New York. The Company hereby agrees that any action, proceeding or claim against it arising out of, or otherwise based on, this Agreement shall be brought and enforced in the courts of the State of New York or the United States District Court for the Southern District of New York, and irrevocably submits to such jurisdiction, which jurisdiction shall be exclusive forum for any such action, proceeding or claim. The Company hereby waives any objection to such exclusive jurisdiction and that such courts represent an inconvenient forum. Notwithstanding the foregoing,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will not apply to suits brought to enforce any liability or duty created by the Exchange Act or any other claim for which the federal district courts of the United States of America are the sole and exclusive forum</w:t>
      </w:r>
    </w:p>
    <w:p>
      <w:pPr>
        <w:spacing w:after="0" w:line="189" w:lineRule="exact"/>
        <w:rPr>
          <w:sz w:val="20"/>
          <w:szCs w:val="20"/>
          <w:color w:val="auto"/>
        </w:rPr>
      </w:pPr>
    </w:p>
    <w:p>
      <w:pPr>
        <w:ind w:right="8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Persons Having Rights under this Agreement</w:t>
      </w:r>
      <w:r>
        <w:rPr>
          <w:rFonts w:ascii="Times New Roman" w:cs="Times New Roman" w:eastAsia="Times New Roman" w:hAnsi="Times New Roman"/>
          <w:sz w:val="18"/>
          <w:szCs w:val="18"/>
          <w:color w:val="auto"/>
        </w:rPr>
        <w:t>. Nothing in this Agreement shall be construed to confer upon, or give to, any person, corporation or other entity other than the parties hereto and the Registered Holders of the Warrants any right, remedy, or claim under or by reason of this Agreement or of any covenant, condition, stipulation, promise, or agreement hereof. All covenants, conditions, stipulations, promises, and agreements contained in this Agreement shall be for the sole and exclusive benefit of the parties hereto and their successors and assigns and of the Registered Holders of the Warrants.</w:t>
      </w:r>
    </w:p>
    <w:p>
      <w:pPr>
        <w:spacing w:after="0" w:line="3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78" w:name="page79"/>
    <w:bookmarkEnd w:id="78"/>
    <w:p>
      <w:pPr>
        <w:ind w:right="6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Examination of the Warrant Agreement</w:t>
      </w:r>
      <w:r>
        <w:rPr>
          <w:rFonts w:ascii="Times New Roman" w:cs="Times New Roman" w:eastAsia="Times New Roman" w:hAnsi="Times New Roman"/>
          <w:sz w:val="18"/>
          <w:szCs w:val="18"/>
          <w:color w:val="auto"/>
        </w:rPr>
        <w:t>. A copy of this Agreement shall be available at all reasonable times at the office of the Warrant Agent in the Borough of Manhattan, City and State of New York, for inspection by the Registered Holder of any Warrant. The Warrant Agent may require any such holder to submit such holder’s Warrant for inspection by the Warrant Agent.</w:t>
      </w:r>
    </w:p>
    <w:p>
      <w:pPr>
        <w:spacing w:after="0" w:line="176" w:lineRule="exact"/>
        <w:rPr>
          <w:sz w:val="20"/>
          <w:szCs w:val="20"/>
          <w:color w:val="auto"/>
        </w:rPr>
      </w:pPr>
    </w:p>
    <w:p>
      <w:pPr>
        <w:ind w:right="2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original or facsimile counterparts and each of such counterparts shall for all purposes be deemed to be an original, and all such counterparts shall together constitute but one and the same instrument.</w:t>
      </w:r>
    </w:p>
    <w:p>
      <w:pPr>
        <w:spacing w:after="0" w:line="162" w:lineRule="exact"/>
        <w:rPr>
          <w:sz w:val="20"/>
          <w:szCs w:val="20"/>
          <w:color w:val="auto"/>
        </w:rPr>
      </w:pPr>
    </w:p>
    <w:p>
      <w:pPr>
        <w:ind w:right="8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headings herein are for convenience only and are not part of this Agreement and shall not affect the interpretation thereof.</w:t>
      </w:r>
    </w:p>
    <w:p>
      <w:pPr>
        <w:spacing w:after="0" w:line="162"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xml:space="preserve">. This Agreement may be amended by the parties hereto without the consent of any Registered Holder for the purpose of (i) curing any ambiguity or to correct any mistake, including to conform the provisions hereof to the description of the terms of the Warrants and this Agreement set forth in the Prospectus, or defective provision contained herein or (ii) adding or changing any provisions with respect to matters or questions arising under this Agreement as the parties may deem necessary or desirable and that the parties deem shall not adversely affect the rights of the Registered Holders under this Agreement. All other modifications or amendments, including any modification or amendment to increase the Warrant Price or shorten the Exercise Period and any amendment to the terms of only the Private Placement Warrants, shall require the vote or written consent of the Registered Holders of 50% of the then-outstanding Public Warrants and, solely with respect to any amendment to the terms of the Private Placement Warrants or any provision of this Agreement with respect to the Private Placement Warrants, 50% of the then-outstanding Private Placement Warrants. Notwithstanding the foregoing, the Company may lower the Warrant Price or extend the duration of the Exercise Period pursuant to </w:t>
      </w:r>
      <w:r>
        <w:rPr>
          <w:rFonts w:ascii="Times New Roman" w:cs="Times New Roman" w:eastAsia="Times New Roman" w:hAnsi="Times New Roman"/>
          <w:sz w:val="18"/>
          <w:szCs w:val="18"/>
          <w:u w:val="single" w:color="auto"/>
          <w:color w:val="auto"/>
        </w:rPr>
        <w:t>Sections 3.1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color w:val="auto"/>
        </w:rPr>
        <w:t>, respectively, without the consent of the Registered Holders.</w:t>
      </w:r>
    </w:p>
    <w:p>
      <w:pPr>
        <w:spacing w:after="0" w:line="194" w:lineRule="exact"/>
        <w:rPr>
          <w:sz w:val="20"/>
          <w:szCs w:val="20"/>
          <w:color w:val="auto"/>
        </w:rPr>
      </w:pPr>
    </w:p>
    <w:p>
      <w:pPr>
        <w:ind w:right="6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and be valid and enforceable.</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as of the date first above written.</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b w:val="1"/>
          <w:bCs w:val="1"/>
          <w:color w:val="auto"/>
        </w:rPr>
        <w:t>CONTINENTAL STOCK TRANSFER &amp; TRUST</w:t>
      </w:r>
    </w:p>
    <w:p>
      <w:pPr>
        <w:spacing w:after="0" w:line="4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as Warrant Agent</w:t>
      </w:r>
    </w:p>
    <w:p>
      <w:pPr>
        <w:spacing w:after="0" w:line="207"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Margaret B, Lloyd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26035</wp:posOffset>
            </wp:positionV>
            <wp:extent cx="25628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 Margaret B. Lloyd</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CM LIFE SCIENCES, INC.</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Brian Emes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26035</wp:posOffset>
            </wp:positionV>
            <wp:extent cx="25628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 Brian Emes</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Title: Chief Financial Officer and Secretary</w:t>
      </w:r>
    </w:p>
    <w:p>
      <w:pPr>
        <w:spacing w:after="0" w:line="20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Warrant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904" w:right="95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[FACE]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WARRANT SHALL BE VOID IF NOT EXERCISED PRIOR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EXPIRATION OF THE EXERCISE PERIOD PROVIDED FOR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THE WARRANT AGREEMENT DESCRIBED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7700" w:type="dxa"/>
            <w:vAlign w:val="bottom"/>
            <w:gridSpan w:val="2"/>
          </w:tcPr>
          <w:p>
            <w:pPr>
              <w:jc w:val="center"/>
              <w:ind w:right="3540"/>
              <w:spacing w:after="0"/>
              <w:rPr>
                <w:sz w:val="20"/>
                <w:szCs w:val="20"/>
                <w:color w:val="auto"/>
              </w:rPr>
            </w:pPr>
            <w:r>
              <w:rPr>
                <w:rFonts w:ascii="Times New Roman" w:cs="Times New Roman" w:eastAsia="Times New Roman" w:hAnsi="Times New Roman"/>
                <w:sz w:val="18"/>
                <w:szCs w:val="18"/>
                <w:b w:val="1"/>
                <w:bCs w:val="1"/>
                <w:color w:val="auto"/>
                <w:w w:val="99"/>
              </w:rPr>
              <w:t>CM Life Sciences, Inc.</w:t>
            </w:r>
          </w:p>
        </w:tc>
      </w:tr>
      <w:tr>
        <w:trPr>
          <w:trHeight w:val="236"/>
        </w:trPr>
        <w:tc>
          <w:tcPr>
            <w:tcW w:w="4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7700" w:type="dxa"/>
            <w:vAlign w:val="bottom"/>
            <w:gridSpan w:val="2"/>
          </w:tcPr>
          <w:p>
            <w:pPr>
              <w:jc w:val="center"/>
              <w:ind w:right="3540"/>
              <w:spacing w:after="0"/>
              <w:rPr>
                <w:sz w:val="20"/>
                <w:szCs w:val="20"/>
                <w:color w:val="auto"/>
              </w:rPr>
            </w:pPr>
            <w:r>
              <w:rPr>
                <w:rFonts w:ascii="Times New Roman" w:cs="Times New Roman" w:eastAsia="Times New Roman" w:hAnsi="Times New Roman"/>
                <w:sz w:val="18"/>
                <w:szCs w:val="18"/>
                <w:i w:val="1"/>
                <w:iCs w:val="1"/>
                <w:color w:val="auto"/>
                <w:w w:val="99"/>
              </w:rPr>
              <w:t>Incorporated Under the Laws of the State of Delaware</w:t>
            </w:r>
          </w:p>
        </w:tc>
      </w:tr>
      <w:tr>
        <w:trPr>
          <w:trHeight w:val="391"/>
        </w:trPr>
        <w:tc>
          <w:tcPr>
            <w:tcW w:w="4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7700" w:type="dxa"/>
            <w:vAlign w:val="bottom"/>
            <w:gridSpan w:val="2"/>
          </w:tcPr>
          <w:p>
            <w:pPr>
              <w:ind w:left="6520"/>
              <w:spacing w:after="0"/>
              <w:rPr>
                <w:sz w:val="20"/>
                <w:szCs w:val="20"/>
                <w:color w:val="auto"/>
              </w:rPr>
            </w:pPr>
            <w:r>
              <w:rPr>
                <w:rFonts w:ascii="Times New Roman" w:cs="Times New Roman" w:eastAsia="Times New Roman" w:hAnsi="Times New Roman"/>
                <w:sz w:val="18"/>
                <w:szCs w:val="18"/>
                <w:color w:val="auto"/>
                <w:w w:val="97"/>
              </w:rPr>
              <w:t>CUSIP _______</w:t>
            </w:r>
          </w:p>
        </w:tc>
      </w:tr>
      <w:tr>
        <w:trPr>
          <w:trHeight w:val="453"/>
        </w:trPr>
        <w:tc>
          <w:tcPr>
            <w:tcW w:w="4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7080" w:type="dxa"/>
            <w:vAlign w:val="bottom"/>
          </w:tcPr>
          <w:p>
            <w:pPr>
              <w:jc w:val="center"/>
              <w:ind w:right="2810"/>
              <w:spacing w:after="0"/>
              <w:rPr>
                <w:sz w:val="20"/>
                <w:szCs w:val="20"/>
                <w:color w:val="auto"/>
              </w:rPr>
            </w:pPr>
            <w:r>
              <w:rPr>
                <w:rFonts w:ascii="Times New Roman" w:cs="Times New Roman" w:eastAsia="Times New Roman" w:hAnsi="Times New Roman"/>
                <w:sz w:val="18"/>
                <w:szCs w:val="18"/>
                <w:b w:val="1"/>
                <w:bCs w:val="1"/>
                <w:color w:val="auto"/>
                <w:w w:val="99"/>
              </w:rPr>
              <w:t>Warrant Certificate</w:t>
            </w:r>
          </w:p>
        </w:tc>
        <w:tc>
          <w:tcPr>
            <w:tcW w:w="620" w:type="dxa"/>
            <w:vAlign w:val="bottom"/>
            <w:tcBorders>
              <w:top w:val="single" w:sz="8" w:color="auto"/>
            </w:tcBorders>
          </w:tcPr>
          <w:p>
            <w:pPr>
              <w:spacing w:after="0"/>
              <w:rPr>
                <w:sz w:val="24"/>
                <w:szCs w:val="24"/>
                <w:color w:val="auto"/>
              </w:rPr>
            </w:pPr>
          </w:p>
        </w:tc>
      </w:tr>
      <w:tr>
        <w:trPr>
          <w:trHeight w:val="410"/>
        </w:trPr>
        <w:tc>
          <w:tcPr>
            <w:tcW w:w="400" w:type="dxa"/>
            <w:vAlign w:val="bottom"/>
          </w:tcPr>
          <w:p>
            <w:pPr>
              <w:spacing w:after="0"/>
              <w:rPr>
                <w:sz w:val="24"/>
                <w:szCs w:val="24"/>
                <w:color w:val="auto"/>
              </w:rPr>
            </w:pPr>
          </w:p>
        </w:tc>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This Warrant Certificate certifies that</w:t>
            </w:r>
          </w:p>
        </w:tc>
        <w:tc>
          <w:tcPr>
            <w:tcW w:w="7700" w:type="dxa"/>
            <w:vAlign w:val="bottom"/>
            <w:gridSpan w:val="2"/>
          </w:tcPr>
          <w:p>
            <w:pPr>
              <w:jc w:val="center"/>
              <w:ind w:right="3520"/>
              <w:spacing w:after="0"/>
              <w:rPr>
                <w:sz w:val="20"/>
                <w:szCs w:val="20"/>
                <w:color w:val="auto"/>
              </w:rPr>
            </w:pPr>
            <w:r>
              <w:rPr>
                <w:rFonts w:ascii="Times New Roman" w:cs="Times New Roman" w:eastAsia="Times New Roman" w:hAnsi="Times New Roman"/>
                <w:sz w:val="18"/>
                <w:szCs w:val="18"/>
                <w:color w:val="auto"/>
              </w:rPr>
              <w:t>, or registered assigns, is the registered holder</w:t>
            </w:r>
          </w:p>
        </w:tc>
      </w:tr>
      <w:tr>
        <w:trPr>
          <w:trHeight w:val="238"/>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of</w:t>
            </w:r>
          </w:p>
        </w:tc>
        <w:tc>
          <w:tcPr>
            <w:tcW w:w="1084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warrant(s) (the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to purchase shares of Class A common stock, $0.0001 par value (“</w:t>
            </w:r>
            <w:r>
              <w:rPr>
                <w:rFonts w:ascii="Times New Roman" w:cs="Times New Roman" w:eastAsia="Times New Roman" w:hAnsi="Times New Roman"/>
                <w:sz w:val="18"/>
                <w:szCs w:val="18"/>
                <w:b w:val="1"/>
                <w:bCs w:val="1"/>
                <w:i w:val="1"/>
                <w:iCs w:val="1"/>
                <w:color w:val="auto"/>
              </w:rPr>
              <w:t>Class A Common</w:t>
            </w:r>
          </w:p>
        </w:tc>
      </w:tr>
    </w:tbl>
    <w:p>
      <w:pPr>
        <w:spacing w:after="0"/>
        <w:rPr>
          <w:sz w:val="20"/>
          <w:szCs w:val="20"/>
          <w:color w:val="auto"/>
        </w:rPr>
      </w:pPr>
      <w:r>
        <w:rPr>
          <w:rFonts w:ascii="Times New Roman" w:cs="Times New Roman" w:eastAsia="Times New Roman" w:hAnsi="Times New Roman"/>
          <w:sz w:val="18"/>
          <w:szCs w:val="18"/>
          <w:b w:val="1"/>
          <w:bCs w:val="1"/>
          <w:i w:val="1"/>
          <w:iCs w:val="1"/>
          <w:color w:val="auto"/>
        </w:rPr>
        <w:t>Stock</w:t>
      </w:r>
      <w:r>
        <w:rPr>
          <w:rFonts w:ascii="Times New Roman" w:cs="Times New Roman" w:eastAsia="Times New Roman" w:hAnsi="Times New Roman"/>
          <w:sz w:val="18"/>
          <w:szCs w:val="18"/>
          <w:color w:val="auto"/>
        </w:rPr>
        <w:t>”), of CM Life Sciences,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Each Warrant entitles the holder, upon exercise during the period set forth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Agreement referred to below, to receive from the Company that number of fully paid and nonassessable shares of Class A Common Stock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at the exercise price (the “</w:t>
      </w:r>
      <w:r>
        <w:rPr>
          <w:rFonts w:ascii="Times New Roman" w:cs="Times New Roman" w:eastAsia="Times New Roman" w:hAnsi="Times New Roman"/>
          <w:sz w:val="18"/>
          <w:szCs w:val="18"/>
          <w:b w:val="1"/>
          <w:bCs w:val="1"/>
          <w:i w:val="1"/>
          <w:iCs w:val="1"/>
          <w:color w:val="auto"/>
        </w:rPr>
        <w:t>Exercise Price</w:t>
      </w:r>
      <w:r>
        <w:rPr>
          <w:rFonts w:ascii="Times New Roman" w:cs="Times New Roman" w:eastAsia="Times New Roman" w:hAnsi="Times New Roman"/>
          <w:sz w:val="18"/>
          <w:szCs w:val="18"/>
          <w:color w:val="auto"/>
        </w:rPr>
        <w:t>”) as determined pursuant to the Warrant Agreement, payable in lawful money (or through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cashless exercise</w:t>
      </w:r>
      <w:r>
        <w:rPr>
          <w:rFonts w:ascii="Times New Roman" w:cs="Times New Roman" w:eastAsia="Times New Roman" w:hAnsi="Times New Roman"/>
          <w:sz w:val="18"/>
          <w:szCs w:val="18"/>
          <w:color w:val="auto"/>
        </w:rPr>
        <w:t>” as provided for in the Warrant Agreement) of the United States of America upon surrender of this Warrant Certificate and payment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Exercise Price at the office or agency of the Warrant Agent referred to below, subject to the conditions set forth herein and in the Warrant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Defined terms used in this Warrant Certificate but not defined herein shall have the meanings given to them in the Warrant Agreement.</w:t>
      </w:r>
    </w:p>
    <w:p>
      <w:pPr>
        <w:spacing w:after="0" w:line="20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Each whole Warrant is initially exercisable for one fully paid and non-assessable share of Class A Common Stock. Fractional shares shall not be issued upon exercise of any Warrant. If, upon the exercise of Warrants, a holder would be entitled to receive a fractional interest in a share of Class A Common Stock, the Company shall, upon exercise, round down to the nearest whole number the number of shares of Class A Common Stock to be issued to the Warrant holder. The number of shares of Class A Common Stock issuable upon exercise of the Warrants is subject to adjustment upon the occurrence of certain events as set forth in the Warrant Agreement.</w:t>
      </w:r>
    </w:p>
    <w:p>
      <w:pPr>
        <w:spacing w:after="0" w:line="183"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The initial Exercise Price per share of Class A Common Stock for any Warrant is equal to $11.50 per share. The Exercise Price is subject to adjustment upon the occurrence of certain events as set forth in the Warrant Agreement.</w:t>
      </w:r>
    </w:p>
    <w:p>
      <w:pPr>
        <w:spacing w:after="0" w:line="162"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Subject to the conditions set forth in the Warrant Agreement, the Warrants may be exercised only during the Exercise Period and to the extent not exercised by the end of such Exercise Period, such Warrants shall become void. The Warrants may be redeemed, subject to certain conditions, as set forth in the Warrant Agreement.</w:t>
      </w:r>
    </w:p>
    <w:p>
      <w:pPr>
        <w:spacing w:after="0" w:line="176"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Warrant Certificate set forth on the reverse hereof and such further provisions shall for all purposes have the same effect as though fully set forth at this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1" w:name="page82"/>
    <w:bookmarkEnd w:id="81"/>
    <w:p>
      <w:pPr>
        <w:ind w:firstLine="648"/>
        <w:spacing w:after="0" w:line="282" w:lineRule="auto"/>
        <w:rPr>
          <w:sz w:val="20"/>
          <w:szCs w:val="20"/>
          <w:color w:val="auto"/>
        </w:rPr>
      </w:pPr>
      <w:r>
        <w:rPr>
          <w:rFonts w:ascii="Times New Roman" w:cs="Times New Roman" w:eastAsia="Times New Roman" w:hAnsi="Times New Roman"/>
          <w:sz w:val="18"/>
          <w:szCs w:val="18"/>
          <w:color w:val="auto"/>
        </w:rPr>
        <w:t>This Warrant Certificate shall not be valid unless countersigned by the Warrant Agent, as such term is used in the Warrant Agreement. This Warrant Certificate shall be governed by and construed in accordance with the internal laws of the State of New York.</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CM LIFE SCIENCES, INC.</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CONTINENTAL STOCK TRANSFER &amp; TRUST</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COMPANY, as Warrant Agent</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320" w:top="904" w:right="91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[Form of Warrant Certificate]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[Reverse]</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Warrants evidenced by this Warrant Certificate are part of a duly authorized issue of Warrants entitling the holder on exercise to receive shares of Class A Common Stock and are issued or to be issued pursuant to a Warrant Agreement dated as of September 1, 2020 (the “</w:t>
      </w:r>
      <w:r>
        <w:rPr>
          <w:rFonts w:ascii="Times New Roman" w:cs="Times New Roman" w:eastAsia="Times New Roman" w:hAnsi="Times New Roman"/>
          <w:sz w:val="18"/>
          <w:szCs w:val="18"/>
          <w:b w:val="1"/>
          <w:bCs w:val="1"/>
          <w:i w:val="1"/>
          <w:iCs w:val="1"/>
          <w:color w:val="auto"/>
        </w:rPr>
        <w:t>Warrant Agreement</w:t>
      </w:r>
      <w:r>
        <w:rPr>
          <w:rFonts w:ascii="Times New Roman" w:cs="Times New Roman" w:eastAsia="Times New Roman" w:hAnsi="Times New Roman"/>
          <w:sz w:val="18"/>
          <w:szCs w:val="18"/>
          <w:color w:val="auto"/>
        </w:rPr>
        <w:t>”), duly executed and delivered by the Company to Continental Stock Transfer &amp; Trust Company, a New York corporation, as warrant agent (the “</w:t>
      </w:r>
      <w:r>
        <w:rPr>
          <w:rFonts w:ascii="Times New Roman" w:cs="Times New Roman" w:eastAsia="Times New Roman" w:hAnsi="Times New Roman"/>
          <w:sz w:val="18"/>
          <w:szCs w:val="18"/>
          <w:b w:val="1"/>
          <w:bCs w:val="1"/>
          <w:i w:val="1"/>
          <w:iCs w:val="1"/>
          <w:color w:val="auto"/>
        </w:rPr>
        <w:t>Warrant Agent</w:t>
      </w:r>
      <w:r>
        <w:rPr>
          <w:rFonts w:ascii="Times New Roman" w:cs="Times New Roman" w:eastAsia="Times New Roman" w:hAnsi="Times New Roman"/>
          <w:sz w:val="18"/>
          <w:szCs w:val="18"/>
          <w:color w:val="auto"/>
        </w:rPr>
        <w:t>”), which Warrant Agreement is hereby incorporated by reference in and made a part of this instrument and is hereby referred to for a description of the rights, limitation of rights, obligations, duties and immunities thereunder of the Warrant Agent, the Company and the holders (the words “</w:t>
      </w:r>
      <w:r>
        <w:rPr>
          <w:rFonts w:ascii="Times New Roman" w:cs="Times New Roman" w:eastAsia="Times New Roman" w:hAnsi="Times New Roman"/>
          <w:sz w:val="18"/>
          <w:szCs w:val="18"/>
          <w:b w:val="1"/>
          <w:bCs w:val="1"/>
          <w:i w:val="1"/>
          <w:iCs w:val="1"/>
          <w:color w:val="auto"/>
        </w:rPr>
        <w:t>holders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meaning the Registered Holders or Registered Holder, respectively) of the Warrants. A copy of the Warrant Agreement may be obtained by the holder hereof upon written request to the Company. Defined terms used in this Warrant Certificate but not defined herein shall have the meanings given to them in the Warrant Agreement.</w:t>
      </w:r>
    </w:p>
    <w:p>
      <w:pPr>
        <w:spacing w:after="0" w:line="192"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Warrants may be exercised at any time during the Exercise Period set forth in the Warrant Agreement. The holder of Warrants evidenced by this Warrant Certificate may exercise them by surrendering this Warrant Certificate, with the form of Election to Purchase set forth hereon properly completed and executed, together with payment of the Exercise Price as specified in the Warrant Agreement (or through “</w:t>
      </w:r>
      <w:r>
        <w:rPr>
          <w:rFonts w:ascii="Times New Roman" w:cs="Times New Roman" w:eastAsia="Times New Roman" w:hAnsi="Times New Roman"/>
          <w:sz w:val="18"/>
          <w:szCs w:val="18"/>
          <w:i w:val="1"/>
          <w:iCs w:val="1"/>
          <w:color w:val="auto"/>
        </w:rPr>
        <w:t>cashless exercise</w:t>
      </w:r>
      <w:r>
        <w:rPr>
          <w:rFonts w:ascii="Times New Roman" w:cs="Times New Roman" w:eastAsia="Times New Roman" w:hAnsi="Times New Roman"/>
          <w:sz w:val="18"/>
          <w:szCs w:val="18"/>
          <w:color w:val="auto"/>
        </w:rPr>
        <w:t>” as provided for in the Warrant Agreement) at the principal corporate trust office of the Warrant Agent. In the event that upon any exercise of Warrants evidenced hereby the number of Warrants exercised shall be less than the total number of Warrants evidenced hereby, there shall be issued to the holder hereof or his, her or its assignee, a new Warrant Certificate evidencing the number of Warrants not exercised.</w:t>
      </w:r>
    </w:p>
    <w:p>
      <w:pPr>
        <w:spacing w:after="0" w:line="187" w:lineRule="exact"/>
        <w:rPr>
          <w:sz w:val="20"/>
          <w:szCs w:val="20"/>
          <w:color w:val="auto"/>
        </w:rPr>
      </w:pPr>
    </w:p>
    <w:p>
      <w:pPr>
        <w:ind w:right="20" w:firstLine="648"/>
        <w:spacing w:after="0" w:line="276" w:lineRule="auto"/>
        <w:rPr>
          <w:sz w:val="20"/>
          <w:szCs w:val="20"/>
          <w:color w:val="auto"/>
        </w:rPr>
      </w:pPr>
      <w:r>
        <w:rPr>
          <w:rFonts w:ascii="Times New Roman" w:cs="Times New Roman" w:eastAsia="Times New Roman" w:hAnsi="Times New Roman"/>
          <w:sz w:val="17"/>
          <w:szCs w:val="17"/>
          <w:color w:val="auto"/>
        </w:rPr>
        <w:t>Notwithstanding anything else in this Warrant Certificate or the Warrant Agreement, no Warrant may be exercised unless at the time of exercise (i) a registration statement covering the issuance of the shares of Class A Common Stock to be issued upon exercise is effective under the Securities Act and</w:t>
      </w:r>
    </w:p>
    <w:p>
      <w:pPr>
        <w:spacing w:after="0" w:line="1" w:lineRule="exact"/>
        <w:rPr>
          <w:sz w:val="20"/>
          <w:szCs w:val="20"/>
          <w:color w:val="auto"/>
        </w:rPr>
      </w:pPr>
    </w:p>
    <w:p>
      <w:pPr>
        <w:ind w:right="220" w:firstLine="8"/>
        <w:spacing w:after="0" w:line="260" w:lineRule="auto"/>
        <w:tabs>
          <w:tab w:leader="none" w:pos="26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prospectus thereunder relating to the shares of Class A Common Stock is current, except through “</w:t>
      </w:r>
      <w:r>
        <w:rPr>
          <w:rFonts w:ascii="Times New Roman" w:cs="Times New Roman" w:eastAsia="Times New Roman" w:hAnsi="Times New Roman"/>
          <w:sz w:val="18"/>
          <w:szCs w:val="18"/>
          <w:i w:val="1"/>
          <w:iCs w:val="1"/>
          <w:color w:val="auto"/>
        </w:rPr>
        <w:t>cashless exercise</w:t>
      </w:r>
      <w:r>
        <w:rPr>
          <w:rFonts w:ascii="Times New Roman" w:cs="Times New Roman" w:eastAsia="Times New Roman" w:hAnsi="Times New Roman"/>
          <w:sz w:val="18"/>
          <w:szCs w:val="18"/>
          <w:color w:val="auto"/>
        </w:rPr>
        <w:t>” as provided for in the Warrant Agreement.</w:t>
      </w:r>
    </w:p>
    <w:p>
      <w:pPr>
        <w:spacing w:after="0" w:line="18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Warrant Agreement provides that upon the occurrence of certain events the number of shares of Class A Common Stock issuable upon exercise of the Warrants set forth on the face hereof may, subject to certain conditions, be adjusted. If, upon exercise of a Warrant, the holder thereof would be entitled to receive a fractional interest in a share of Class A Common Stock, the Company shall, upon exercise, round down to the nearest whole number of shares of Class A Common Stock to be issued to the holder of the Warrant.</w:t>
      </w:r>
    </w:p>
    <w:p>
      <w:pPr>
        <w:spacing w:after="0" w:line="180"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Warrant Certificates, when surrendered at the principal corporate trust office of the Warrant Agent by the Registered Holder thereof in person or by legal representative or attorney duly authorized in writing, may be exchanged, in the manner and subject to the limitations provided in the Warrant Agreement, but without payment of any service charge, for another Warrant Certificate or Warrant Certificates of like tenor evidencing in the aggregate a like number of Warrants.</w:t>
      </w:r>
    </w:p>
    <w:p>
      <w:pPr>
        <w:spacing w:after="0" w:line="18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Upon due presentation for registration of transfer of this Warrant Certificate at the office of the Warrant Agent a new Warrant Certificate or Warrant Certificates of like tenor and evidencing in the aggregate a like number of Warrants shall be issued to the transferee(s) in exchange for this Warrant Certificate, subject to the limitations provided in the Warrant Agreement, without charge except for any tax or other governmental charge imposed in connection therewith.</w:t>
      </w:r>
    </w:p>
    <w:p>
      <w:pPr>
        <w:spacing w:after="0" w:line="180" w:lineRule="exact"/>
        <w:rPr>
          <w:sz w:val="20"/>
          <w:szCs w:val="20"/>
          <w:color w:val="auto"/>
        </w:rPr>
      </w:pPr>
    </w:p>
    <w:p>
      <w:pPr>
        <w:jc w:val="both"/>
        <w:ind w:right="380" w:firstLine="648"/>
        <w:spacing w:after="0" w:line="261" w:lineRule="auto"/>
        <w:rPr>
          <w:sz w:val="20"/>
          <w:szCs w:val="20"/>
          <w:color w:val="auto"/>
        </w:rPr>
      </w:pPr>
      <w:r>
        <w:rPr>
          <w:rFonts w:ascii="Times New Roman" w:cs="Times New Roman" w:eastAsia="Times New Roman" w:hAnsi="Times New Roman"/>
          <w:sz w:val="18"/>
          <w:szCs w:val="18"/>
          <w:color w:val="auto"/>
        </w:rPr>
        <w:t>The Company and the Warrant Agent may deem and treat the Registered Holder(s) hereof as the absolute owner(s) of this Warrant Certificate (notwithstanding any notation of ownership or other writing hereon made by anyone), for the purpose of any exercise hereof, of any distribution to the holder(s) hereof, and for all other purposes, and neither the Company nor the Warrant Agent shall be affected by any notice to the contrary. Neither the Warrants nor this Warrant Certificate entitles any holder hereof to any rights of a stockholder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Election to Purchase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Executed Upon Exercise of Warrant)</w:t>
      </w:r>
    </w:p>
    <w:p>
      <w:pPr>
        <w:spacing w:after="0" w:line="225" w:lineRule="exact"/>
        <w:rPr>
          <w:sz w:val="20"/>
          <w:szCs w:val="20"/>
          <w:color w:val="auto"/>
        </w:rPr>
      </w:pPr>
    </w:p>
    <w:p>
      <w:pPr>
        <w:ind w:left="660"/>
        <w:spacing w:after="0"/>
        <w:tabs>
          <w:tab w:leader="none" w:pos="9600" w:val="left"/>
        </w:tabs>
        <w:rPr>
          <w:sz w:val="20"/>
          <w:szCs w:val="20"/>
          <w:color w:val="auto"/>
        </w:rPr>
      </w:pPr>
      <w:r>
        <w:rPr>
          <w:rFonts w:ascii="Times New Roman" w:cs="Times New Roman" w:eastAsia="Times New Roman" w:hAnsi="Times New Roman"/>
          <w:sz w:val="18"/>
          <w:szCs w:val="18"/>
          <w:color w:val="auto"/>
        </w:rPr>
        <w:t>The undersigned hereby irrevocably elects to exercise the right, represented by this Warrant Certificate, to receive</w:t>
      </w:r>
      <w:r>
        <w:rPr>
          <w:sz w:val="20"/>
          <w:szCs w:val="20"/>
          <w:color w:val="auto"/>
        </w:rPr>
        <w:tab/>
      </w:r>
      <w:r>
        <w:rPr>
          <w:rFonts w:ascii="Times New Roman" w:cs="Times New Roman" w:eastAsia="Times New Roman" w:hAnsi="Times New Roman"/>
          <w:sz w:val="17"/>
          <w:szCs w:val="17"/>
          <w:color w:val="auto"/>
        </w:rPr>
        <w:t>shares of Class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and herewith tenders payment for such shares of Class A Common Stock to the order of CM Life Sciences,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the</w:t>
      </w:r>
    </w:p>
    <w:p>
      <w:pPr>
        <w:spacing w:after="0" w:line="200" w:lineRule="exact"/>
        <w:rPr>
          <w:sz w:val="20"/>
          <w:szCs w:val="20"/>
          <w:color w:val="auto"/>
        </w:rPr>
      </w:pPr>
    </w:p>
    <w:p>
      <w:pPr>
        <w:spacing w:after="0" w:line="20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amount of $ in accordance with the terms hereof. The undersigned requests that a certificate for such shares of Class A Common Stock be registered in the name of , whose address is and that such shares of Class A Common Stock be delivered to whose address is</w:t>
      </w:r>
    </w:p>
    <w:p>
      <w:pPr>
        <w:ind w:right="40" w:firstLine="728"/>
        <w:spacing w:after="0" w:line="265" w:lineRule="auto"/>
        <w:tabs>
          <w:tab w:leader="none" w:pos="81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said number of shares of Class A Common Stock is less than all of the shares of Class A Common Stock purchasable hereunder, the undersigned requests that a new Warrant Certificate representing the remaining balance of such shares of Class A Common Stock be registered in the name</w:t>
      </w:r>
    </w:p>
    <w:p>
      <w:pPr>
        <w:spacing w:after="0"/>
        <w:tabs>
          <w:tab w:leader="none" w:pos="900" w:val="left"/>
          <w:tab w:leader="none" w:pos="2960" w:val="left"/>
          <w:tab w:leader="none" w:pos="7220" w:val="left"/>
          <w:tab w:leader="none" w:pos="9280" w:val="left"/>
        </w:tabs>
        <w:rPr>
          <w:sz w:val="20"/>
          <w:szCs w:val="20"/>
          <w:color w:val="auto"/>
        </w:rPr>
      </w:pPr>
      <w:r>
        <w:rPr>
          <w:rFonts w:ascii="Times New Roman" w:cs="Times New Roman" w:eastAsia="Times New Roman" w:hAnsi="Times New Roman"/>
          <w:sz w:val="18"/>
          <w:szCs w:val="18"/>
          <w:color w:val="auto"/>
        </w:rPr>
        <w:t>of</w:t>
      </w:r>
      <w:r>
        <w:rPr>
          <w:sz w:val="20"/>
          <w:szCs w:val="20"/>
          <w:color w:val="auto"/>
        </w:rPr>
        <w:tab/>
      </w:r>
      <w:r>
        <w:rPr>
          <w:rFonts w:ascii="Times New Roman" w:cs="Times New Roman" w:eastAsia="Times New Roman" w:hAnsi="Times New Roman"/>
          <w:sz w:val="18"/>
          <w:szCs w:val="18"/>
          <w:color w:val="auto"/>
        </w:rPr>
        <w:t>, whose address is</w:t>
      </w:r>
      <w:r>
        <w:rPr>
          <w:sz w:val="20"/>
          <w:szCs w:val="20"/>
          <w:color w:val="auto"/>
        </w:rPr>
        <w:tab/>
      </w:r>
      <w:r>
        <w:rPr>
          <w:rFonts w:ascii="Times New Roman" w:cs="Times New Roman" w:eastAsia="Times New Roman" w:hAnsi="Times New Roman"/>
          <w:sz w:val="18"/>
          <w:szCs w:val="18"/>
          <w:color w:val="auto"/>
        </w:rPr>
        <w:t>and that such Warrant Certificate be delivered to</w:t>
      </w:r>
      <w:r>
        <w:rPr>
          <w:sz w:val="20"/>
          <w:szCs w:val="20"/>
          <w:color w:val="auto"/>
        </w:rPr>
        <w:tab/>
      </w:r>
      <w:r>
        <w:rPr>
          <w:rFonts w:ascii="Times New Roman" w:cs="Times New Roman" w:eastAsia="Times New Roman" w:hAnsi="Times New Roman"/>
          <w:sz w:val="18"/>
          <w:szCs w:val="18"/>
          <w:color w:val="auto"/>
        </w:rPr>
        <w:t>, whose address is</w:t>
      </w:r>
      <w:r>
        <w:rPr>
          <w:sz w:val="20"/>
          <w:szCs w:val="20"/>
          <w:color w:val="auto"/>
        </w:rPr>
        <w:tab/>
      </w:r>
      <w:r>
        <w:rPr>
          <w:rFonts w:ascii="Times New Roman" w:cs="Times New Roman" w:eastAsia="Times New Roman" w:hAnsi="Times New Roman"/>
          <w:sz w:val="16"/>
          <w:szCs w:val="16"/>
          <w:color w:val="auto"/>
        </w:rPr>
        <w:t>.</w:t>
      </w:r>
    </w:p>
    <w:p>
      <w:pPr>
        <w:spacing w:after="0" w:line="207"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 the event that the Warrant has been called for redemption by the Company pursuant to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of the Warrant Agreement and a holder thereof elects to exercise its Warrant pursuant to a Make-Whole Exercise, the number of shares of Class A Common Stock that this Warrant is exercisable for shall be determined in accordance with </w:t>
      </w:r>
      <w:r>
        <w:rPr>
          <w:rFonts w:ascii="Times New Roman" w:cs="Times New Roman" w:eastAsia="Times New Roman" w:hAnsi="Times New Roman"/>
          <w:sz w:val="18"/>
          <w:szCs w:val="18"/>
          <w:u w:val="single" w:color="auto"/>
          <w:color w:val="auto"/>
        </w:rPr>
        <w:t>subsection 3.3.1(c)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of the Warrant Agreement, as applicable.</w:t>
      </w:r>
    </w:p>
    <w:p>
      <w:pPr>
        <w:spacing w:after="0" w:line="17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 the event that the Warrant is a Private Placement Warrant that is to be exercised on a “cashless” basis pursuant to </w:t>
      </w:r>
      <w:r>
        <w:rPr>
          <w:rFonts w:ascii="Times New Roman" w:cs="Times New Roman" w:eastAsia="Times New Roman" w:hAnsi="Times New Roman"/>
          <w:sz w:val="18"/>
          <w:szCs w:val="18"/>
          <w:u w:val="single" w:color="auto"/>
          <w:color w:val="auto"/>
        </w:rPr>
        <w:t>subsection 3.3.1(c)</w:t>
      </w:r>
      <w:r>
        <w:rPr>
          <w:rFonts w:ascii="Times New Roman" w:cs="Times New Roman" w:eastAsia="Times New Roman" w:hAnsi="Times New Roman"/>
          <w:sz w:val="18"/>
          <w:szCs w:val="18"/>
          <w:color w:val="auto"/>
        </w:rPr>
        <w:t xml:space="preserve"> of the Warrant Agreement, the number of shares of Class A Common Stock that this Warrant is exercisable for shall be determined in accordance with </w:t>
      </w:r>
      <w:r>
        <w:rPr>
          <w:rFonts w:ascii="Times New Roman" w:cs="Times New Roman" w:eastAsia="Times New Roman" w:hAnsi="Times New Roman"/>
          <w:sz w:val="18"/>
          <w:szCs w:val="18"/>
          <w:u w:val="single" w:color="auto"/>
          <w:color w:val="auto"/>
        </w:rPr>
        <w:t>subsection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3.3.1(c)</w:t>
      </w:r>
      <w:r>
        <w:rPr>
          <w:rFonts w:ascii="Times New Roman" w:cs="Times New Roman" w:eastAsia="Times New Roman" w:hAnsi="Times New Roman"/>
          <w:sz w:val="18"/>
          <w:szCs w:val="18"/>
          <w:color w:val="auto"/>
        </w:rPr>
        <w:t xml:space="preserve"> of the Warrant Agreement.</w:t>
      </w:r>
    </w:p>
    <w:p>
      <w:pPr>
        <w:spacing w:after="0" w:line="176"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In the event that the Warrant is to be exercised on a “cashless” basis pursuant to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of the Warrant Agreement, the number of shares of Class A Common Stock that this Warrant is exercisable for shall be determined in accordance with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of the Warrant Agreement.</w:t>
      </w:r>
    </w:p>
    <w:p>
      <w:pPr>
        <w:spacing w:after="0" w:line="162"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7"/>
          <w:szCs w:val="17"/>
          <w:color w:val="auto"/>
        </w:rPr>
        <w:t>In the event that the Warrant may be exercised, to the extent allowed by the Warrant Agreement, through cashless exercise (i) the number of shares of Class A Common Stock that this Warrant is exercisable for would be determined in accordance with the relevant section of the Warrant Agreement which allows for such cashless exercise and (ii) the holder hereof shall complete the following: The undersigned hereby irrevocably elects to exercise the right, represented by this Warrant Certificate, through the cashless exercise provisions of the Warrant Agreement, to receive shares of Class A Common Stock. If said number of shares is less than all of the shares of Class A Common Stock purchasable hereunder (after giving effect to the cashless exercise), the undersigned requests that a new Warrant Certificate representing the remaining balance of such shares of Class A Common Stock be registered in the</w:t>
      </w:r>
    </w:p>
    <w:tbl>
      <w:tblPr>
        <w:tblLayout w:type="fixed"/>
        <w:tblInd w:w="0" w:type="dxa"/>
        <w:tblCellMar>
          <w:top w:w="0" w:type="dxa"/>
          <w:left w:w="0" w:type="dxa"/>
          <w:bottom w:w="0" w:type="dxa"/>
          <w:right w:w="0" w:type="dxa"/>
        </w:tblCellMar>
      </w:tblPr>
      <w:tr>
        <w:trPr>
          <w:trHeight w:val="202"/>
        </w:trPr>
        <w:tc>
          <w:tcPr>
            <w:tcW w:w="10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name of</w:t>
            </w:r>
          </w:p>
        </w:tc>
        <w:tc>
          <w:tcPr>
            <w:tcW w:w="3020" w:type="dxa"/>
            <w:vAlign w:val="bottom"/>
          </w:tcPr>
          <w:p>
            <w:pPr>
              <w:jc w:val="right"/>
              <w:ind w:right="570"/>
              <w:spacing w:after="0" w:line="202" w:lineRule="exact"/>
              <w:rPr>
                <w:sz w:val="20"/>
                <w:szCs w:val="20"/>
                <w:color w:val="auto"/>
              </w:rPr>
            </w:pPr>
            <w:r>
              <w:rPr>
                <w:rFonts w:ascii="Times New Roman" w:cs="Times New Roman" w:eastAsia="Times New Roman" w:hAnsi="Times New Roman"/>
                <w:sz w:val="18"/>
                <w:szCs w:val="18"/>
                <w:color w:val="auto"/>
              </w:rPr>
              <w:t>, whose address is</w:t>
            </w:r>
          </w:p>
        </w:tc>
        <w:tc>
          <w:tcPr>
            <w:tcW w:w="5060" w:type="dxa"/>
            <w:vAlign w:val="bottom"/>
          </w:tcPr>
          <w:p>
            <w:pPr>
              <w:ind w:left="820"/>
              <w:spacing w:after="0" w:line="202" w:lineRule="exact"/>
              <w:rPr>
                <w:sz w:val="20"/>
                <w:szCs w:val="20"/>
                <w:color w:val="auto"/>
              </w:rPr>
            </w:pPr>
            <w:r>
              <w:rPr>
                <w:rFonts w:ascii="Times New Roman" w:cs="Times New Roman" w:eastAsia="Times New Roman" w:hAnsi="Times New Roman"/>
                <w:sz w:val="18"/>
                <w:szCs w:val="18"/>
                <w:color w:val="auto"/>
              </w:rPr>
              <w:t>and that such Warrant Certificate be delivered to</w:t>
            </w:r>
          </w:p>
        </w:tc>
        <w:tc>
          <w:tcPr>
            <w:tcW w:w="2140" w:type="dxa"/>
            <w:vAlign w:val="bottom"/>
          </w:tcPr>
          <w:p>
            <w:pPr>
              <w:ind w:left="740"/>
              <w:spacing w:after="0" w:line="202" w:lineRule="exact"/>
              <w:rPr>
                <w:sz w:val="20"/>
                <w:szCs w:val="20"/>
                <w:color w:val="auto"/>
              </w:rPr>
            </w:pPr>
            <w:r>
              <w:rPr>
                <w:rFonts w:ascii="Times New Roman" w:cs="Times New Roman" w:eastAsia="Times New Roman" w:hAnsi="Times New Roman"/>
                <w:sz w:val="18"/>
                <w:szCs w:val="18"/>
                <w:color w:val="auto"/>
              </w:rPr>
              <w:t>, whose address is</w:t>
            </w:r>
          </w:p>
        </w:tc>
      </w:tr>
      <w:tr>
        <w:trPr>
          <w:trHeight w:val="234"/>
        </w:trPr>
        <w:tc>
          <w:tcPr>
            <w:tcW w:w="1020" w:type="dxa"/>
            <w:vAlign w:val="bottom"/>
          </w:tcPr>
          <w:p>
            <w:pPr>
              <w:spacing w:after="0"/>
              <w:rPr>
                <w:sz w:val="20"/>
                <w:szCs w:val="20"/>
                <w:color w:val="auto"/>
              </w:rPr>
            </w:pPr>
          </w:p>
        </w:tc>
        <w:tc>
          <w:tcPr>
            <w:tcW w:w="3020" w:type="dxa"/>
            <w:vAlign w:val="bottom"/>
          </w:tcPr>
          <w:p>
            <w:pPr>
              <w:jc w:val="right"/>
              <w:ind w:right="2450"/>
              <w:spacing w:after="0"/>
              <w:rPr>
                <w:sz w:val="20"/>
                <w:szCs w:val="20"/>
                <w:color w:val="auto"/>
              </w:rPr>
            </w:pPr>
            <w:r>
              <w:rPr>
                <w:rFonts w:ascii="Times New Roman" w:cs="Times New Roman" w:eastAsia="Times New Roman" w:hAnsi="Times New Roman"/>
                <w:sz w:val="18"/>
                <w:szCs w:val="18"/>
                <w:color w:val="auto"/>
              </w:rPr>
              <w:t>.</w:t>
            </w:r>
          </w:p>
        </w:tc>
        <w:tc>
          <w:tcPr>
            <w:tcW w:w="506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32"/>
        </w:trPr>
        <w:tc>
          <w:tcPr>
            <w:tcW w:w="10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5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tc>
        <w:tc>
          <w:tcPr>
            <w:tcW w:w="2140" w:type="dxa"/>
            <w:vAlign w:val="bottom"/>
          </w:tcPr>
          <w:p>
            <w:pPr>
              <w:spacing w:after="0"/>
              <w:rPr>
                <w:sz w:val="24"/>
                <w:szCs w:val="24"/>
                <w:color w:val="auto"/>
              </w:rPr>
            </w:pPr>
          </w:p>
        </w:tc>
      </w:tr>
      <w:tr>
        <w:trPr>
          <w:trHeight w:val="439"/>
        </w:trPr>
        <w:tc>
          <w:tcPr>
            <w:tcW w:w="10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84" w:name="page85"/>
    <w:bookmarkEnd w:id="84"/>
    <w:p>
      <w:pPr>
        <w:spacing w:after="0"/>
        <w:tabs>
          <w:tab w:leader="none" w:pos="11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608965</wp:posOffset>
            </wp:positionV>
            <wp:extent cx="3566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566160" cy="1714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454660</wp:posOffset>
            </wp:positionV>
            <wp:extent cx="3566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566160" cy="1714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300355</wp:posOffset>
            </wp:positionV>
            <wp:extent cx="3566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300355</wp:posOffset>
            </wp:positionV>
            <wp:extent cx="3566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(Tax Indentification Number)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85432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firstLine="648"/>
        <w:spacing w:after="0" w:line="289" w:lineRule="auto"/>
        <w:rPr>
          <w:sz w:val="20"/>
          <w:szCs w:val="20"/>
          <w:color w:val="auto"/>
        </w:rPr>
      </w:pPr>
      <w:r>
        <w:rPr>
          <w:rFonts w:ascii="Times New Roman" w:cs="Times New Roman" w:eastAsia="Times New Roman" w:hAnsi="Times New Roman"/>
          <w:sz w:val="17"/>
          <w:szCs w:val="17"/>
          <w:color w:val="auto"/>
        </w:rPr>
        <w:t>THE SIGNATURE(S) SHOULD BE GUARANTEED BY AN ELIGIBLE GUARANTOR INSTITUTION (BANKS, STOCKBROKERS, SAVINGS AND LOAN ASSOCIATIONS AND CREDIT UNIONS WITH MEMBERSHIP IN AN APPROVED SIGNATURE GUARANTEE MEDALLION PROGRAM, PURSUANT TO S.E.C. RULE 17Ad-15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320" w:top="904" w:right="919" w:bottom="1440" w:gutter="0" w:footer="0" w:header="0"/>
        </w:sectPr>
      </w:pPr>
    </w:p>
    <w:bookmarkStart w:id="85" w:name="page86"/>
    <w:bookmarkEnd w:id="8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LEGEND</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SECURITIES REPRESENTED BY THIS CERTIFICATE HAVE NOT BEEN REGISTERED UNDER THE SECURITIES ACT OF 1933, AS AMENDED, OR ANY STATE SECURITIES LAWS, AND MAY NOT BE OFFERED, SOLD, TRANSFERRED OR OTHERWISE DISPOSED OF UNLESS REGISTERED UNDER THE SECURITIES ACT OF 1933, AS AMENDED, AND ANY APPLICABLE STATE SECURITIES LAWS OR AN EXEMPTION FROM REGISTRATION IS AVAILABLE. IN ADDITION, SUBJECT TO ANY ADDITIONAL LIMITATIONS ON TRANSFER DESCRIBED IN THE LETTER AGREEMENT BY AND AMONG CM LIFE SCIENCES,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CMLS HOLDINGS LLC AND THE OTHER PARTIES THERETO, THE SECURITIES REPRESENTED BY THIS CERTIFICATE MAY NOT BE SOLD OR TRANSFERRED PRIOR TO THE DATE THAT IS THIRTY (30) DAYS AFTER THE DATE UPON WHICH THE COMPANY COMPLETES ITS INITIAL BUSINESS COMBINATION (AS DEFINED IN THE RECITALS OF THE WARRANT AGREEMENT REFERRED TO HEREIN) EXCEPT TO A PERMITTED TRANSFEREE (AS DEFINED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THE WARRANT AGREEMENT) WHO AGREES IN WRITING WITH THE COMPANY TO BE SUBJECT TO SUCH TRANSFER PROVISIONS.</w:t>
      </w:r>
    </w:p>
    <w:p>
      <w:pPr>
        <w:spacing w:after="0" w:line="194"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SECURITIES EVIDENCED BY THIS CERTIFICATE AND SHARES OF CLASS A COMMON STOCK OF THE COMPANY ISSUED UPON EXERCISE OF SUCH SECURITIES SHALL BE ENTITLED TO REGISTRATION RIGHTS UNDER A REGISTRATION AGREEMENT TO BE EXECUTED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INVESTMENT MANAGEMENT TRUST AGREEMENT</w:t>
      </w:r>
    </w:p>
    <w:p>
      <w:pPr>
        <w:spacing w:after="0" w:line="225"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color w:val="auto"/>
        </w:rPr>
        <w:t>This Investment Management Trust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effective as of September 1, 2020 by and between CM Life Sciences,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Continental Stock Transfer &amp; Trust Company, a New York corporation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155"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18"/>
          <w:szCs w:val="18"/>
          <w:color w:val="auto"/>
        </w:rPr>
        <w:t>WHEREAS, the Company’s registration statement on Form S-1, as amended, File No. 333-246251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and prospectus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for the initial public offering (the “</w:t>
      </w:r>
      <w:r>
        <w:rPr>
          <w:rFonts w:ascii="Times New Roman" w:cs="Times New Roman" w:eastAsia="Times New Roman" w:hAnsi="Times New Roman"/>
          <w:sz w:val="18"/>
          <w:szCs w:val="18"/>
          <w:b w:val="1"/>
          <w:bCs w:val="1"/>
          <w:i w:val="1"/>
          <w:iCs w:val="1"/>
          <w:color w:val="auto"/>
        </w:rPr>
        <w:t>Offering</w:t>
      </w:r>
      <w:r>
        <w:rPr>
          <w:rFonts w:ascii="Times New Roman" w:cs="Times New Roman" w:eastAsia="Times New Roman" w:hAnsi="Times New Roman"/>
          <w:sz w:val="18"/>
          <w:szCs w:val="18"/>
          <w:color w:val="auto"/>
        </w:rPr>
        <w:t>”) of the Company’s units (the “</w:t>
      </w:r>
      <w:r>
        <w:rPr>
          <w:rFonts w:ascii="Times New Roman" w:cs="Times New Roman" w:eastAsia="Times New Roman" w:hAnsi="Times New Roman"/>
          <w:sz w:val="18"/>
          <w:szCs w:val="18"/>
          <w:b w:val="1"/>
          <w:bCs w:val="1"/>
          <w:i w:val="1"/>
          <w:iCs w:val="1"/>
          <w:color w:val="auto"/>
        </w:rPr>
        <w:t>Units</w:t>
      </w:r>
      <w:r>
        <w:rPr>
          <w:rFonts w:ascii="Times New Roman" w:cs="Times New Roman" w:eastAsia="Times New Roman" w:hAnsi="Times New Roman"/>
          <w:sz w:val="18"/>
          <w:szCs w:val="18"/>
          <w:color w:val="auto"/>
        </w:rPr>
        <w:t>”), each of which consists of one share of the Company’s Class A common stock, par value $0.0001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and one-third of one redeemable warrant, has been declared effective as of the date hereof by the U.S. Securities and Exchange Commission; and</w:t>
      </w:r>
    </w:p>
    <w:p>
      <w:pPr>
        <w:spacing w:after="0" w:line="176" w:lineRule="exact"/>
        <w:rPr>
          <w:sz w:val="20"/>
          <w:szCs w:val="20"/>
          <w:color w:val="auto"/>
        </w:rPr>
      </w:pPr>
    </w:p>
    <w:p>
      <w:pPr>
        <w:ind w:right="60" w:firstLine="648"/>
        <w:spacing w:after="0" w:line="286" w:lineRule="auto"/>
        <w:rPr>
          <w:sz w:val="20"/>
          <w:szCs w:val="20"/>
          <w:color w:val="auto"/>
        </w:rPr>
      </w:pPr>
      <w:r>
        <w:rPr>
          <w:rFonts w:ascii="Times New Roman" w:cs="Times New Roman" w:eastAsia="Times New Roman" w:hAnsi="Times New Roman"/>
          <w:sz w:val="18"/>
          <w:szCs w:val="18"/>
          <w:color w:val="auto"/>
        </w:rPr>
        <w:t>WHEREAS, the Company has entered into an Underwriting Agreement (the “</w:t>
      </w:r>
      <w:r>
        <w:rPr>
          <w:rFonts w:ascii="Times New Roman" w:cs="Times New Roman" w:eastAsia="Times New Roman" w:hAnsi="Times New Roman"/>
          <w:sz w:val="18"/>
          <w:szCs w:val="18"/>
          <w:b w:val="1"/>
          <w:bCs w:val="1"/>
          <w:i w:val="1"/>
          <w:iCs w:val="1"/>
          <w:color w:val="auto"/>
        </w:rPr>
        <w:t>Underwriting Agreement</w:t>
      </w:r>
      <w:r>
        <w:rPr>
          <w:rFonts w:ascii="Times New Roman" w:cs="Times New Roman" w:eastAsia="Times New Roman" w:hAnsi="Times New Roman"/>
          <w:sz w:val="18"/>
          <w:szCs w:val="18"/>
          <w:color w:val="auto"/>
        </w:rPr>
        <w:t>”) with Jefferies LLC, as representative of the several underwriters (the “</w:t>
      </w:r>
      <w:r>
        <w:rPr>
          <w:rFonts w:ascii="Times New Roman" w:cs="Times New Roman" w:eastAsia="Times New Roman" w:hAnsi="Times New Roman"/>
          <w:sz w:val="18"/>
          <w:szCs w:val="18"/>
          <w:b w:val="1"/>
          <w:bCs w:val="1"/>
          <w:i w:val="1"/>
          <w:iCs w:val="1"/>
          <w:color w:val="auto"/>
        </w:rPr>
        <w:t>Underwriter</w:t>
      </w:r>
      <w:r>
        <w:rPr>
          <w:rFonts w:ascii="Times New Roman" w:cs="Times New Roman" w:eastAsia="Times New Roman" w:hAnsi="Times New Roman"/>
          <w:sz w:val="18"/>
          <w:szCs w:val="18"/>
          <w:color w:val="auto"/>
        </w:rPr>
        <w:t>”); and</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WHEREAS, as described in the Prospectus, $385,000,000 of the net proceeds of the Offering and sale of the Private Placement Warrants (as defined in the Underwriting Agreement) (or $442,750,000 if the Underwriter’s over-allotment option is exercised in full) will be, after deducting $7,700,000 in underwriting discounts and commissions payable upon the closing of this offering (or $8,855,000 if the Underwriter’s over-allotment option is exercised in full) and an aggregate of $2,000,000 to pay fees and expenses in connection with the closing of this offering and for working capital following the closing of this offering, delivered to the Trustee to be deposited and held in a segregated trust account located at all times in the United States (the “</w:t>
      </w:r>
      <w:r>
        <w:rPr>
          <w:rFonts w:ascii="Times New Roman" w:cs="Times New Roman" w:eastAsia="Times New Roman" w:hAnsi="Times New Roman"/>
          <w:sz w:val="18"/>
          <w:szCs w:val="18"/>
          <w:b w:val="1"/>
          <w:bCs w:val="1"/>
          <w:i w:val="1"/>
          <w:iCs w:val="1"/>
          <w:color w:val="auto"/>
        </w:rPr>
        <w:t>Trust Account</w:t>
      </w:r>
      <w:r>
        <w:rPr>
          <w:rFonts w:ascii="Times New Roman" w:cs="Times New Roman" w:eastAsia="Times New Roman" w:hAnsi="Times New Roman"/>
          <w:sz w:val="18"/>
          <w:szCs w:val="18"/>
          <w:color w:val="auto"/>
        </w:rPr>
        <w:t>”) for the benefit of the Company and the holders of the Common Stock included in the Units issued in the Offering as hereinafter provided (the amount to be delivered to the Trustee (and any interest subsequently earned thereon) is referred to herein as the “</w:t>
      </w:r>
      <w:r>
        <w:rPr>
          <w:rFonts w:ascii="Times New Roman" w:cs="Times New Roman" w:eastAsia="Times New Roman" w:hAnsi="Times New Roman"/>
          <w:sz w:val="18"/>
          <w:szCs w:val="18"/>
          <w:b w:val="1"/>
          <w:bCs w:val="1"/>
          <w:i w:val="1"/>
          <w:iCs w:val="1"/>
          <w:color w:val="auto"/>
        </w:rPr>
        <w:t>Property</w:t>
      </w:r>
      <w:r>
        <w:rPr>
          <w:rFonts w:ascii="Times New Roman" w:cs="Times New Roman" w:eastAsia="Times New Roman" w:hAnsi="Times New Roman"/>
          <w:sz w:val="18"/>
          <w:szCs w:val="18"/>
          <w:color w:val="auto"/>
        </w:rPr>
        <w:t>,” the stockholders for whose benefit the Trustee shall hold the Property will be referred to as the “</w:t>
      </w:r>
      <w:r>
        <w:rPr>
          <w:rFonts w:ascii="Times New Roman" w:cs="Times New Roman" w:eastAsia="Times New Roman" w:hAnsi="Times New Roman"/>
          <w:sz w:val="18"/>
          <w:szCs w:val="18"/>
          <w:b w:val="1"/>
          <w:bCs w:val="1"/>
          <w:i w:val="1"/>
          <w:iCs w:val="1"/>
          <w:color w:val="auto"/>
        </w:rPr>
        <w:t>Public Stockholders</w:t>
      </w:r>
      <w:r>
        <w:rPr>
          <w:rFonts w:ascii="Times New Roman" w:cs="Times New Roman" w:eastAsia="Times New Roman" w:hAnsi="Times New Roman"/>
          <w:sz w:val="18"/>
          <w:szCs w:val="18"/>
          <w:color w:val="auto"/>
        </w:rPr>
        <w:t>,” and the Public Stockholders and the Company will be referred to together as the “</w:t>
      </w:r>
      <w:r>
        <w:rPr>
          <w:rFonts w:ascii="Times New Roman" w:cs="Times New Roman" w:eastAsia="Times New Roman" w:hAnsi="Times New Roman"/>
          <w:sz w:val="18"/>
          <w:szCs w:val="18"/>
          <w:b w:val="1"/>
          <w:bCs w:val="1"/>
          <w:i w:val="1"/>
          <w:iCs w:val="1"/>
          <w:color w:val="auto"/>
        </w:rPr>
        <w:t>Beneficiaries</w:t>
      </w:r>
      <w:r>
        <w:rPr>
          <w:rFonts w:ascii="Times New Roman" w:cs="Times New Roman" w:eastAsia="Times New Roman" w:hAnsi="Times New Roman"/>
          <w:sz w:val="18"/>
          <w:szCs w:val="18"/>
          <w:color w:val="auto"/>
        </w:rPr>
        <w:t>”); and</w:t>
      </w:r>
    </w:p>
    <w:p>
      <w:pPr>
        <w:spacing w:after="0" w:line="188"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WHEREAS, pursuant to the Underwriting Agreement, a portion of the Property equal to $13,475,000, or $15,496,250 if the Underwriter’s over-allotment option is exercised in full, is attributable to deferred underwriting discounts and commissions that will be payable by the Company to the Underwriter upon and concurrently with the consummation of the Business Combination (as defined below) (the “</w:t>
      </w:r>
      <w:r>
        <w:rPr>
          <w:rFonts w:ascii="Times New Roman" w:cs="Times New Roman" w:eastAsia="Times New Roman" w:hAnsi="Times New Roman"/>
          <w:sz w:val="18"/>
          <w:szCs w:val="18"/>
          <w:b w:val="1"/>
          <w:bCs w:val="1"/>
          <w:i w:val="1"/>
          <w:iCs w:val="1"/>
          <w:color w:val="auto"/>
        </w:rPr>
        <w:t>Deferred Discount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w:t>
      </w:r>
    </w:p>
    <w:p>
      <w:pPr>
        <w:spacing w:after="0" w:line="17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and the Trustee desire to enter into this Agreement to set forth the terms and conditions pursuant to which the Trustee shall hold the Property.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IT IS AGREED:</w:t>
      </w:r>
    </w:p>
    <w:p>
      <w:pPr>
        <w:spacing w:after="0" w:line="225" w:lineRule="exact"/>
        <w:rPr>
          <w:sz w:val="20"/>
          <w:szCs w:val="20"/>
          <w:color w:val="auto"/>
        </w:rPr>
      </w:pPr>
    </w:p>
    <w:p>
      <w:pPr>
        <w:ind w:left="660" w:hanging="652"/>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Agreements and Covenants of Trustee</w:t>
      </w:r>
      <w:r>
        <w:rPr>
          <w:rFonts w:ascii="Times New Roman" w:cs="Times New Roman" w:eastAsia="Times New Roman" w:hAnsi="Times New Roman"/>
          <w:sz w:val="18"/>
          <w:szCs w:val="18"/>
          <w:color w:val="auto"/>
        </w:rPr>
        <w:t>. The Trustee hereby agrees and covenants to:</w:t>
      </w:r>
    </w:p>
    <w:p>
      <w:pPr>
        <w:spacing w:after="0" w:line="225" w:lineRule="exact"/>
        <w:rPr>
          <w:rFonts w:ascii="Times New Roman" w:cs="Times New Roman" w:eastAsia="Times New Roman" w:hAnsi="Times New Roman"/>
          <w:sz w:val="18"/>
          <w:szCs w:val="18"/>
          <w:color w:val="auto"/>
        </w:rPr>
      </w:pPr>
    </w:p>
    <w:p>
      <w:pPr>
        <w:ind w:right="100" w:firstLine="656"/>
        <w:spacing w:after="0" w:line="266" w:lineRule="auto"/>
        <w:tabs>
          <w:tab w:leader="none" w:pos="893"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the Property in trust for the Beneficiaries in accordance with the terms of this Agreement in the Trust Account established by the Trustee in the United States at JP Morgan Chase Bank, N.A. (or at another U.S. chartered commercial bank with consolidated assets of $100 billion or more), maintained by the Trustee and at a brokerage institution selected by the Trustee that is reasonably satisfactory to the Company;</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supervise and administer the Trust Account subject to the terms and conditions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7" w:name="page88"/>
    <w:bookmarkEnd w:id="87"/>
    <w:p>
      <w:pPr>
        <w:ind w:right="20" w:firstLine="656"/>
        <w:spacing w:after="0" w:line="256" w:lineRule="auto"/>
        <w:tabs>
          <w:tab w:leader="none" w:pos="89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timely manner, upon the written instruction of the Company, invest and reinvest the Property solely in United States government securities within the meaning of Section 2(a)(16) of the Investment Company Act of 1940, as amended, having a maturity of 185 days or less, or in money market funds meeting the conditions of paragraphs (d)(1), (d)(2), (d)(3) and (d)(4) of Rule 2a-7 promulgated under the Investment Company Act of 1940, as amended (or any successor rule), which invest only in direct U.S. government treasury obligations, as determined by the Company; it being understood that the Trust Account will earn no interest while account funds are uninvested awaiting the Company’s instructions hereunder and the Trustee may earn bank credits or other consideration;</w:t>
      </w:r>
    </w:p>
    <w:p>
      <w:pPr>
        <w:spacing w:after="0" w:line="18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Collect and receive, when due, all interest or other income arising from the Property, which shall become part of the “Property,” as such term is</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used herein;</w:t>
      </w:r>
    </w:p>
    <w:p>
      <w:pPr>
        <w:spacing w:after="0" w:line="206" w:lineRule="exact"/>
        <w:rPr>
          <w:rFonts w:ascii="Times New Roman" w:cs="Times New Roman" w:eastAsia="Times New Roman" w:hAnsi="Times New Roman"/>
          <w:sz w:val="17"/>
          <w:szCs w:val="17"/>
          <w:color w:val="auto"/>
        </w:rPr>
      </w:pPr>
    </w:p>
    <w:p>
      <w:pPr>
        <w:ind w:right="60" w:firstLine="656"/>
        <w:spacing w:after="0" w:line="282" w:lineRule="auto"/>
        <w:tabs>
          <w:tab w:leader="none" w:pos="89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the Company and the Underwriter of all communications received by the Trustee with respect to any Property requiring action by the Company;</w:t>
      </w:r>
    </w:p>
    <w:p>
      <w:pPr>
        <w:spacing w:after="0" w:line="161" w:lineRule="exact"/>
        <w:rPr>
          <w:rFonts w:ascii="Times New Roman" w:cs="Times New Roman" w:eastAsia="Times New Roman" w:hAnsi="Times New Roman"/>
          <w:sz w:val="18"/>
          <w:szCs w:val="18"/>
          <w:color w:val="auto"/>
        </w:rPr>
      </w:pPr>
    </w:p>
    <w:p>
      <w:pPr>
        <w:ind w:right="120" w:firstLine="656"/>
        <w:spacing w:after="0" w:line="266" w:lineRule="auto"/>
        <w:tabs>
          <w:tab w:leader="none" w:pos="87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any necessary information or documents as may be requested by the Company (or its authorized agents) in connection with the Company’s preparation of the tax returns relating to assets held in the Trust Account or in connection with the Company’s preparation or completion of an audit of the Company’s financial statements;</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90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any plan or proceeding for protecting or enforcing any right or interest arising from the Property if, as and when instructed by the Company to do so;</w:t>
      </w:r>
    </w:p>
    <w:p>
      <w:pPr>
        <w:spacing w:after="0" w:line="161" w:lineRule="exact"/>
        <w:rPr>
          <w:rFonts w:ascii="Times New Roman" w:cs="Times New Roman" w:eastAsia="Times New Roman" w:hAnsi="Times New Roman"/>
          <w:sz w:val="18"/>
          <w:szCs w:val="18"/>
          <w:color w:val="auto"/>
        </w:rPr>
      </w:pPr>
    </w:p>
    <w:p>
      <w:pPr>
        <w:ind w:right="820" w:firstLine="656"/>
        <w:spacing w:after="0" w:line="282" w:lineRule="auto"/>
        <w:tabs>
          <w:tab w:leader="none" w:pos="90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Render to the Company monthly written statements of the activities of, and amounts in, the Trust Account reflecting all receipts and disbursements of the Trust Account;</w:t>
      </w:r>
    </w:p>
    <w:p>
      <w:pPr>
        <w:spacing w:after="0" w:line="161" w:lineRule="exact"/>
        <w:rPr>
          <w:rFonts w:ascii="Times New Roman" w:cs="Times New Roman" w:eastAsia="Times New Roman" w:hAnsi="Times New Roman"/>
          <w:sz w:val="18"/>
          <w:szCs w:val="18"/>
          <w:color w:val="auto"/>
        </w:rPr>
      </w:pPr>
    </w:p>
    <w:p>
      <w:pPr>
        <w:ind w:right="40" w:firstLine="656"/>
        <w:spacing w:after="0" w:line="253" w:lineRule="auto"/>
        <w:tabs>
          <w:tab w:leader="none" w:pos="86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liquidation of the Trust Account only after and promptly after (x) receipt of, and only in accordance with, the terms of a letter from the Company (“</w:t>
      </w:r>
      <w:r>
        <w:rPr>
          <w:rFonts w:ascii="Times New Roman" w:cs="Times New Roman" w:eastAsia="Times New Roman" w:hAnsi="Times New Roman"/>
          <w:sz w:val="18"/>
          <w:szCs w:val="18"/>
          <w:b w:val="1"/>
          <w:bCs w:val="1"/>
          <w:i w:val="1"/>
          <w:iCs w:val="1"/>
          <w:color w:val="auto"/>
        </w:rPr>
        <w:t>Termination Letter</w:t>
      </w:r>
      <w:r>
        <w:rPr>
          <w:rFonts w:ascii="Times New Roman" w:cs="Times New Roman" w:eastAsia="Times New Roman" w:hAnsi="Times New Roman"/>
          <w:sz w:val="18"/>
          <w:szCs w:val="18"/>
          <w:color w:val="auto"/>
        </w:rPr>
        <w:t xml:space="preserve">”) in a form substantially similar to that attached hereto as either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as applicable, signed on behalf of the Company by its Chief Executive Officer, Chief Financial Officer, Secretary or Chairman of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xml:space="preserve">”) or other authorized officer of the Company, and complete the liquidation of the Trust Account and distribute the Property in the Trust Account, including interest earned on the funds held in the Trust Account and not previously released to the Company to pay its taxes (less up to $100,000 of interest to pay dissolution expenses), only as directed in the Termination Letter and the other documents referred to therein, or (y) upon the date which is, the later of (1) 24 months after the closing of the Offering and (2) such later date as may be approved by the Company’s stockholders in accordance with the Company’s amended and restated certificate of incorporation, as amended from time to time, if a Termination Letter has not been received by the Trustee prior to such date, in which case the Trust Account shall be liquidated in accordance with the procedures set forth in the Termination Letter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the Property in the Trust Account, including interest earned on the funds held in the Trust Account and not previously released to the Company to pay its taxes (less up to $100,000 of interest to pay dissolution expenses), shall be distributed to the Public Stockholders of record as of such date;</w:t>
      </w:r>
    </w:p>
    <w:p>
      <w:pPr>
        <w:spacing w:after="0" w:line="191" w:lineRule="exact"/>
        <w:rPr>
          <w:rFonts w:ascii="Times New Roman" w:cs="Times New Roman" w:eastAsia="Times New Roman" w:hAnsi="Times New Roman"/>
          <w:sz w:val="18"/>
          <w:szCs w:val="18"/>
          <w:color w:val="auto"/>
        </w:rPr>
      </w:pPr>
    </w:p>
    <w:p>
      <w:pPr>
        <w:ind w:right="80" w:firstLine="656"/>
        <w:spacing w:after="0" w:line="253" w:lineRule="auto"/>
        <w:tabs>
          <w:tab w:leader="none" w:pos="86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written request from the Company, which may be given from time to time in a form substantially similar to that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i w:val="1"/>
          <w:iCs w:val="1"/>
          <w:color w:val="auto"/>
        </w:rPr>
        <w:t>Tax Payment Withdrawal Instruction</w:t>
      </w:r>
      <w:r>
        <w:rPr>
          <w:rFonts w:ascii="Times New Roman" w:cs="Times New Roman" w:eastAsia="Times New Roman" w:hAnsi="Times New Roman"/>
          <w:sz w:val="18"/>
          <w:szCs w:val="18"/>
          <w:color w:val="auto"/>
        </w:rPr>
        <w:t xml:space="preserve">”), withdraw from the Trust Account and distribute to the Company the amount of interest earned on the Property requested by the Company to cover any tax obligation owed by the Company as a result of assets of the Company or interest or other income earned on the Property, which amount shall be delivered directly to the Company by electronic funds transfer or other method of prompt payment, and the Company shall forward such payment to the relevant taxing authority, so long as there is no reduction in the principal amount per share initially deposited in the Trust Account;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there is not sufficient cash in the Trust Account to pay such tax obligation, the Trustee shall liquidate such assets held in the Trust Account as shall be designated by the Company in writing to make such distribution (it being acknowledged and agreed that any such amount in excess of interest income earned on the Property shall not be payable from the Trust Account). The written request of the Company referenced above shall constitute presumptive evidence that the Company is entitled to said funds, and the Trustee shall have no responsibility to look beyond said request;</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8" w:name="page89"/>
    <w:bookmarkEnd w:id="88"/>
    <w:p>
      <w:pPr>
        <w:ind w:left="-8" w:right="20" w:firstLine="656"/>
        <w:spacing w:after="0" w:line="254" w:lineRule="auto"/>
        <w:tabs>
          <w:tab w:leader="none" w:pos="895"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written request from the Company, which may be given from time to time in a form substantially similar to that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i w:val="1"/>
          <w:iCs w:val="1"/>
          <w:color w:val="auto"/>
        </w:rPr>
        <w:t>Stockholder Redemption Withdrawal Instruction</w:t>
      </w:r>
      <w:r>
        <w:rPr>
          <w:rFonts w:ascii="Times New Roman" w:cs="Times New Roman" w:eastAsia="Times New Roman" w:hAnsi="Times New Roman"/>
          <w:sz w:val="18"/>
          <w:szCs w:val="18"/>
          <w:color w:val="auto"/>
        </w:rPr>
        <w:t>”), the Trustee shall distribute on behalf of the Company the amount requested by the Company to be used to redeem shares of Common Stock from Public Stockholders properly submitted in connection with a stockholder vote to approve an amendment to the Company’s amended and restated certificate of incorporation to modify the substance or timing of the Company’s obligation to redeem 100% of shares of Common Stock included in the Units sold in the Offering (the “</w:t>
      </w:r>
      <w:r>
        <w:rPr>
          <w:rFonts w:ascii="Times New Roman" w:cs="Times New Roman" w:eastAsia="Times New Roman" w:hAnsi="Times New Roman"/>
          <w:sz w:val="18"/>
          <w:szCs w:val="18"/>
          <w:b w:val="1"/>
          <w:bCs w:val="1"/>
          <w:i w:val="1"/>
          <w:iCs w:val="1"/>
          <w:color w:val="auto"/>
        </w:rPr>
        <w:t>public shares</w:t>
      </w:r>
      <w:r>
        <w:rPr>
          <w:rFonts w:ascii="Times New Roman" w:cs="Times New Roman" w:eastAsia="Times New Roman" w:hAnsi="Times New Roman"/>
          <w:sz w:val="18"/>
          <w:szCs w:val="18"/>
          <w:color w:val="auto"/>
        </w:rPr>
        <w:t>”) if the Company has not consummated an initial Business Combination within such time as is described in the Company’s amended and restated certificate of incorporation or with respect to any other material provisions relating to stockholders’ rights or pre-initial Business Combination activity. The written request of the Company referenced above shall constitute presumptive evidence that the Company is entitled to distribute said funds, and the Trustee shall have no responsibility to look beyond said request; and</w:t>
      </w:r>
    </w:p>
    <w:p>
      <w:pPr>
        <w:spacing w:after="0" w:line="188" w:lineRule="exact"/>
        <w:rPr>
          <w:rFonts w:ascii="Times New Roman" w:cs="Times New Roman" w:eastAsia="Times New Roman" w:hAnsi="Times New Roman"/>
          <w:sz w:val="18"/>
          <w:szCs w:val="18"/>
          <w:color w:val="auto"/>
        </w:rPr>
      </w:pPr>
    </w:p>
    <w:p>
      <w:pPr>
        <w:ind w:left="872" w:hanging="224"/>
        <w:spacing w:after="0"/>
        <w:tabs>
          <w:tab w:leader="none" w:pos="872"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 make any withdrawals or distributions from the Trust Account other than pursuant to </w:t>
      </w:r>
      <w:r>
        <w:rPr>
          <w:rFonts w:ascii="Times New Roman" w:cs="Times New Roman" w:eastAsia="Times New Roman" w:hAnsi="Times New Roman"/>
          <w:sz w:val="18"/>
          <w:szCs w:val="18"/>
          <w:u w:val="single" w:color="auto"/>
          <w:color w:val="auto"/>
        </w:rPr>
        <w:t>Section 1(i)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(k)</w:t>
      </w:r>
      <w:r>
        <w:rPr>
          <w:rFonts w:ascii="Times New Roman" w:cs="Times New Roman" w:eastAsia="Times New Roman" w:hAnsi="Times New Roman"/>
          <w:sz w:val="18"/>
          <w:szCs w:val="18"/>
          <w:color w:val="auto"/>
        </w:rPr>
        <w:t xml:space="preserve"> above.</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Agreements and Covenants of the Company</w:t>
      </w:r>
      <w:r>
        <w:rPr>
          <w:rFonts w:ascii="Times New Roman" w:cs="Times New Roman" w:eastAsia="Times New Roman" w:hAnsi="Times New Roman"/>
          <w:sz w:val="18"/>
          <w:szCs w:val="18"/>
          <w:color w:val="auto"/>
        </w:rPr>
        <w:t>. The Company hereby agrees and covenants to:</w:t>
      </w:r>
    </w:p>
    <w:p>
      <w:pPr>
        <w:spacing w:after="0" w:line="225" w:lineRule="exact"/>
        <w:rPr>
          <w:rFonts w:ascii="Times New Roman" w:cs="Times New Roman" w:eastAsia="Times New Roman" w:hAnsi="Times New Roman"/>
          <w:sz w:val="18"/>
          <w:szCs w:val="18"/>
          <w:color w:val="auto"/>
        </w:rPr>
      </w:pPr>
    </w:p>
    <w:p>
      <w:pPr>
        <w:ind w:left="-8" w:right="80" w:firstLine="656"/>
        <w:spacing w:after="0" w:line="281" w:lineRule="auto"/>
        <w:tabs>
          <w:tab w:leader="none" w:pos="885"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Give all instructions to the Trustee hereunder in writing, signed by the Company’s Chairman of the Board, Chief Executive Officer, Chief Financial Officer or Secretary. In addition, except with respect to its duties under </w:t>
      </w:r>
      <w:r>
        <w:rPr>
          <w:rFonts w:ascii="Times New Roman" w:cs="Times New Roman" w:eastAsia="Times New Roman" w:hAnsi="Times New Roman"/>
          <w:sz w:val="17"/>
          <w:szCs w:val="17"/>
          <w:u w:val="single" w:color="auto"/>
          <w:color w:val="auto"/>
        </w:rPr>
        <w:t>Sections 1(i)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1(j)</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1(k)</w:t>
      </w:r>
      <w:r>
        <w:rPr>
          <w:rFonts w:ascii="Times New Roman" w:cs="Times New Roman" w:eastAsia="Times New Roman" w:hAnsi="Times New Roman"/>
          <w:sz w:val="17"/>
          <w:szCs w:val="17"/>
          <w:color w:val="auto"/>
        </w:rPr>
        <w:t xml:space="preserve"> hereof, the Trustee shall be entitled to rely on, and shall be protected in relying on, any verbal or telephonic advice or instruction which it, in good faith and with reasonable care, believes to be given by any one of the persons authorized above to give written instructions, provided that the Company shall promptly confirm such instructions in writing;</w:t>
      </w:r>
    </w:p>
    <w:p>
      <w:pPr>
        <w:spacing w:after="0" w:line="164" w:lineRule="exact"/>
        <w:rPr>
          <w:rFonts w:ascii="Times New Roman" w:cs="Times New Roman" w:eastAsia="Times New Roman" w:hAnsi="Times New Roman"/>
          <w:sz w:val="17"/>
          <w:szCs w:val="17"/>
          <w:color w:val="auto"/>
        </w:rPr>
      </w:pPr>
    </w:p>
    <w:p>
      <w:pPr>
        <w:ind w:left="-8" w:firstLine="656"/>
        <w:spacing w:after="0" w:line="253" w:lineRule="auto"/>
        <w:tabs>
          <w:tab w:leader="none" w:pos="895"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hold the Trustee harmless and indemnify the Trustee from and against any and all expenses, including reasonable counsel fees and disbursements, or losses suffered by the Trustee in connection with any action taken by it hereunder and in connection with any action, suit or other proceeding brought against the Trustee involving any claim, or in connection with any claim or demand, which in any way arises out of or relates to this Agreement, the services of the Trustee hereunder, or the Property or any interest earned on the Property, except for expenses and losses resulting from the Trustee’s gross negligence, fraud or willful misconduct. Promptly after the receipt by the Trustee of notice of demand or claim or the commencement of any action, suit or proceeding, pursuant to which the Trustee intends to seek indemnification under this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it shall notify the Company in writing of such claim (hereinafter referred to as the “</w:t>
      </w:r>
      <w:r>
        <w:rPr>
          <w:rFonts w:ascii="Times New Roman" w:cs="Times New Roman" w:eastAsia="Times New Roman" w:hAnsi="Times New Roman"/>
          <w:sz w:val="18"/>
          <w:szCs w:val="18"/>
          <w:b w:val="1"/>
          <w:bCs w:val="1"/>
          <w:i w:val="1"/>
          <w:iCs w:val="1"/>
          <w:color w:val="auto"/>
        </w:rPr>
        <w:t>Indemnified Claim</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Trustee shall have the right to conduct and manage the defense against such Indemnified Claim;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Trustee shall obtain the consent of the Company with respect to the selection of counsel, which consent shall not be unreasonably withheld. The Trustee may not agree to settle any Indemnified Claim without the prior written consent of the Company, which such consent shall not be unreasonably withheld. The Company may participate in such action with its own counsel;</w:t>
      </w:r>
    </w:p>
    <w:p>
      <w:pPr>
        <w:spacing w:after="0" w:line="194" w:lineRule="exact"/>
        <w:rPr>
          <w:rFonts w:ascii="Times New Roman" w:cs="Times New Roman" w:eastAsia="Times New Roman" w:hAnsi="Times New Roman"/>
          <w:sz w:val="18"/>
          <w:szCs w:val="18"/>
          <w:color w:val="auto"/>
        </w:rPr>
      </w:pPr>
    </w:p>
    <w:p>
      <w:pPr>
        <w:ind w:left="-8" w:right="120" w:firstLine="656"/>
        <w:spacing w:after="0" w:line="258" w:lineRule="auto"/>
        <w:tabs>
          <w:tab w:leader="none" w:pos="885"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 the Trustee the fees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including an initial acceptance fee, annual administration fee, and transaction processing fee which fees shall be subject to modification by the parties from time to time. It is expressly understood that the Property shall not be used to pay such fees unless and until it is distributed to the Company pursuant to </w:t>
      </w:r>
      <w:r>
        <w:rPr>
          <w:rFonts w:ascii="Times New Roman" w:cs="Times New Roman" w:eastAsia="Times New Roman" w:hAnsi="Times New Roman"/>
          <w:sz w:val="18"/>
          <w:szCs w:val="18"/>
          <w:u w:val="single" w:color="auto"/>
          <w:color w:val="auto"/>
        </w:rPr>
        <w:t>Sections 1(i)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1(j)</w:t>
      </w:r>
      <w:r>
        <w:rPr>
          <w:rFonts w:ascii="Times New Roman" w:cs="Times New Roman" w:eastAsia="Times New Roman" w:hAnsi="Times New Roman"/>
          <w:sz w:val="18"/>
          <w:szCs w:val="18"/>
          <w:color w:val="auto"/>
        </w:rPr>
        <w:t xml:space="preserve"> hereof. The Company shall pay the Trustee the initial acceptance fee and the first annual administration fee at the consummation of the Offering. The Company shall not be responsible for any other fees or charges of the Trustee except as set forth in this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Schedule A and as may be provided in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hereof;</w:t>
      </w:r>
    </w:p>
    <w:p>
      <w:pPr>
        <w:spacing w:after="0" w:line="39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337" w:right="359" w:bottom="1440" w:gutter="0" w:footer="0" w:header="0"/>
        </w:sectPr>
      </w:pPr>
    </w:p>
    <w:bookmarkStart w:id="89" w:name="page90"/>
    <w:bookmarkEnd w:id="89"/>
    <w:p>
      <w:pPr>
        <w:ind w:left="-8" w:right="120" w:firstLine="656"/>
        <w:spacing w:after="0" w:line="261" w:lineRule="auto"/>
        <w:tabs>
          <w:tab w:leader="none" w:pos="895"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vote of the Company’s stockholders regarding a merger, capital stock exchange, asset acquisition, stock purchase, reorganization or similar business combination involving the Company and one or more businesses (the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provide to the Trustee an affidavit or certificate of the inspector of elections for the stockholder meeting verifying the vote of such stockholders regarding such Business Combination;</w:t>
      </w:r>
    </w:p>
    <w:p>
      <w:pPr>
        <w:spacing w:after="0" w:line="179" w:lineRule="exact"/>
        <w:rPr>
          <w:rFonts w:ascii="Times New Roman" w:cs="Times New Roman" w:eastAsia="Times New Roman" w:hAnsi="Times New Roman"/>
          <w:sz w:val="18"/>
          <w:szCs w:val="18"/>
          <w:color w:val="auto"/>
        </w:rPr>
      </w:pPr>
    </w:p>
    <w:p>
      <w:pPr>
        <w:ind w:left="-8" w:right="240" w:firstLine="656"/>
        <w:spacing w:after="0" w:line="282" w:lineRule="auto"/>
        <w:tabs>
          <w:tab w:leader="none" w:pos="885"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Underwriter with a copy of any Termination Letter(s) and/or any other correspondence that is sent to the Trustee with respect to any proposed withdrawal from the Trust Account promptly after it issues the same;</w:t>
      </w:r>
    </w:p>
    <w:p>
      <w:pPr>
        <w:spacing w:after="0" w:line="161" w:lineRule="exact"/>
        <w:rPr>
          <w:rFonts w:ascii="Times New Roman" w:cs="Times New Roman" w:eastAsia="Times New Roman" w:hAnsi="Times New Roman"/>
          <w:sz w:val="18"/>
          <w:szCs w:val="18"/>
          <w:color w:val="auto"/>
        </w:rPr>
      </w:pPr>
    </w:p>
    <w:p>
      <w:pPr>
        <w:ind w:left="-8" w:right="200" w:firstLine="656"/>
        <w:spacing w:after="0" w:line="266" w:lineRule="auto"/>
        <w:tabs>
          <w:tab w:leader="none" w:pos="865"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otherwise agreed between the Company and the Underwriter, ensure that any Instruction Letter (as defined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delivered in connection with a Termination Letter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expressly provides that the Deferred Discount is paid directly to the account or accounts directed by the Underwriter prior to any transfer of the funds held in the Trust Account to the Company or any other person;</w:t>
      </w:r>
    </w:p>
    <w:p>
      <w:pPr>
        <w:spacing w:after="0" w:line="175" w:lineRule="exact"/>
        <w:rPr>
          <w:rFonts w:ascii="Times New Roman" w:cs="Times New Roman" w:eastAsia="Times New Roman" w:hAnsi="Times New Roman"/>
          <w:sz w:val="18"/>
          <w:szCs w:val="18"/>
          <w:color w:val="auto"/>
        </w:rPr>
      </w:pPr>
    </w:p>
    <w:p>
      <w:pPr>
        <w:ind w:left="-8" w:right="80" w:firstLine="656"/>
        <w:spacing w:after="0" w:line="282" w:lineRule="auto"/>
        <w:tabs>
          <w:tab w:leader="none" w:pos="895"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 the Trustee to make only those distributions that are permitted under this Agreement, and refrain from instructing the Trustee to make any distributions that are not permitted under this Agreement; and</w:t>
      </w:r>
    </w:p>
    <w:p>
      <w:pPr>
        <w:spacing w:after="0" w:line="161" w:lineRule="exact"/>
        <w:rPr>
          <w:rFonts w:ascii="Times New Roman" w:cs="Times New Roman" w:eastAsia="Times New Roman" w:hAnsi="Times New Roman"/>
          <w:sz w:val="18"/>
          <w:szCs w:val="18"/>
          <w:color w:val="auto"/>
        </w:rPr>
      </w:pPr>
    </w:p>
    <w:p>
      <w:pPr>
        <w:ind w:left="-8" w:right="400" w:firstLine="656"/>
        <w:spacing w:after="0" w:line="282" w:lineRule="auto"/>
        <w:tabs>
          <w:tab w:leader="none" w:pos="895"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four (4) business days after the Underwriter exercises the over-allotment option (or any unexercised portion thereof) or such over-allotment option expires, provide the Trustee with a notice in writing of the total amount of the Deferred Discount.</w:t>
      </w:r>
    </w:p>
    <w:p>
      <w:pPr>
        <w:spacing w:after="0" w:line="161"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of Liability</w:t>
      </w:r>
      <w:r>
        <w:rPr>
          <w:rFonts w:ascii="Times New Roman" w:cs="Times New Roman" w:eastAsia="Times New Roman" w:hAnsi="Times New Roman"/>
          <w:sz w:val="18"/>
          <w:szCs w:val="18"/>
          <w:color w:val="auto"/>
        </w:rPr>
        <w:t>. The Trustee shall have no responsibility or liability to:</w:t>
      </w:r>
    </w:p>
    <w:p>
      <w:pPr>
        <w:spacing w:after="0" w:line="225" w:lineRule="exact"/>
        <w:rPr>
          <w:rFonts w:ascii="Times New Roman" w:cs="Times New Roman" w:eastAsia="Times New Roman" w:hAnsi="Times New Roman"/>
          <w:sz w:val="18"/>
          <w:szCs w:val="18"/>
          <w:color w:val="auto"/>
        </w:rPr>
      </w:pPr>
    </w:p>
    <w:p>
      <w:pPr>
        <w:ind w:left="-8" w:right="160" w:firstLine="656"/>
        <w:spacing w:after="0" w:line="282" w:lineRule="auto"/>
        <w:tabs>
          <w:tab w:leader="none" w:pos="885"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Imply obligations, perform duties, inquire or otherwise be subject to the provisions of any agreement or document other than this Agreement and that which is expressly set forth herein;</w:t>
      </w:r>
    </w:p>
    <w:p>
      <w:pPr>
        <w:spacing w:after="0" w:line="161" w:lineRule="exact"/>
        <w:rPr>
          <w:rFonts w:ascii="Times New Roman" w:cs="Times New Roman" w:eastAsia="Times New Roman" w:hAnsi="Times New Roman"/>
          <w:sz w:val="18"/>
          <w:szCs w:val="18"/>
          <w:color w:val="auto"/>
        </w:rPr>
      </w:pPr>
    </w:p>
    <w:p>
      <w:pPr>
        <w:ind w:left="-8" w:firstLine="656"/>
        <w:spacing w:after="0" w:line="282" w:lineRule="auto"/>
        <w:tabs>
          <w:tab w:leader="none" w:pos="895"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Take any action with respect to the Property, other than as directed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hereof, and the Trustee shall have no liability to any third party except for liability arising out of the Trustee’s gross negligence, fraud or willful misconduct;</w:t>
      </w:r>
    </w:p>
    <w:p>
      <w:pPr>
        <w:spacing w:after="0" w:line="161" w:lineRule="exact"/>
        <w:rPr>
          <w:rFonts w:ascii="Times New Roman" w:cs="Times New Roman" w:eastAsia="Times New Roman" w:hAnsi="Times New Roman"/>
          <w:sz w:val="18"/>
          <w:szCs w:val="18"/>
          <w:color w:val="auto"/>
        </w:rPr>
      </w:pPr>
    </w:p>
    <w:p>
      <w:pPr>
        <w:jc w:val="both"/>
        <w:ind w:left="-8" w:right="260" w:firstLine="656"/>
        <w:spacing w:after="0" w:line="266" w:lineRule="auto"/>
        <w:tabs>
          <w:tab w:leader="none" w:pos="885"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any proceeding for the collection of any principal and income arising from, or institute, appear in or defend any proceeding of any kind with respect to, any of the Property unless and until it shall have received instructions from the Company given as provided herein to do so and the Company shall have advanced or guaranteed to it funds sufficient to pay any expenses incident thereto;</w:t>
      </w:r>
    </w:p>
    <w:p>
      <w:pPr>
        <w:spacing w:after="0" w:line="175" w:lineRule="exact"/>
        <w:rPr>
          <w:rFonts w:ascii="Times New Roman" w:cs="Times New Roman" w:eastAsia="Times New Roman" w:hAnsi="Times New Roman"/>
          <w:sz w:val="18"/>
          <w:szCs w:val="18"/>
          <w:color w:val="auto"/>
        </w:rPr>
      </w:pPr>
    </w:p>
    <w:p>
      <w:pPr>
        <w:ind w:left="912" w:hanging="264"/>
        <w:spacing w:after="0"/>
        <w:tabs>
          <w:tab w:leader="none" w:pos="912"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Refund any depreciation in principal of any Property;</w:t>
      </w:r>
    </w:p>
    <w:p>
      <w:pPr>
        <w:spacing w:after="0" w:line="225" w:lineRule="exact"/>
        <w:rPr>
          <w:rFonts w:ascii="Times New Roman" w:cs="Times New Roman" w:eastAsia="Times New Roman" w:hAnsi="Times New Roman"/>
          <w:sz w:val="18"/>
          <w:szCs w:val="18"/>
          <w:color w:val="auto"/>
        </w:rPr>
      </w:pPr>
    </w:p>
    <w:p>
      <w:pPr>
        <w:ind w:left="-8" w:right="320" w:firstLine="656"/>
        <w:spacing w:after="0" w:line="282" w:lineRule="auto"/>
        <w:tabs>
          <w:tab w:leader="none" w:pos="885"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that the authority of any person designated by the Company to give instructions hereunder shall not be continuing unless provided otherwise in such designation, or unless the Company shall have delivered a written revocation of such authority to the Trustee;</w:t>
      </w:r>
    </w:p>
    <w:p>
      <w:pPr>
        <w:spacing w:after="0" w:line="161" w:lineRule="exact"/>
        <w:rPr>
          <w:rFonts w:ascii="Times New Roman" w:cs="Times New Roman" w:eastAsia="Times New Roman" w:hAnsi="Times New Roman"/>
          <w:sz w:val="18"/>
          <w:szCs w:val="18"/>
          <w:color w:val="auto"/>
        </w:rPr>
      </w:pPr>
    </w:p>
    <w:p>
      <w:pPr>
        <w:ind w:left="-8" w:right="40" w:firstLine="656"/>
        <w:spacing w:after="0" w:line="272" w:lineRule="auto"/>
        <w:tabs>
          <w:tab w:leader="none" w:pos="865"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other parties hereto or to anyone else for any action taken or omitted by it, or any action suffered by it to be taken or omitted, in good faith and in the Trustee’s best judgment, except for the Trustee’s gross negligence, fraud or willful misconduct. The Trustee may rely conclusively and shall be protected in acting upon any order, notice, demand, certificate, opinion or advice of counsel (including counsel chosen by the Trustee, which counsel may be the Company’s counsel), statement, instrument, report or other paper or document (not only as to its due execution and the validity and effectiveness of its provisions, but also as to the truth and acceptability of any information therein contained) which the Trustee believes, in good faith and with reasonable care, to be genuine and to be signed or presented by the proper person or persons. The Trustee shall not be bound by any notice or demand, or any waiver, modification, termination or rescission of this Agreement or any of the terms hereof, unless evidenced by a written instrument delivered to the Trustee, signed by the proper party or parties and, if the duties or rights of the Trustee are affected, unless it shall give its prior written consent thereto;</w:t>
      </w:r>
    </w:p>
    <w:p>
      <w:pPr>
        <w:spacing w:after="0" w:line="388"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2"/>
          </w:cols>
          <w:pgMar w:left="328" w:top="337" w:right="379" w:bottom="1440" w:gutter="0" w:footer="0" w:header="0"/>
        </w:sectPr>
      </w:pPr>
    </w:p>
    <w:bookmarkStart w:id="90" w:name="page91"/>
    <w:bookmarkEnd w:id="90"/>
    <w:p>
      <w:pPr>
        <w:ind w:left="912" w:hanging="264"/>
        <w:spacing w:after="0"/>
        <w:tabs>
          <w:tab w:leader="none" w:pos="912"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 the accuracy of the information contained in the Registration Statement;</w:t>
      </w:r>
    </w:p>
    <w:p>
      <w:pPr>
        <w:spacing w:after="0" w:line="225" w:lineRule="exact"/>
        <w:rPr>
          <w:rFonts w:ascii="Times New Roman" w:cs="Times New Roman" w:eastAsia="Times New Roman" w:hAnsi="Times New Roman"/>
          <w:sz w:val="18"/>
          <w:szCs w:val="18"/>
          <w:color w:val="auto"/>
        </w:rPr>
      </w:pPr>
    </w:p>
    <w:p>
      <w:pPr>
        <w:ind w:left="-8" w:right="860" w:firstLine="656"/>
        <w:spacing w:after="0" w:line="282" w:lineRule="auto"/>
        <w:tabs>
          <w:tab w:leader="none" w:pos="895"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assurance that any Business Combination entered into by the Company or any other action taken by the Company is as contemplated by the Registration Statement;</w:t>
      </w:r>
    </w:p>
    <w:p>
      <w:pPr>
        <w:spacing w:after="0" w:line="161" w:lineRule="exact"/>
        <w:rPr>
          <w:rFonts w:ascii="Times New Roman" w:cs="Times New Roman" w:eastAsia="Times New Roman" w:hAnsi="Times New Roman"/>
          <w:sz w:val="18"/>
          <w:szCs w:val="18"/>
          <w:color w:val="auto"/>
        </w:rPr>
      </w:pPr>
    </w:p>
    <w:p>
      <w:pPr>
        <w:ind w:left="-8" w:right="20" w:firstLine="656"/>
        <w:spacing w:after="0" w:line="282" w:lineRule="auto"/>
        <w:tabs>
          <w:tab w:leader="none" w:pos="855"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information returns with respect to the Trust Account with any local, state or federal taxing authority or provide periodic written statements to the Company documenting the taxes payable by the Company, if any, relating to any interest income earned on the Property;</w:t>
      </w:r>
    </w:p>
    <w:p>
      <w:pPr>
        <w:spacing w:after="0" w:line="161" w:lineRule="exact"/>
        <w:rPr>
          <w:rFonts w:ascii="Times New Roman" w:cs="Times New Roman" w:eastAsia="Times New Roman" w:hAnsi="Times New Roman"/>
          <w:sz w:val="18"/>
          <w:szCs w:val="18"/>
          <w:color w:val="auto"/>
        </w:rPr>
      </w:pPr>
    </w:p>
    <w:p>
      <w:pPr>
        <w:ind w:left="-8" w:firstLine="656"/>
        <w:spacing w:after="0" w:line="266" w:lineRule="auto"/>
        <w:tabs>
          <w:tab w:leader="none" w:pos="855"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Prepare, execute and file tax reports, income or other tax returns and pay any taxes with respect to any income generated by, and activities relating to, the Trust Account, regardless of whether such tax is payable by the Trust Account or the Company, including, but not limited to, tax obligations, except pursuant to </w:t>
      </w:r>
      <w:r>
        <w:rPr>
          <w:rFonts w:ascii="Times New Roman" w:cs="Times New Roman" w:eastAsia="Times New Roman" w:hAnsi="Times New Roman"/>
          <w:sz w:val="18"/>
          <w:szCs w:val="18"/>
          <w:u w:val="single" w:color="auto"/>
          <w:color w:val="auto"/>
        </w:rPr>
        <w:t>Section 1(j)</w:t>
      </w:r>
      <w:r>
        <w:rPr>
          <w:rFonts w:ascii="Times New Roman" w:cs="Times New Roman" w:eastAsia="Times New Roman" w:hAnsi="Times New Roman"/>
          <w:sz w:val="18"/>
          <w:szCs w:val="18"/>
          <w:color w:val="auto"/>
        </w:rPr>
        <w:t xml:space="preserve"> hereof; or</w:t>
      </w:r>
    </w:p>
    <w:p>
      <w:pPr>
        <w:spacing w:after="0" w:line="175" w:lineRule="exact"/>
        <w:rPr>
          <w:rFonts w:ascii="Times New Roman" w:cs="Times New Roman" w:eastAsia="Times New Roman" w:hAnsi="Times New Roman"/>
          <w:sz w:val="18"/>
          <w:szCs w:val="18"/>
          <w:color w:val="auto"/>
        </w:rPr>
      </w:pPr>
    </w:p>
    <w:p>
      <w:pPr>
        <w:ind w:left="912" w:hanging="264"/>
        <w:spacing w:after="0"/>
        <w:tabs>
          <w:tab w:leader="none" w:pos="912"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Verify calculations, qualify or otherwise approve the Company’s written requests for distributions pursuant to </w:t>
      </w:r>
      <w:r>
        <w:rPr>
          <w:rFonts w:ascii="Times New Roman" w:cs="Times New Roman" w:eastAsia="Times New Roman" w:hAnsi="Times New Roman"/>
          <w:sz w:val="18"/>
          <w:szCs w:val="18"/>
          <w:u w:val="single" w:color="auto"/>
          <w:color w:val="auto"/>
        </w:rPr>
        <w:t>Sections 1(i)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1(j)</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1(k)</w:t>
      </w:r>
      <w:r>
        <w:rPr>
          <w:rFonts w:ascii="Times New Roman" w:cs="Times New Roman" w:eastAsia="Times New Roman" w:hAnsi="Times New Roman"/>
          <w:sz w:val="18"/>
          <w:szCs w:val="18"/>
          <w:color w:val="auto"/>
        </w:rPr>
        <w:t xml:space="preserve"> hereof.</w:t>
      </w:r>
    </w:p>
    <w:p>
      <w:pPr>
        <w:spacing w:after="0" w:line="221" w:lineRule="exact"/>
        <w:rPr>
          <w:rFonts w:ascii="Times New Roman" w:cs="Times New Roman" w:eastAsia="Times New Roman" w:hAnsi="Times New Roman"/>
          <w:sz w:val="18"/>
          <w:szCs w:val="18"/>
          <w:color w:val="auto"/>
        </w:rPr>
      </w:pPr>
    </w:p>
    <w:p>
      <w:pPr>
        <w:ind w:left="-8" w:right="40" w:firstLine="8"/>
        <w:spacing w:after="0" w:line="282" w:lineRule="auto"/>
        <w:tabs>
          <w:tab w:leader="none" w:pos="172"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Trust Account Waiver</w:t>
      </w:r>
      <w:r>
        <w:rPr>
          <w:rFonts w:ascii="Times New Roman" w:cs="Times New Roman" w:eastAsia="Times New Roman" w:hAnsi="Times New Roman"/>
          <w:sz w:val="17"/>
          <w:szCs w:val="17"/>
          <w:color w:val="auto"/>
        </w:rPr>
        <w:t>. The Trustee has no right of set-off or any right, title, interest or claim of any kind (“</w:t>
      </w:r>
      <w:r>
        <w:rPr>
          <w:rFonts w:ascii="Times New Roman" w:cs="Times New Roman" w:eastAsia="Times New Roman" w:hAnsi="Times New Roman"/>
          <w:sz w:val="17"/>
          <w:szCs w:val="17"/>
          <w:b w:val="1"/>
          <w:bCs w:val="1"/>
          <w:i w:val="1"/>
          <w:iCs w:val="1"/>
          <w:color w:val="auto"/>
        </w:rPr>
        <w:t>Claim</w:t>
      </w:r>
      <w:r>
        <w:rPr>
          <w:rFonts w:ascii="Times New Roman" w:cs="Times New Roman" w:eastAsia="Times New Roman" w:hAnsi="Times New Roman"/>
          <w:sz w:val="17"/>
          <w:szCs w:val="17"/>
          <w:color w:val="auto"/>
        </w:rPr>
        <w:t xml:space="preserve">”) to, or to any monies in, the Trust Account, and hereby irrevocably waives any Claim to, or to any monies in, the Trust Account that it may have now or in the future. In the event the Trustee has any Claim against the Company under this Agreement, including, without limitation, under </w:t>
      </w:r>
      <w:r>
        <w:rPr>
          <w:rFonts w:ascii="Times New Roman" w:cs="Times New Roman" w:eastAsia="Times New Roman" w:hAnsi="Times New Roman"/>
          <w:sz w:val="17"/>
          <w:szCs w:val="17"/>
          <w:u w:val="single" w:color="auto"/>
          <w:color w:val="auto"/>
        </w:rPr>
        <w:t>Section 2(b)</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2(c)</w:t>
      </w:r>
      <w:r>
        <w:rPr>
          <w:rFonts w:ascii="Times New Roman" w:cs="Times New Roman" w:eastAsia="Times New Roman" w:hAnsi="Times New Roman"/>
          <w:sz w:val="17"/>
          <w:szCs w:val="17"/>
          <w:color w:val="auto"/>
        </w:rPr>
        <w:t xml:space="preserve"> hereof, the Trustee shall pursue such Claim solely against the Company and its assets outside the Trust Account and not against the Property or any monies in the Trust Account.</w:t>
      </w:r>
    </w:p>
    <w:p>
      <w:pPr>
        <w:spacing w:after="0" w:line="165" w:lineRule="exact"/>
        <w:rPr>
          <w:rFonts w:ascii="Times New Roman" w:cs="Times New Roman" w:eastAsia="Times New Roman" w:hAnsi="Times New Roman"/>
          <w:sz w:val="17"/>
          <w:szCs w:val="17"/>
          <w:color w:val="auto"/>
        </w:rPr>
      </w:pPr>
    </w:p>
    <w:p>
      <w:pPr>
        <w:ind w:left="652" w:hanging="652"/>
        <w:spacing w:after="0"/>
        <w:tabs>
          <w:tab w:leader="none" w:pos="65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shall terminate as follows:</w:t>
      </w:r>
    </w:p>
    <w:p>
      <w:pPr>
        <w:spacing w:after="0" w:line="225" w:lineRule="exact"/>
        <w:rPr>
          <w:rFonts w:ascii="Times New Roman" w:cs="Times New Roman" w:eastAsia="Times New Roman" w:hAnsi="Times New Roman"/>
          <w:sz w:val="18"/>
          <w:szCs w:val="18"/>
          <w:color w:val="auto"/>
        </w:rPr>
      </w:pPr>
    </w:p>
    <w:p>
      <w:pPr>
        <w:ind w:left="-8" w:right="20" w:firstLine="656"/>
        <w:spacing w:after="0" w:line="254" w:lineRule="auto"/>
        <w:tabs>
          <w:tab w:leader="none" w:pos="885"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Trustee gives written notice to the Company that it desires to resign under this Agreement, the Company shall use its reasonable efforts to locate a successor trustee, pending which the Trustee shall continue to act in accordance with this Agreement. At such time that the Company notifies the Trustee that a successor trustee has been appointed and has agreed to become subject to the terms of this Agreement, the Trustee shall transfer the management of the Trust Account to the successor trustee, including but not limited to the transfer of copies of the reports and statements relating to the Trust Account, whereupon this Agreement shall terminate;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the Company does not locate a successor trustee within ninety (90) days of receipt of the resignation notice from the Trustee, the Trustee may submit an application to have the Property deposited with any court in the State of New York or with the United States District Court for the Southern District of New York and upon such deposit, the Trustee shall be immune from any liability whatsoever; or</w:t>
      </w:r>
    </w:p>
    <w:p>
      <w:pPr>
        <w:spacing w:after="0" w:line="191" w:lineRule="exact"/>
        <w:rPr>
          <w:rFonts w:ascii="Times New Roman" w:cs="Times New Roman" w:eastAsia="Times New Roman" w:hAnsi="Times New Roman"/>
          <w:sz w:val="18"/>
          <w:szCs w:val="18"/>
          <w:color w:val="auto"/>
        </w:rPr>
      </w:pPr>
    </w:p>
    <w:p>
      <w:pPr>
        <w:ind w:left="-8" w:right="340" w:firstLine="656"/>
        <w:spacing w:after="0" w:line="266" w:lineRule="auto"/>
        <w:tabs>
          <w:tab w:leader="none" w:pos="895"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such time that the Trustee has completed the liquidation of the Trust Account and its obligations in accordance with the provisions of </w:t>
      </w:r>
      <w:r>
        <w:rPr>
          <w:rFonts w:ascii="Times New Roman" w:cs="Times New Roman" w:eastAsia="Times New Roman" w:hAnsi="Times New Roman"/>
          <w:sz w:val="18"/>
          <w:szCs w:val="18"/>
          <w:u w:val="single" w:color="auto"/>
          <w:color w:val="auto"/>
        </w:rPr>
        <w:t>Section 1(i)</w:t>
      </w:r>
      <w:r>
        <w:rPr>
          <w:rFonts w:ascii="Times New Roman" w:cs="Times New Roman" w:eastAsia="Times New Roman" w:hAnsi="Times New Roman"/>
          <w:sz w:val="18"/>
          <w:szCs w:val="18"/>
          <w:color w:val="auto"/>
        </w:rPr>
        <w:t xml:space="preserve"> hereof and distributed the Property in accordance with the provisions of the Termination Letter, this Agreement shall terminate except with respect to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337" w:right="339" w:bottom="1440" w:gutter="0" w:footer="0" w:header="0"/>
        </w:sectPr>
      </w:pPr>
    </w:p>
    <w:bookmarkStart w:id="91" w:name="page92"/>
    <w:bookmarkEnd w:id="91"/>
    <w:p>
      <w:pPr>
        <w:ind w:left="652" w:hanging="652"/>
        <w:spacing w:after="0"/>
        <w:tabs>
          <w:tab w:leader="none" w:pos="65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 w:firstLine="656"/>
        <w:spacing w:after="0" w:line="255" w:lineRule="auto"/>
        <w:tabs>
          <w:tab w:leader="none" w:pos="885"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Trustee each acknowledge that the Trustee will follow the security procedures set forth below with respect to funds transferred from the Trust Account. The Company and the Trustee will each restrict access to confidential information relating to such security procedures to authorized persons. Each party must notify the other party immediately if it has reason to believe unauthorized persons may have obtained access to such confidential information, or of any change in its authorized personnel. In executing funds transfers, the Trustee shall rely upon all information supplied to it by the Company, including, account names, account numbers, and all other identifying information relating to a Beneficiary, Beneficiary’s bank or intermediary bank. Except for any liability arising out of the Trustee’s gross negligence, fraud or willful misconduct, the Trustee shall not be liable for any loss, liability or expense resulting from any error in the information or transmission of the funds.</w:t>
      </w:r>
    </w:p>
    <w:p>
      <w:pPr>
        <w:spacing w:after="0" w:line="188" w:lineRule="exact"/>
        <w:rPr>
          <w:rFonts w:ascii="Times New Roman" w:cs="Times New Roman" w:eastAsia="Times New Roman" w:hAnsi="Times New Roman"/>
          <w:sz w:val="18"/>
          <w:szCs w:val="18"/>
          <w:color w:val="auto"/>
        </w:rPr>
      </w:pPr>
    </w:p>
    <w:p>
      <w:pPr>
        <w:ind w:left="-8" w:right="100" w:firstLine="656"/>
        <w:spacing w:after="0" w:line="312" w:lineRule="auto"/>
        <w:tabs>
          <w:tab w:leader="none" w:pos="895"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shall be governed by and construed and enforced in accordance with the laws of the State of New York. This Agreement may be executed in several original or facsimile counterparts, each one of which shall constitute an original, and together shall constitute but one instrument.</w:t>
      </w:r>
    </w:p>
    <w:p>
      <w:pPr>
        <w:spacing w:after="0" w:line="139" w:lineRule="exact"/>
        <w:rPr>
          <w:rFonts w:ascii="Times New Roman" w:cs="Times New Roman" w:eastAsia="Times New Roman" w:hAnsi="Times New Roman"/>
          <w:sz w:val="17"/>
          <w:szCs w:val="17"/>
          <w:color w:val="auto"/>
        </w:rPr>
      </w:pPr>
    </w:p>
    <w:p>
      <w:pPr>
        <w:ind w:left="-8" w:firstLine="656"/>
        <w:spacing w:after="0" w:line="252" w:lineRule="auto"/>
        <w:tabs>
          <w:tab w:leader="none" w:pos="885"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contains the entire agreement and understanding of the parties hereto with respect to the subject matter hereof. Except for </w:t>
      </w:r>
      <w:r>
        <w:rPr>
          <w:rFonts w:ascii="Times New Roman" w:cs="Times New Roman" w:eastAsia="Times New Roman" w:hAnsi="Times New Roman"/>
          <w:sz w:val="18"/>
          <w:szCs w:val="18"/>
          <w:u w:val="single" w:color="auto"/>
          <w:color w:val="auto"/>
        </w:rPr>
        <w:t>Section 1(i)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1(l)</w:t>
      </w:r>
      <w:r>
        <w:rPr>
          <w:rFonts w:ascii="Times New Roman" w:cs="Times New Roman" w:eastAsia="Times New Roman" w:hAnsi="Times New Roman"/>
          <w:sz w:val="18"/>
          <w:szCs w:val="18"/>
          <w:color w:val="auto"/>
        </w:rPr>
        <w:t xml:space="preserve"> hereof (which sections may not be modified, amended or deleted without the Consent of the Stockholders;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no such amendment will affect any Public Stockholder who has otherwise indicated his election to redeem his shares of Common Stock in connection with a stockholder vote sought to amend this Agreement or the amended and restated certificate of incorporation to modify the substance or timing of the Company’s obligation to redeem 100% of the public shares if the Company does not complete its initial Business Combination within the time frame specified in the Company’s amended and restated certificate of incorporation or with respect to any other material provisions relating to stockholders’ rights or pre-initial business combination activity), this Agreement or any provision hereof may only be changed, amended or modified (other than to correct a typographical error) by a writing signed by each of the parties hereto. For purposes of this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 the “Consent of the Stockholders” means receipt by the Trustee of a certificate from the inspector of elections of the stockholder meeting certifying that the Company’s stockholders of record as of a record date established in accordance with Section 213(a) of the Delaware General Corporation Law, as amended (“DGCL”) (or any successor rule), who hold sixty-five percent (65%) or more of all then outstanding shares of the Common Stock and Class B common stock, par value $0.0001 per share, of the Company voting together as a single class, have voted in favor of such change, amendment or modification. Except for any liability arising out of the Trustee’s gross negligence, fraud or willful misconduct, the Trustee may rely conclusively on the certification from the inspector or elections referenced above and shall be relieved of all liability to any party for executing the proposed amendment in reliance thereon.</w:t>
      </w:r>
    </w:p>
    <w:p>
      <w:pPr>
        <w:spacing w:after="0" w:line="197" w:lineRule="exact"/>
        <w:rPr>
          <w:rFonts w:ascii="Times New Roman" w:cs="Times New Roman" w:eastAsia="Times New Roman" w:hAnsi="Times New Roman"/>
          <w:sz w:val="18"/>
          <w:szCs w:val="18"/>
          <w:color w:val="auto"/>
        </w:rPr>
      </w:pPr>
    </w:p>
    <w:p>
      <w:pPr>
        <w:ind w:left="-8" w:right="220" w:firstLine="656"/>
        <w:spacing w:after="0" w:line="266" w:lineRule="auto"/>
        <w:tabs>
          <w:tab w:leader="none" w:pos="895"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consent to the jurisdiction and venue of any state or federal court located in the City of New York, State of New York, for purposes of resolving any disputes hereunder. AS TO ANY CLAIM, CROSS-CLAIM OR COUNTERCLAIM IN ANY WAY RELATING TO THIS AGREEMENT, EACH PARTY WAIVES THE RIGHT TO TRIAL BY JURY.</w:t>
      </w:r>
    </w:p>
    <w:p>
      <w:pPr>
        <w:spacing w:after="0" w:line="175" w:lineRule="exact"/>
        <w:rPr>
          <w:rFonts w:ascii="Times New Roman" w:cs="Times New Roman" w:eastAsia="Times New Roman" w:hAnsi="Times New Roman"/>
          <w:sz w:val="18"/>
          <w:szCs w:val="18"/>
          <w:color w:val="auto"/>
        </w:rPr>
      </w:pPr>
    </w:p>
    <w:p>
      <w:pPr>
        <w:ind w:left="-8" w:right="100" w:firstLine="656"/>
        <w:spacing w:after="0" w:line="282" w:lineRule="auto"/>
        <w:tabs>
          <w:tab w:leader="none" w:pos="885"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consent or request to be given in connection with any of the terms or provisions of this Agreement shall be in writing and shall be sent by express mail or similar private courier service, by certified mail (return receipt requested), by hand delivery or by electronic mail:</w:t>
      </w:r>
    </w:p>
    <w:p>
      <w:pPr>
        <w:spacing w:after="0" w:line="162"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if to the Trustee, to:</w:t>
      </w:r>
    </w:p>
    <w:p>
      <w:pPr>
        <w:spacing w:after="0" w:line="225"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7"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1 State Street, 30th Floor</w:t>
      </w:r>
    </w:p>
    <w:p>
      <w:pPr>
        <w:spacing w:after="0" w:line="9"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9"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Attn: Francis Wolf and Celeste Gonzalez</w:t>
      </w:r>
    </w:p>
    <w:p>
      <w:pPr>
        <w:spacing w:after="0" w:line="9"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Email: fwolf@continentalstock.com</w:t>
      </w:r>
    </w:p>
    <w:p>
      <w:pPr>
        <w:spacing w:after="0" w:line="9"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Email: cgonzalez@continentalstock.com</w:t>
      </w:r>
    </w:p>
    <w:p>
      <w:pPr>
        <w:spacing w:after="0" w:line="200" w:lineRule="exact"/>
        <w:rPr>
          <w:sz w:val="20"/>
          <w:szCs w:val="20"/>
          <w:color w:val="auto"/>
        </w:rPr>
      </w:pPr>
    </w:p>
    <w:p>
      <w:pPr>
        <w:spacing w:after="0" w:line="22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337" w:right="359" w:bottom="1440" w:gutter="0" w:footer="0" w:header="0"/>
        </w:sectPr>
      </w:pPr>
    </w:p>
    <w:bookmarkStart w:id="92" w:name="page93"/>
    <w:bookmarkEnd w:id="92"/>
    <w:p>
      <w:pPr>
        <w:ind w:left="644"/>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CM Life Sciences, Inc.</w:t>
      </w:r>
    </w:p>
    <w:p>
      <w:pPr>
        <w:spacing w:after="0" w:line="27"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c/o Corvex Management LP</w:t>
      </w:r>
    </w:p>
    <w:p>
      <w:pPr>
        <w:spacing w:after="0" w:line="9"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667 Madison Avenue</w:t>
      </w:r>
    </w:p>
    <w:p>
      <w:pPr>
        <w:spacing w:after="0" w:line="9"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New York, New York 10065</w:t>
      </w:r>
    </w:p>
    <w:p>
      <w:pPr>
        <w:spacing w:after="0" w:line="9"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Attn: Eli Casdin and Brian Emes</w:t>
      </w:r>
    </w:p>
    <w:p>
      <w:pPr>
        <w:spacing w:after="0" w:line="9"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Email: eli@casdincapital.com</w:t>
      </w:r>
    </w:p>
    <w:p>
      <w:pPr>
        <w:spacing w:after="0" w:line="9"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Email: bemes@corvexcap.com</w:t>
      </w:r>
    </w:p>
    <w:p>
      <w:pPr>
        <w:spacing w:after="0" w:line="207"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in each case, with copies to:</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27"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1221 Avenue of the Americas</w:t>
      </w:r>
    </w:p>
    <w:p>
      <w:pPr>
        <w:spacing w:after="0" w:line="9"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New York, New York 10020</w:t>
      </w:r>
    </w:p>
    <w:p>
      <w:pPr>
        <w:spacing w:after="0" w:line="9"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Attn: Joel L. Rubinstein</w:t>
      </w:r>
    </w:p>
    <w:p>
      <w:pPr>
        <w:spacing w:after="0" w:line="9"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Email: joel.rubinstein@whitecase.com</w:t>
      </w:r>
    </w:p>
    <w:p>
      <w:pPr>
        <w:spacing w:after="0" w:line="207"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9"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Facsimile: (646) 619-4437</w:t>
      </w:r>
    </w:p>
    <w:p>
      <w:pPr>
        <w:spacing w:after="0" w:line="207"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Skadden, Arps, Slate, Meagher &amp; Flom LLP</w:t>
      </w:r>
    </w:p>
    <w:p>
      <w:pPr>
        <w:spacing w:after="0" w:line="27"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525 University Avenue, Suite 1400</w:t>
      </w:r>
    </w:p>
    <w:p>
      <w:pPr>
        <w:spacing w:after="0" w:line="9"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Palo Alto, California 94301</w:t>
      </w:r>
    </w:p>
    <w:p>
      <w:pPr>
        <w:spacing w:after="0" w:line="9"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Attn.: Gregg Noel</w:t>
      </w:r>
    </w:p>
    <w:p>
      <w:pPr>
        <w:spacing w:after="0" w:line="9"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Email: gregg.noel@skadden.com</w:t>
      </w:r>
    </w:p>
    <w:p>
      <w:pPr>
        <w:spacing w:after="0" w:line="207" w:lineRule="exact"/>
        <w:rPr>
          <w:sz w:val="20"/>
          <w:szCs w:val="20"/>
          <w:color w:val="auto"/>
        </w:rPr>
      </w:pPr>
    </w:p>
    <w:p>
      <w:pPr>
        <w:ind w:left="-656" w:firstLine="656"/>
        <w:spacing w:after="0" w:line="266" w:lineRule="auto"/>
        <w:tabs>
          <w:tab w:leader="none" w:pos="21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the Trustee hereby represents that it has the full right and power and has been duly authorized to enter into this Agreement and to perform its respective obligations as contemplated hereunder. The Trustee acknowledges and agrees that it shall not make any claims or proceed against the Trust Account, including by way of set-off, and shall not be entitled to any funds in the Trust Account under any circumstance.</w:t>
      </w:r>
    </w:p>
    <w:p>
      <w:pPr>
        <w:spacing w:after="0" w:line="175" w:lineRule="exact"/>
        <w:rPr>
          <w:rFonts w:ascii="Times New Roman" w:cs="Times New Roman" w:eastAsia="Times New Roman" w:hAnsi="Times New Roman"/>
          <w:sz w:val="18"/>
          <w:szCs w:val="18"/>
          <w:color w:val="auto"/>
        </w:rPr>
      </w:pPr>
    </w:p>
    <w:p>
      <w:pPr>
        <w:ind w:left="-656" w:right="180" w:firstLine="656"/>
        <w:spacing w:after="0" w:line="282" w:lineRule="auto"/>
        <w:tabs>
          <w:tab w:leader="none" w:pos="24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the joint product of the Trustee and the Company and each provision hereof has been subject to the mutual consultation, negotiation and agreement of such parties and shall not be construed for or against any party hereto.</w:t>
      </w:r>
    </w:p>
    <w:p>
      <w:pPr>
        <w:spacing w:after="0" w:line="161" w:lineRule="exact"/>
        <w:rPr>
          <w:rFonts w:ascii="Times New Roman" w:cs="Times New Roman" w:eastAsia="Times New Roman" w:hAnsi="Times New Roman"/>
          <w:sz w:val="18"/>
          <w:szCs w:val="18"/>
          <w:color w:val="auto"/>
        </w:rPr>
      </w:pPr>
    </w:p>
    <w:p>
      <w:pPr>
        <w:ind w:left="-656" w:right="200" w:firstLine="656"/>
        <w:spacing w:after="0" w:line="266" w:lineRule="auto"/>
        <w:tabs>
          <w:tab w:leader="none" w:pos="24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any number of counterparts, each of which shall be deemed to be an original, but all such counterparts shall together constitute one and the same instrument. Delivery of a signed counterpart of this Agreement by facsimile or electronic transmission shall constitute valid and sufficient delivery thereof.</w:t>
      </w:r>
    </w:p>
    <w:p>
      <w:pPr>
        <w:spacing w:after="0" w:line="175"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the Trustee hereby acknowledges and agrees that the Underwriter is a third- party beneficiary of this Agreement.</w:t>
      </w:r>
    </w:p>
    <w:p>
      <w:pPr>
        <w:spacing w:after="0" w:line="225" w:lineRule="exact"/>
        <w:rPr>
          <w:rFonts w:ascii="Times New Roman" w:cs="Times New Roman" w:eastAsia="Times New Roman" w:hAnsi="Times New Roman"/>
          <w:sz w:val="18"/>
          <w:szCs w:val="18"/>
          <w:color w:val="auto"/>
        </w:rPr>
      </w:pPr>
    </w:p>
    <w:p>
      <w:pPr>
        <w:ind w:left="4044" w:right="40" w:hanging="4044"/>
        <w:spacing w:after="0" w:line="500" w:lineRule="auto"/>
        <w:tabs>
          <w:tab w:leader="none" w:pos="21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specified herein, no party to this Agreement may assign its rights or delegate its obligations hereunder to any other person or entity. [</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49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4"/>
          </w:cols>
          <w:pgMar w:left="976" w:top="337" w:right="4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duly executed this Investment Management Trust Agreement as of the date first written above.</w:t>
      </w:r>
    </w:p>
    <w:p>
      <w:pPr>
        <w:spacing w:after="0" w:line="24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CONTINENTAL STOCK TRANSFER &amp;</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TRUST COMPANY, as Trustee</w:t>
      </w:r>
    </w:p>
    <w:p>
      <w:pPr>
        <w:spacing w:after="0" w:line="207" w:lineRule="exact"/>
        <w:rPr>
          <w:sz w:val="20"/>
          <w:szCs w:val="20"/>
          <w:color w:val="auto"/>
        </w:rPr>
      </w:pPr>
    </w:p>
    <w:p>
      <w:pPr>
        <w:ind w:left="6100"/>
        <w:spacing w:after="0"/>
        <w:tabs>
          <w:tab w:leader="none" w:pos="6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Francis Wolf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26035</wp:posOffset>
            </wp:positionV>
            <wp:extent cx="25628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Francis Wolf</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CM LIFE SCIENCES, INC.</w:t>
      </w:r>
    </w:p>
    <w:p>
      <w:pPr>
        <w:spacing w:after="0" w:line="225" w:lineRule="exact"/>
        <w:rPr>
          <w:sz w:val="20"/>
          <w:szCs w:val="20"/>
          <w:color w:val="auto"/>
        </w:rPr>
      </w:pPr>
    </w:p>
    <w:p>
      <w:pPr>
        <w:ind w:left="6100"/>
        <w:spacing w:after="0"/>
        <w:tabs>
          <w:tab w:leader="none" w:pos="6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Brian Emes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26035</wp:posOffset>
            </wp:positionV>
            <wp:extent cx="25628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Brian Emes</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Chief Financial Officer and Secretary</w:t>
      </w:r>
    </w:p>
    <w:p>
      <w:pPr>
        <w:spacing w:after="0" w:line="20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[Signature Page to Investment Management Trust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308610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980" w:top="333" w:right="799" w:bottom="1440" w:gutter="0" w:footer="0" w:header="0"/>
        </w:sectPr>
      </w:pPr>
    </w:p>
    <w:bookmarkStart w:id="94" w:name="page95"/>
    <w:bookmarkEnd w:id="94"/>
    <w:p>
      <w:pPr>
        <w:spacing w:after="0" w:line="200" w:lineRule="exact"/>
        <w:rPr>
          <w:sz w:val="20"/>
          <w:szCs w:val="20"/>
          <w:color w:val="auto"/>
        </w:rPr>
      </w:pPr>
    </w:p>
    <w:p>
      <w:pPr>
        <w:spacing w:after="0" w:line="246" w:lineRule="exact"/>
        <w:rPr>
          <w:sz w:val="20"/>
          <w:szCs w:val="20"/>
          <w:color w:val="auto"/>
        </w:rPr>
      </w:pPr>
    </w:p>
    <w:p>
      <w:pPr>
        <w:jc w:val="center"/>
        <w:ind w:left="140"/>
        <w:spacing w:after="0"/>
        <w:rPr>
          <w:sz w:val="20"/>
          <w:szCs w:val="20"/>
          <w:color w:val="auto"/>
        </w:rPr>
      </w:pPr>
      <w:r>
        <w:rPr>
          <w:rFonts w:ascii="Times New Roman" w:cs="Times New Roman" w:eastAsia="Times New Roman" w:hAnsi="Times New Roman"/>
          <w:sz w:val="18"/>
          <w:szCs w:val="18"/>
          <w:b w:val="1"/>
          <w:bCs w:val="1"/>
          <w:color w:val="auto"/>
        </w:rPr>
        <w:t>Fee Item</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Initial set-up fee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administration fee</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Transaction processing fee for disbursements to Company under </w:t>
      </w:r>
      <w:r>
        <w:rPr>
          <w:rFonts w:ascii="Times New Roman" w:cs="Times New Roman" w:eastAsia="Times New Roman" w:hAnsi="Times New Roman"/>
          <w:sz w:val="18"/>
          <w:szCs w:val="18"/>
          <w:u w:val="single" w:color="auto"/>
          <w:color w:val="auto"/>
        </w:rPr>
        <w:t>Sections 1 and 2</w:t>
      </w:r>
    </w:p>
    <w:p>
      <w:pPr>
        <w:spacing w:after="0"/>
        <w:rPr>
          <w:sz w:val="20"/>
          <w:szCs w:val="20"/>
          <w:color w:val="auto"/>
        </w:rPr>
      </w:pPr>
      <w:r>
        <w:rPr>
          <w:rFonts w:ascii="Times New Roman" w:cs="Times New Roman" w:eastAsia="Times New Roman" w:hAnsi="Times New Roman"/>
          <w:sz w:val="18"/>
          <w:szCs w:val="18"/>
          <w:color w:val="auto"/>
        </w:rPr>
        <w:t xml:space="preserve">Paying Agent services as required pursuant to </w:t>
      </w:r>
      <w:r>
        <w:rPr>
          <w:rFonts w:ascii="Times New Roman" w:cs="Times New Roman" w:eastAsia="Times New Roman" w:hAnsi="Times New Roman"/>
          <w:sz w:val="18"/>
          <w:szCs w:val="18"/>
          <w:u w:val="single" w:color="auto"/>
          <w:color w:val="auto"/>
        </w:rPr>
        <w:t>Sections 1(i)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and 1(k)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300" w:type="dxa"/>
            <w:vAlign w:val="bottom"/>
          </w:tcPr>
          <w:p>
            <w:pPr>
              <w:spacing w:after="0"/>
              <w:rPr>
                <w:sz w:val="20"/>
                <w:szCs w:val="20"/>
                <w:color w:val="auto"/>
              </w:rPr>
            </w:pPr>
          </w:p>
        </w:tc>
        <w:tc>
          <w:tcPr>
            <w:tcW w:w="5200" w:type="dxa"/>
            <w:vAlign w:val="bottom"/>
            <w:gridSpan w:val="5"/>
          </w:tcPr>
          <w:p>
            <w:pPr>
              <w:jc w:val="center"/>
              <w:ind w:right="3600"/>
              <w:spacing w:after="0"/>
              <w:rPr>
                <w:sz w:val="20"/>
                <w:szCs w:val="20"/>
                <w:color w:val="auto"/>
              </w:rPr>
            </w:pPr>
            <w:r>
              <w:rPr>
                <w:rFonts w:ascii="Times New Roman" w:cs="Times New Roman" w:eastAsia="Times New Roman" w:hAnsi="Times New Roman"/>
                <w:sz w:val="18"/>
                <w:szCs w:val="18"/>
                <w:b w:val="1"/>
                <w:bCs w:val="1"/>
                <w:color w:val="auto"/>
                <w:w w:val="99"/>
              </w:rPr>
              <w:t>SCHEDULE A</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2"/>
        </w:trPr>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320" w:type="dxa"/>
            <w:vAlign w:val="bottom"/>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Time and method of payment</w:t>
            </w:r>
          </w:p>
        </w:tc>
        <w:tc>
          <w:tcPr>
            <w:tcW w:w="160" w:type="dxa"/>
            <w:vAlign w:val="bottom"/>
          </w:tcPr>
          <w:p>
            <w:pPr>
              <w:spacing w:after="0"/>
              <w:rPr>
                <w:sz w:val="24"/>
                <w:szCs w:val="24"/>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198"/>
        </w:trPr>
        <w:tc>
          <w:tcPr>
            <w:tcW w:w="5400" w:type="dxa"/>
            <w:vAlign w:val="bottom"/>
            <w:tcBorders>
              <w:top w:val="single" w:sz="8" w:color="auto"/>
            </w:tcBorders>
            <w:gridSpan w:val="5"/>
          </w:tcPr>
          <w:p>
            <w:pPr>
              <w:spacing w:after="0" w:line="198" w:lineRule="exact"/>
              <w:rPr>
                <w:sz w:val="20"/>
                <w:szCs w:val="20"/>
                <w:color w:val="auto"/>
              </w:rPr>
            </w:pPr>
            <w:r>
              <w:rPr>
                <w:rFonts w:ascii="Times New Roman" w:cs="Times New Roman" w:eastAsia="Times New Roman" w:hAnsi="Times New Roman"/>
                <w:sz w:val="18"/>
                <w:szCs w:val="18"/>
                <w:color w:val="auto"/>
              </w:rPr>
              <w:t>Initial closing of Offering by wire transfer.</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3,500.00</w:t>
            </w:r>
          </w:p>
        </w:tc>
        <w:tc>
          <w:tcPr>
            <w:tcW w:w="20" w:type="dxa"/>
            <w:vAlign w:val="bottom"/>
          </w:tcPr>
          <w:p>
            <w:pPr>
              <w:spacing w:after="0"/>
              <w:rPr>
                <w:sz w:val="17"/>
                <w:szCs w:val="17"/>
                <w:color w:val="auto"/>
              </w:rPr>
            </w:pPr>
          </w:p>
        </w:tc>
      </w:tr>
      <w:tr>
        <w:trPr>
          <w:trHeight w:val="216"/>
        </w:trPr>
        <w:tc>
          <w:tcPr>
            <w:tcW w:w="55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Payable annually. First year fee payable, at initial closing of Offering by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5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wire transfer, thereafter by wire transfer or check.</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10,000.00</w:t>
            </w:r>
          </w:p>
        </w:tc>
      </w:tr>
      <w:tr>
        <w:trPr>
          <w:trHeight w:val="216"/>
        </w:trPr>
        <w:tc>
          <w:tcPr>
            <w:tcW w:w="55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Billed to Company following disbursement made to Company under</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4"/>
        </w:trPr>
        <w:tc>
          <w:tcPr>
            <w:tcW w:w="550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auto"/>
              </w:rPr>
              <w:t>Sections 1 and 2.</w:t>
            </w:r>
          </w:p>
        </w:tc>
        <w:tc>
          <w:tcPr>
            <w:tcW w:w="1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250.00</w:t>
            </w:r>
          </w:p>
        </w:tc>
      </w:tr>
      <w:tr>
        <w:trPr>
          <w:trHeight w:val="20"/>
        </w:trPr>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196"/>
        </w:trPr>
        <w:tc>
          <w:tcPr>
            <w:tcW w:w="55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Billed to Company upon delivery of service pursuant to Sections 1(i) and</w:t>
            </w:r>
          </w:p>
        </w:tc>
        <w:tc>
          <w:tcPr>
            <w:tcW w:w="160" w:type="dxa"/>
            <w:vAlign w:val="bottom"/>
          </w:tcPr>
          <w:p>
            <w:pPr>
              <w:spacing w:after="0"/>
              <w:rPr>
                <w:sz w:val="17"/>
                <w:szCs w:val="17"/>
                <w:color w:val="auto"/>
              </w:rPr>
            </w:pPr>
          </w:p>
        </w:tc>
        <w:tc>
          <w:tcPr>
            <w:tcW w:w="9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Prevailing</w:t>
            </w:r>
          </w:p>
        </w:tc>
      </w:tr>
      <w:tr>
        <w:trPr>
          <w:trHeight w:val="196"/>
        </w:trPr>
        <w:tc>
          <w:tcPr>
            <w:tcW w:w="40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1(k).</w:t>
            </w:r>
          </w:p>
        </w:tc>
        <w:tc>
          <w:tcPr>
            <w:tcW w:w="1220" w:type="dxa"/>
            <w:vAlign w:val="bottom"/>
            <w:tcBorders>
              <w:top w:val="single" w:sz="8" w:color="auto"/>
            </w:tcBorders>
          </w:tcPr>
          <w:p>
            <w:pPr>
              <w:spacing w:after="0"/>
              <w:rPr>
                <w:sz w:val="17"/>
                <w:szCs w:val="17"/>
                <w:color w:val="auto"/>
              </w:rPr>
            </w:pPr>
          </w:p>
        </w:tc>
        <w:tc>
          <w:tcPr>
            <w:tcW w:w="24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rates</w:t>
            </w:r>
          </w:p>
        </w:tc>
      </w:tr>
      <w:tr>
        <w:trPr>
          <w:trHeight w:val="668"/>
        </w:trPr>
        <w:tc>
          <w:tcPr>
            <w:tcW w:w="300" w:type="dxa"/>
            <w:vAlign w:val="bottom"/>
            <w:tcBorders>
              <w:top w:val="single" w:sz="8" w:color="auto"/>
            </w:tcBorders>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-959485</wp:posOffset>
            </wp:positionV>
            <wp:extent cx="7132320" cy="2743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-1388110</wp:posOffset>
            </wp:positionV>
            <wp:extent cx="7132320" cy="1543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260" w:space="260"/>
            <w:col w:w="6620"/>
          </w:cols>
          <w:pgMar w:left="320" w:top="333" w:right="439" w:bottom="1440" w:gutter="0" w:footer="0" w:header="0"/>
        </w:sectPr>
      </w:pPr>
    </w:p>
    <w:bookmarkStart w:id="95" w:name="page96"/>
    <w:bookmarkEnd w:id="9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[Letterhead of Company]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Francis Wolf and Celeste Gonzalez</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Trust Account - Termination Letter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Wolf and Ms. Gonzalez:</w:t>
      </w:r>
    </w:p>
    <w:p>
      <w:pPr>
        <w:spacing w:after="0" w:line="221"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1(i)</w:t>
      </w:r>
      <w:r>
        <w:rPr>
          <w:rFonts w:ascii="Times New Roman" w:cs="Times New Roman" w:eastAsia="Times New Roman" w:hAnsi="Times New Roman"/>
          <w:sz w:val="18"/>
          <w:szCs w:val="18"/>
          <w:color w:val="auto"/>
        </w:rPr>
        <w:t xml:space="preserve"> of the Investment Management Trust Agreement between CM Life Sciences,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Continental Stock Transfer &amp; Trust Company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dated as of September 1, 2020 (the “</w:t>
      </w:r>
      <w:r>
        <w:rPr>
          <w:rFonts w:ascii="Times New Roman" w:cs="Times New Roman" w:eastAsia="Times New Roman" w:hAnsi="Times New Roman"/>
          <w:sz w:val="18"/>
          <w:szCs w:val="18"/>
          <w:b w:val="1"/>
          <w:bCs w:val="1"/>
          <w:i w:val="1"/>
          <w:iCs w:val="1"/>
          <w:color w:val="auto"/>
        </w:rPr>
        <w:t>Trust Agreement</w:t>
      </w:r>
      <w:r>
        <w:rPr>
          <w:rFonts w:ascii="Times New Roman" w:cs="Times New Roman" w:eastAsia="Times New Roman" w:hAnsi="Times New Roman"/>
          <w:sz w:val="18"/>
          <w:szCs w:val="18"/>
          <w:color w:val="auto"/>
        </w:rPr>
        <w:t>”), this is to advise you that the Company has entered into an agreement with (the “</w:t>
      </w:r>
      <w:r>
        <w:rPr>
          <w:rFonts w:ascii="Times New Roman" w:cs="Times New Roman" w:eastAsia="Times New Roman" w:hAnsi="Times New Roman"/>
          <w:sz w:val="18"/>
          <w:szCs w:val="18"/>
          <w:b w:val="1"/>
          <w:bCs w:val="1"/>
          <w:i w:val="1"/>
          <w:iCs w:val="1"/>
          <w:color w:val="auto"/>
        </w:rPr>
        <w:t>Target Business</w:t>
      </w:r>
      <w:r>
        <w:rPr>
          <w:rFonts w:ascii="Times New Roman" w:cs="Times New Roman" w:eastAsia="Times New Roman" w:hAnsi="Times New Roman"/>
          <w:sz w:val="18"/>
          <w:szCs w:val="18"/>
          <w:color w:val="auto"/>
        </w:rPr>
        <w:t>”) to consummate a business combination with Target Business (the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xml:space="preserve">”) on or about </w:t>
      </w:r>
      <w:r>
        <w:rPr>
          <w:rFonts w:ascii="Times New Roman" w:cs="Times New Roman" w:eastAsia="Times New Roman" w:hAnsi="Times New Roman"/>
          <w:sz w:val="18"/>
          <w:szCs w:val="18"/>
          <w:b w:val="1"/>
          <w:bCs w:val="1"/>
          <w:color w:val="auto"/>
        </w:rPr>
        <w:t>[insert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The Company shall notify you at least seventy-two (72) hours in advance of the actual date (or such shorter period as you may agree)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consummation of the Business Combination (the “</w:t>
      </w:r>
      <w:r>
        <w:rPr>
          <w:rFonts w:ascii="Times New Roman" w:cs="Times New Roman" w:eastAsia="Times New Roman" w:hAnsi="Times New Roman"/>
          <w:sz w:val="18"/>
          <w:szCs w:val="18"/>
          <w:b w:val="1"/>
          <w:bCs w:val="1"/>
          <w:i w:val="1"/>
          <w:iCs w:val="1"/>
          <w:color w:val="auto"/>
        </w:rPr>
        <w:t>Consummation Date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Capitalized terms used but not defined herein shall have the meanings set forth in the Trust Agreement.</w:t>
      </w:r>
    </w:p>
    <w:p>
      <w:pPr>
        <w:spacing w:after="0" w:line="18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the terms of the Trust Agreement, we hereby authorize you to commence to liquidate all of the assets of the Trust Account and to transfer the proceeds to a segregated account held by you on behalf of the Beneficiaries to the effect that, on the Consummation Date, all of the funds held in the Trust Account at JP Morgan Chase Bank, N.A. will be immediately available for transfer to the account or accounts that the Company shall direct on the Consummation Date (including as directed to it by the Underwriter (with respect to the Deferred Discount)).</w:t>
      </w:r>
    </w:p>
    <w:p>
      <w:pPr>
        <w:spacing w:after="0" w:line="18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the Consummation Date (i) counsel for the Company shall deliver to you written notification that the Business Combination has been consummated, or will be consummated concurrently with your transfer of funds to the accounts as directed by the Company (the “</w:t>
      </w:r>
      <w:r>
        <w:rPr>
          <w:rFonts w:ascii="Times New Roman" w:cs="Times New Roman" w:eastAsia="Times New Roman" w:hAnsi="Times New Roman"/>
          <w:sz w:val="18"/>
          <w:szCs w:val="18"/>
          <w:b w:val="1"/>
          <w:bCs w:val="1"/>
          <w:i w:val="1"/>
          <w:iCs w:val="1"/>
          <w:color w:val="auto"/>
        </w:rPr>
        <w:t>Notification</w:t>
      </w:r>
      <w:r>
        <w:rPr>
          <w:rFonts w:ascii="Times New Roman" w:cs="Times New Roman" w:eastAsia="Times New Roman" w:hAnsi="Times New Roman"/>
          <w:sz w:val="18"/>
          <w:szCs w:val="18"/>
          <w:color w:val="auto"/>
        </w:rPr>
        <w:t>”), and (ii) the Company shall deliver to you (a) a certificate by the Chief Executive Officer, Chief Financial Officer, Co-Executive Chairman or Vice Chairman, which verifies that the Business Combination has been approved by a vote of the Company’s stockholders, if a vote is held and (b) a joint written instruction signed by the Company and the Underwriter with respect to the transfer of the funds held in the Trust Account, including payment of amounts owed to public stockholders who have properly exercised their redemption rights and payment of the Deferred Discount directly to the account or accounts directed by the Underwriter from the Trust Account (the “</w:t>
      </w:r>
      <w:r>
        <w:rPr>
          <w:rFonts w:ascii="Times New Roman" w:cs="Times New Roman" w:eastAsia="Times New Roman" w:hAnsi="Times New Roman"/>
          <w:sz w:val="18"/>
          <w:szCs w:val="18"/>
          <w:b w:val="1"/>
          <w:bCs w:val="1"/>
          <w:i w:val="1"/>
          <w:iCs w:val="1"/>
          <w:color w:val="auto"/>
        </w:rPr>
        <w:t>Instruction Letter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You are hereby directed and authorized to transfer the funds held in the Trust Account immediately upon your receipt of the Notification and the Instruction Letter, in accordance with the terms of the Instruction Letter. In the event that certain deposits held in the Trust Account may not be liquidated by the Consummation Date without penalty, you will notify the Company in writing of the same and the Company shall direct you as to whether such funds should remain in the Trust Account and be distributed after the Consummation Date to the Company. Upon the distribution of all the funds, net of any payments necessary for reasonable unreimbursed expenses related to liquidating the Trust Account, your obligations under the Trust Agreement shall be terminated.</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6" w:name="page97"/>
    <w:bookmarkEnd w:id="96"/>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the event that the Business Combination is not consummated on the Consummation Date described in the notice thereof and we have not notified you on or before the original Consummation Date of a new Consummation Date, then upon receipt by the Trustee of written instructions from the Company, the funds held in the Trust Account shall be reinvested as provided in </w:t>
      </w:r>
      <w:r>
        <w:rPr>
          <w:rFonts w:ascii="Times New Roman" w:cs="Times New Roman" w:eastAsia="Times New Roman" w:hAnsi="Times New Roman"/>
          <w:sz w:val="18"/>
          <w:szCs w:val="18"/>
          <w:u w:val="single" w:color="auto"/>
          <w:color w:val="auto"/>
        </w:rPr>
        <w:t>Section 1(c)</w:t>
      </w:r>
      <w:r>
        <w:rPr>
          <w:rFonts w:ascii="Times New Roman" w:cs="Times New Roman" w:eastAsia="Times New Roman" w:hAnsi="Times New Roman"/>
          <w:sz w:val="18"/>
          <w:szCs w:val="18"/>
          <w:color w:val="auto"/>
        </w:rPr>
        <w:t xml:space="preserve"> of the Trust Agreement on the business day immediately following the Consummation Date as set forth in such notice as soon thereafter as possible.</w:t>
      </w:r>
    </w:p>
    <w:p>
      <w:pPr>
        <w:spacing w:after="0" w:line="18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CM Life Sciences, Inc.</w:t>
      </w:r>
    </w:p>
    <w:p>
      <w:pPr>
        <w:spacing w:after="0" w:line="25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26035</wp:posOffset>
            </wp:positionV>
            <wp:extent cx="25628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Jefferies LLC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337" w:right="479" w:bottom="1440" w:gutter="0" w:footer="0" w:header="0"/>
        </w:sectPr>
      </w:pPr>
    </w:p>
    <w:bookmarkStart w:id="97" w:name="page98"/>
    <w:bookmarkEnd w:id="9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[Letterhead of Company]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Francis Wolf and Celeste Gonzalez</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Trust Account - Termination Letter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Wolf and Ms. Gonzalez:</w:t>
      </w:r>
    </w:p>
    <w:p>
      <w:pPr>
        <w:spacing w:after="0" w:line="221"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1(i)</w:t>
      </w:r>
      <w:r>
        <w:rPr>
          <w:rFonts w:ascii="Times New Roman" w:cs="Times New Roman" w:eastAsia="Times New Roman" w:hAnsi="Times New Roman"/>
          <w:sz w:val="18"/>
          <w:szCs w:val="18"/>
          <w:color w:val="auto"/>
        </w:rPr>
        <w:t xml:space="preserve"> of the Investment Management Trust Agreement between CM Life Science,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Continental Stock Transfer &amp; Trust Company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dated as of September 1, 2020 (the “</w:t>
      </w:r>
      <w:r>
        <w:rPr>
          <w:rFonts w:ascii="Times New Roman" w:cs="Times New Roman" w:eastAsia="Times New Roman" w:hAnsi="Times New Roman"/>
          <w:sz w:val="18"/>
          <w:szCs w:val="18"/>
          <w:b w:val="1"/>
          <w:bCs w:val="1"/>
          <w:i w:val="1"/>
          <w:iCs w:val="1"/>
          <w:color w:val="auto"/>
        </w:rPr>
        <w:t>Trust Agreement</w:t>
      </w:r>
      <w:r>
        <w:rPr>
          <w:rFonts w:ascii="Times New Roman" w:cs="Times New Roman" w:eastAsia="Times New Roman" w:hAnsi="Times New Roman"/>
          <w:sz w:val="18"/>
          <w:szCs w:val="18"/>
          <w:color w:val="auto"/>
        </w:rPr>
        <w:t>”), this is to advise you that the Company has been unable to effect a business combination with a target business (the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within the time frame specified in the Company’s amended and restated certificate of incorporation, as described in the Company’s Prospectus relating to the Offering. Capitalized terms used but not defined herein shall have the meanings set forth in the Trust Agreement.</w:t>
      </w:r>
    </w:p>
    <w:p>
      <w:pPr>
        <w:spacing w:after="0" w:line="183"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the terms of the Trust Agreement, we hereby authorize you to liquidate all of the assets in the Trust Operating Account and to transfer the total proceeds into a segregated account held by you on behalf of the Beneficiaries to await distribution to the Public Stockholders. The</w:t>
      </w:r>
    </w:p>
    <w:p>
      <w:pPr>
        <w:ind w:right="200"/>
        <w:spacing w:after="0" w:line="244" w:lineRule="auto"/>
        <w:rPr>
          <w:sz w:val="20"/>
          <w:szCs w:val="20"/>
          <w:color w:val="auto"/>
        </w:rPr>
      </w:pPr>
      <w:r>
        <w:rPr>
          <w:rFonts w:ascii="Times New Roman" w:cs="Times New Roman" w:eastAsia="Times New Roman" w:hAnsi="Times New Roman"/>
          <w:sz w:val="17"/>
          <w:szCs w:val="17"/>
          <w:color w:val="auto"/>
        </w:rPr>
        <w:t>Company has selected</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 xml:space="preserve"> as the effective date for the purpose of determining when the Public Stockholders will be entitled to receive their share of the liquidation proceeds. You agree to be the Paying Agent of record and, in your separate capacity as Paying Agent, agree to distribute said funds directly to the Company’s Public Stockholders in accordance with the terms of the Trust Agreement and the amended and restated certificate of incorporation of the Company. Upon the distribution of all the funds, net of any payments necessary for reasonable unreimbursed expenses related to liquidating the Trust Account, your obligations under the Trust Agreement shall be terminated, except to the extent otherwise provided in </w:t>
      </w:r>
      <w:r>
        <w:rPr>
          <w:rFonts w:ascii="Times New Roman" w:cs="Times New Roman" w:eastAsia="Times New Roman" w:hAnsi="Times New Roman"/>
          <w:sz w:val="17"/>
          <w:szCs w:val="17"/>
          <w:u w:val="single" w:color="auto"/>
          <w:color w:val="auto"/>
        </w:rPr>
        <w:t>Section 1(i)</w:t>
      </w:r>
      <w:r>
        <w:rPr>
          <w:rFonts w:ascii="Times New Roman" w:cs="Times New Roman" w:eastAsia="Times New Roman" w:hAnsi="Times New Roman"/>
          <w:sz w:val="17"/>
          <w:szCs w:val="17"/>
          <w:color w:val="auto"/>
        </w:rPr>
        <w:t xml:space="preserve"> of the Trust Agreement.</w:t>
      </w:r>
    </w:p>
    <w:p>
      <w:pPr>
        <w:spacing w:after="0" w:line="19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CM Life Sciences, Inc.</w:t>
      </w:r>
    </w:p>
    <w:p>
      <w:pPr>
        <w:spacing w:after="0" w:line="25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26035</wp:posOffset>
            </wp:positionV>
            <wp:extent cx="256286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Jefferies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6" w:lineRule="exact"/>
        <w:rPr>
          <w:sz w:val="20"/>
          <w:szCs w:val="20"/>
          <w:color w:val="auto"/>
        </w:rPr>
      </w:pPr>
    </w:p>
    <w:p>
      <w:pPr>
        <w:ind w:left="340" w:right="200" w:hanging="332"/>
        <w:spacing w:after="0" w:line="195" w:lineRule="auto"/>
        <w:tabs>
          <w:tab w:leader="none" w:pos="340" w:val="left"/>
        </w:tabs>
        <w:numPr>
          <w:ilvl w:val="0"/>
          <w:numId w:val="8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24 months from the closing of the Offering or such later date as may be approved by the Company’s stockholders in accordance with the Company’s 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8" w:name="page99"/>
    <w:bookmarkEnd w:id="9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[Letterhead of Company]</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Francis Wolf and Celeste Gonzalez</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Trust Account - Tax Payment Withdrawal Instruction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Wolf and Ms. Gonzalez:</w:t>
      </w:r>
    </w:p>
    <w:p>
      <w:pPr>
        <w:spacing w:after="0" w:line="221"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1(j)</w:t>
      </w:r>
      <w:r>
        <w:rPr>
          <w:rFonts w:ascii="Times New Roman" w:cs="Times New Roman" w:eastAsia="Times New Roman" w:hAnsi="Times New Roman"/>
          <w:sz w:val="18"/>
          <w:szCs w:val="18"/>
          <w:color w:val="auto"/>
        </w:rPr>
        <w:t xml:space="preserve"> of the Investment Management Trust Agreement between CM Life Sciences,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Continental Stock Transfer &amp; Trust Company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dated as of September 1, 2020 (the “</w:t>
      </w:r>
      <w:r>
        <w:rPr>
          <w:rFonts w:ascii="Times New Roman" w:cs="Times New Roman" w:eastAsia="Times New Roman" w:hAnsi="Times New Roman"/>
          <w:sz w:val="18"/>
          <w:szCs w:val="18"/>
          <w:b w:val="1"/>
          <w:bCs w:val="1"/>
          <w:i w:val="1"/>
          <w:iCs w:val="1"/>
          <w:color w:val="auto"/>
        </w:rPr>
        <w:t>Trust Agreement</w:t>
      </w:r>
      <w:r>
        <w:rPr>
          <w:rFonts w:ascii="Times New Roman" w:cs="Times New Roman" w:eastAsia="Times New Roman" w:hAnsi="Times New Roman"/>
          <w:sz w:val="18"/>
          <w:szCs w:val="18"/>
          <w:color w:val="auto"/>
        </w:rPr>
        <w:t>”), the Company hereby requests that you deliver to the Company $ of the interest income earned on the Property as of the date hereof. Capitalized terms used but not defined herein shall have the meanings set forth in the Trust Agreement.</w:t>
      </w:r>
    </w:p>
    <w:p>
      <w:pPr>
        <w:spacing w:after="0" w:line="18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Company needs such funds to pay for the tax obligations as set forth on the attached tax return or tax statement. In accordance with the terms of the Trust Agreement, you are hereby directed and authorized to transfer (via wire transfer) such funds promptly upon your receipt of this letter to the Company’s operating account at:</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[WIRE INSTRUCTION INFORMATION]</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CM Life Sciences, Inc.</w:t>
      </w:r>
    </w:p>
    <w:p>
      <w:pPr>
        <w:spacing w:after="0" w:line="25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26035</wp:posOffset>
            </wp:positionV>
            <wp:extent cx="256286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Jefferies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99" w:name="page100"/>
    <w:bookmarkEnd w:id="99"/>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EXHIBIT D</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[Letterhead of Company]</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Francis Wolf and Celeste Gonzalez</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Trust Account – Stockholder Redemption Withdrawal Instruction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Wolf and Ms. Gonzalez:</w:t>
      </w:r>
    </w:p>
    <w:p>
      <w:pPr>
        <w:spacing w:after="0" w:line="2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7"/>
          <w:szCs w:val="17"/>
          <w:color w:val="auto"/>
        </w:rPr>
        <w:t xml:space="preserve">Pursuant to </w:t>
      </w:r>
      <w:r>
        <w:rPr>
          <w:rFonts w:ascii="Times New Roman" w:cs="Times New Roman" w:eastAsia="Times New Roman" w:hAnsi="Times New Roman"/>
          <w:sz w:val="17"/>
          <w:szCs w:val="17"/>
          <w:u w:val="single" w:color="auto"/>
          <w:color w:val="auto"/>
        </w:rPr>
        <w:t>Section 1(k)</w:t>
      </w:r>
      <w:r>
        <w:rPr>
          <w:rFonts w:ascii="Times New Roman" w:cs="Times New Roman" w:eastAsia="Times New Roman" w:hAnsi="Times New Roman"/>
          <w:sz w:val="17"/>
          <w:szCs w:val="17"/>
          <w:color w:val="auto"/>
        </w:rPr>
        <w:t xml:space="preserve"> of the Investment Management Trust Agreement between CM Life Sciences, Inc.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and Continental Stock Transfer &amp; Trust Company (the “</w:t>
      </w:r>
      <w:r>
        <w:rPr>
          <w:rFonts w:ascii="Times New Roman" w:cs="Times New Roman" w:eastAsia="Times New Roman" w:hAnsi="Times New Roman"/>
          <w:sz w:val="17"/>
          <w:szCs w:val="17"/>
          <w:b w:val="1"/>
          <w:bCs w:val="1"/>
          <w:i w:val="1"/>
          <w:iCs w:val="1"/>
          <w:color w:val="auto"/>
        </w:rPr>
        <w:t>Trustee</w:t>
      </w:r>
      <w:r>
        <w:rPr>
          <w:rFonts w:ascii="Times New Roman" w:cs="Times New Roman" w:eastAsia="Times New Roman" w:hAnsi="Times New Roman"/>
          <w:sz w:val="17"/>
          <w:szCs w:val="17"/>
          <w:color w:val="auto"/>
        </w:rPr>
        <w:t>”), dated as of September 1, 2020 (the “</w:t>
      </w:r>
      <w:r>
        <w:rPr>
          <w:rFonts w:ascii="Times New Roman" w:cs="Times New Roman" w:eastAsia="Times New Roman" w:hAnsi="Times New Roman"/>
          <w:sz w:val="17"/>
          <w:szCs w:val="17"/>
          <w:b w:val="1"/>
          <w:bCs w:val="1"/>
          <w:i w:val="1"/>
          <w:iCs w:val="1"/>
          <w:color w:val="auto"/>
        </w:rPr>
        <w:t>Trust Agreement</w:t>
      </w:r>
      <w:r>
        <w:rPr>
          <w:rFonts w:ascii="Times New Roman" w:cs="Times New Roman" w:eastAsia="Times New Roman" w:hAnsi="Times New Roman"/>
          <w:sz w:val="17"/>
          <w:szCs w:val="17"/>
          <w:color w:val="auto"/>
        </w:rPr>
        <w:t>”), the Company hereby requests that you deliver to the redeeming Public Stockholders of the Company $ of the principal and interest income earned on the Property as of the date hereof to a segregated account held by you on behalf of the Beneficiaries. Capitalized terms used but not defined herein shall have the meanings set forth in the Trust Agreement.</w:t>
      </w:r>
    </w:p>
    <w:p>
      <w:pPr>
        <w:spacing w:after="0" w:line="16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Company needs such funds to pay its Public Stockholders who have properly elected to have their shares of Common Stock redeemed by the Company in connection with a stockholder vote to approve an amendment to the Company’s amended and restated certificate of incorporation to modify the substance or timing of the Company’s obligation to redeem 100% of public shares of Common Stock if the Company has not consummated an initial Business Combination within such time as is described in the Company’s amended and restated certificate of incorporation or with respect to any other material provisions relating to stockholders’ rights or pre-initial Business Combination activity. As such, you are hereby directed and authorized to transfer (via wire transfer) such funds promptly upon your receipt of this letter to a segregated account held by you on behalf of the Beneficiaries.</w:t>
      </w:r>
    </w:p>
    <w:p>
      <w:pPr>
        <w:spacing w:after="0" w:line="18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CM Life Sciences, Inc.</w:t>
      </w:r>
    </w:p>
    <w:p>
      <w:pPr>
        <w:spacing w:after="0" w:line="25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26035</wp:posOffset>
            </wp:positionV>
            <wp:extent cx="25628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Jefferies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33" w:right="41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THIS REGISTRATION RIGHTS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dated as of September 1, 2020, is made and entered into by and among CM Life Sciences,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CMLS Holdings LLC, a Delaware limited liability company (the “</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xml:space="preserve">”) and the undersigned parties listed on the signature page hereto under “Holders” (each such party, including the Sponsor and any person or entity who hereafter becomes a party to this Agreement pursuant to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of this Agreement, a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has 11,068,750 shares of Class B common stock, par value $0.0001 per share (the “</w:t>
      </w:r>
      <w:r>
        <w:rPr>
          <w:rFonts w:ascii="Times New Roman" w:cs="Times New Roman" w:eastAsia="Times New Roman" w:hAnsi="Times New Roman"/>
          <w:sz w:val="18"/>
          <w:szCs w:val="18"/>
          <w:b w:val="1"/>
          <w:bCs w:val="1"/>
          <w:i w:val="1"/>
          <w:iCs w:val="1"/>
          <w:color w:val="auto"/>
        </w:rPr>
        <w:t>Founder Shares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up to 1,443,750 of which will be forfeited by the Sponsor to the Company for no consideration depending on the extent to which the underwriters of the Company’s initial public offering exercise their over-allotment option;</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Founder Shares are convertible into shares of the Company’s Class A common stock, par value $0.0001 per share (“</w:t>
      </w:r>
      <w:r>
        <w:rPr>
          <w:rFonts w:ascii="Times New Roman" w:cs="Times New Roman" w:eastAsia="Times New Roman" w:hAnsi="Times New Roman"/>
          <w:sz w:val="18"/>
          <w:szCs w:val="18"/>
          <w:b w:val="1"/>
          <w:bCs w:val="1"/>
          <w:i w:val="1"/>
          <w:iCs w:val="1"/>
          <w:color w:val="auto"/>
        </w:rPr>
        <w:t>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Stock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 the time of the initial Business Combination (as defined below) on the terms and conditions provided in the Company’s amended and restated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certificate of incorporation, as may be amended from time to time;</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September 1, 2020, the Company and the Sponsor entered into that certain Private Placement Warrants Purchase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Private Placement Warrants Purchase Agreement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pursuant to which the Sponsor and certain of the Company’s directors agreed to purchase 6,466,667 warrants (or up to 7,236,667 warrants to the extent that the over-allotment option in connection with the Company’s initial public offering is exercised in full) in aggregate (the “</w:t>
      </w:r>
      <w:r>
        <w:rPr>
          <w:rFonts w:ascii="Times New Roman" w:cs="Times New Roman" w:eastAsia="Times New Roman" w:hAnsi="Times New Roman"/>
          <w:sz w:val="18"/>
          <w:szCs w:val="18"/>
          <w:b w:val="1"/>
          <w:bCs w:val="1"/>
          <w:i w:val="1"/>
          <w:iCs w:val="1"/>
          <w:color w:val="auto"/>
        </w:rPr>
        <w:t>Private Placement Warrants</w:t>
      </w:r>
      <w:r>
        <w:rPr>
          <w:rFonts w:ascii="Times New Roman" w:cs="Times New Roman" w:eastAsia="Times New Roman" w:hAnsi="Times New Roman"/>
          <w:sz w:val="18"/>
          <w:szCs w:val="18"/>
          <w:color w:val="auto"/>
        </w:rPr>
        <w:t>”) in a private placement transaction occurring simultaneously with the closing of the Company’s initial public offering;</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order to finance the Company’s transaction costs in connection with its search for and consummation of an initial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the Sponsor or an affiliate of the Sponsor or certain of the Company’s officers and directors may loan to the Company funds as the Company may require, of which up to $1,500,000 of such loans may be convertible into private placement-equivalent warrants (“</w:t>
      </w:r>
      <w:r>
        <w:rPr>
          <w:rFonts w:ascii="Times New Roman" w:cs="Times New Roman" w:eastAsia="Times New Roman" w:hAnsi="Times New Roman"/>
          <w:sz w:val="18"/>
          <w:szCs w:val="18"/>
          <w:b w:val="1"/>
          <w:bCs w:val="1"/>
          <w:i w:val="1"/>
          <w:iCs w:val="1"/>
          <w:color w:val="auto"/>
        </w:rPr>
        <w:t>Working Capital Warrants</w:t>
      </w:r>
      <w:r>
        <w:rPr>
          <w:rFonts w:ascii="Times New Roman" w:cs="Times New Roman" w:eastAsia="Times New Roman" w:hAnsi="Times New Roman"/>
          <w:sz w:val="18"/>
          <w:szCs w:val="18"/>
          <w:color w:val="auto"/>
        </w:rPr>
        <w:t>”) at a price of $1.50 per warrant at the option of the lender; and</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Holders desire to enter into this Agreement, pursuant to which the Company shall grant the Holders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rights with respect to certain securities of the Company, as set forth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1" w:name="page102"/>
    <w:bookmarkEnd w:id="101"/>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THEREFORE</w:t>
      </w:r>
      <w:r>
        <w:rPr>
          <w:rFonts w:ascii="Times New Roman" w:cs="Times New Roman" w:eastAsia="Times New Roman" w:hAnsi="Times New Roman"/>
          <w:sz w:val="18"/>
          <w:szCs w:val="18"/>
          <w:color w:val="auto"/>
        </w:rPr>
        <w:t>, in consideration of the representations, covenants and agreements contained herein, and certain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the receipt and sufficiency of which are hereby acknowledged, the parties hereto, intending to be legally bound, hereby agree as follows: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The terms defined in this </w:t>
      </w:r>
      <w:r>
        <w:rPr>
          <w:rFonts w:ascii="Times New Roman" w:cs="Times New Roman" w:eastAsia="Times New Roman" w:hAnsi="Times New Roman"/>
          <w:sz w:val="18"/>
          <w:szCs w:val="18"/>
          <w:i w:val="1"/>
          <w:iCs w:val="1"/>
          <w:u w:val="single" w:color="auto"/>
          <w:color w:val="auto"/>
        </w:rPr>
        <w:t>Article I</w:t>
      </w:r>
      <w:r>
        <w:rPr>
          <w:rFonts w:ascii="Times New Roman" w:cs="Times New Roman" w:eastAsia="Times New Roman" w:hAnsi="Times New Roman"/>
          <w:sz w:val="18"/>
          <w:szCs w:val="18"/>
          <w:color w:val="auto"/>
        </w:rPr>
        <w:t xml:space="preserve"> shall, for all purposes of this Agreement, have the respective meanings set forth below:</w:t>
      </w:r>
    </w:p>
    <w:p>
      <w:pPr>
        <w:spacing w:after="0" w:line="22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Adverse Disclosure</w:t>
      </w:r>
      <w:r>
        <w:rPr>
          <w:rFonts w:ascii="Times New Roman" w:cs="Times New Roman" w:eastAsia="Times New Roman" w:hAnsi="Times New Roman"/>
          <w:sz w:val="18"/>
          <w:szCs w:val="18"/>
          <w:color w:val="auto"/>
        </w:rPr>
        <w:t>” shall mean any public disclosure of material non-public information, which disclosure, in the good faith judgment of the Chief Executive Officer or principal financial officer of the Company, after consultation with counsel to the Company, (i)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and (iii) the Company has a bona fide business purpose for not making such information public.</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shall have the meaning given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shall mean the Board of Directors of the Company.</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shall mean any merger, capital stock exchange, asset acquisition, stock purchase, reorganization or other similar business combination with one or more businesses, involving the Company.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shall mean the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shall have the meaning given in the Recitals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shall have the meaning given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Demand Registration</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Demanding Holder</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shall mean the Securities Exchange Act of 1934, as it may be amended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Form S-1</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Form S-3</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Founder Shares</w:t>
      </w:r>
      <w:r>
        <w:rPr>
          <w:rFonts w:ascii="Times New Roman" w:cs="Times New Roman" w:eastAsia="Times New Roman" w:hAnsi="Times New Roman"/>
          <w:sz w:val="18"/>
          <w:szCs w:val="18"/>
          <w:color w:val="auto"/>
        </w:rPr>
        <w:t>” shall have the meaning given in the Recitals hereto and shall be deemed to include the shares of Common Stock issuable upon conversion thereof.</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Founder Shares Lock-up Period</w:t>
      </w:r>
      <w:r>
        <w:rPr>
          <w:rFonts w:ascii="Times New Roman" w:cs="Times New Roman" w:eastAsia="Times New Roman" w:hAnsi="Times New Roman"/>
          <w:sz w:val="18"/>
          <w:szCs w:val="18"/>
          <w:color w:val="auto"/>
        </w:rPr>
        <w:t>” shall mean, with respect to the Founder Shares, the period ending on the earlier of (A) one year after the completion of the Company’s initial Business Combination and (B) subsequent to the Business Combination, (x) if the closing price of the Common Stock equals or exceeds $12.00 per share (as adjusted for stock splits, stock dividends, reorganizations, recapitalizations and the like) for any 20 trading days within any 30-trading day period commencing at least 150 days after the Company’s initial Business Combination or (y) the date on which the Company completes a liquidation, merger, capital stock exchange, reorganization or other similar transaction that results in all of the Company’s stockholders having the right to exchange their shares of Common Stock for cash, securities or other property.</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Holders</w:t>
      </w:r>
      <w:r>
        <w:rPr>
          <w:rFonts w:ascii="Times New Roman" w:cs="Times New Roman" w:eastAsia="Times New Roman" w:hAnsi="Times New Roman"/>
          <w:sz w:val="18"/>
          <w:szCs w:val="18"/>
          <w:color w:val="auto"/>
        </w:rPr>
        <w:t>” shall have the meaning given in the Preamble.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Insider Letter</w:t>
      </w:r>
      <w:r>
        <w:rPr>
          <w:rFonts w:ascii="Times New Roman" w:cs="Times New Roman" w:eastAsia="Times New Roman" w:hAnsi="Times New Roman"/>
          <w:sz w:val="18"/>
          <w:szCs w:val="18"/>
          <w:color w:val="auto"/>
        </w:rPr>
        <w:t>” shall mean that certain letter agreement, dated as of September 1, 2020, by and among the Company, the Sponsor and each of the Company’s officers, directors and director nominees.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Maximum Number of Securities</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2.1.4</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2" w:name="page103"/>
    <w:bookmarkEnd w:id="102"/>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Misstatement</w:t>
      </w:r>
      <w:r>
        <w:rPr>
          <w:rFonts w:ascii="Times New Roman" w:cs="Times New Roman" w:eastAsia="Times New Roman" w:hAnsi="Times New Roman"/>
          <w:sz w:val="18"/>
          <w:szCs w:val="18"/>
          <w:color w:val="auto"/>
        </w:rPr>
        <w:t>” shall mean an untrue statement of a material fact or an omission to state a material fact required to be stated in a Registration Statement or Prospectus, or necessary to make the statements in a Registration Statement or Prospectus (in the case of a Prospectus, in the light of the circumstances under which they were made) not misleading.</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Transferees</w:t>
      </w:r>
      <w:r>
        <w:rPr>
          <w:rFonts w:ascii="Times New Roman" w:cs="Times New Roman" w:eastAsia="Times New Roman" w:hAnsi="Times New Roman"/>
          <w:sz w:val="18"/>
          <w:szCs w:val="18"/>
          <w:color w:val="auto"/>
        </w:rPr>
        <w:t>” shall mean any person or entity to whom a Holder of Registrable Securities is permitted to transfer such Registrable Securities prior to the expiration of the Founder Shares Lock-up Period, Private Placement Lock-up Period or any other lock-up period, as the case may be, under the Insider Letter, the Private Placement Warrants Purchase Agreement, this Agreement and any other applicable agreement between such Holder and the Company, and to any transferee thereafter.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Piggyback Registration</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Private Placement Lock-up Period</w:t>
      </w:r>
      <w:r>
        <w:rPr>
          <w:rFonts w:ascii="Times New Roman" w:cs="Times New Roman" w:eastAsia="Times New Roman" w:hAnsi="Times New Roman"/>
          <w:sz w:val="18"/>
          <w:szCs w:val="18"/>
          <w:color w:val="auto"/>
        </w:rPr>
        <w:t>” shall mean, with respect to Private Placement Warrants that are held by the initial purchasers of such Private Placement Warrants or their Permitted Transferees, and any shares of Common Stock issued or issuable upon the exercise of the Private Placement Warrants that are held by the initial purchasers of the Private Placement Warrants or their Permitted Transferees, the period ending 30 days after the completion of the Company’s initial Business Combination.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Private Placement Warrants</w:t>
      </w:r>
      <w:r>
        <w:rPr>
          <w:rFonts w:ascii="Times New Roman" w:cs="Times New Roman" w:eastAsia="Times New Roman" w:hAnsi="Times New Roman"/>
          <w:sz w:val="18"/>
          <w:szCs w:val="18"/>
          <w:color w:val="auto"/>
        </w:rPr>
        <w:t>” shall have the meaning given in the Recitals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Private Placement Warrants Purchase Agreement</w:t>
      </w:r>
      <w:r>
        <w:rPr>
          <w:rFonts w:ascii="Times New Roman" w:cs="Times New Roman" w:eastAsia="Times New Roman" w:hAnsi="Times New Roman"/>
          <w:sz w:val="18"/>
          <w:szCs w:val="18"/>
          <w:color w:val="auto"/>
        </w:rPr>
        <w:t>” shall have the meaning given in the Recitals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 Rata</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shall mean the prospectus included in any Registration Statement, as supplemented by any and all prospectus supplements and as amended by any and all post-effective amendments and including all material incorporated by reference in such prospectus.</w:t>
      </w:r>
    </w:p>
    <w:p>
      <w:pPr>
        <w:spacing w:after="0" w:line="15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Registrable Security</w:t>
      </w:r>
      <w:r>
        <w:rPr>
          <w:rFonts w:ascii="Times New Roman" w:cs="Times New Roman" w:eastAsia="Times New Roman" w:hAnsi="Times New Roman"/>
          <w:sz w:val="18"/>
          <w:szCs w:val="18"/>
          <w:color w:val="auto"/>
        </w:rPr>
        <w:t xml:space="preserve">” shall mean (a) the Founder Shares and the shares of Common Stock issued or issuable upon the conversion of the Founder Shares, (b) the Private Placement Warrants (including any shares of Common Stock issued or issuable upon the exercise of the Private Placement Warrants), (c) any outstanding shares of Common Stock or any other equity security (including the shares of Common Stock issued or issuable upon the exercise of any other equity security) of the Company held by a Holder as of the date of this Agreement, (d) any equity securities (including the shares of Common Stock issued or issuable upon the exercise of any such equity security) of the Company issuable upon conversion of any working capital loans in an amount up to $1,500,000 made to the Company by a Holder (including the Working Capital Warrants and shares of Common Stock issued or issuable upon the exercise of the Working Capital Warrants) and (e) any other equity security of the Company issued or issuable with respect to any such share of Common Stock by way of a stock dividend or stock split or in connection with a combination of shares, recapitalization, merger, consolidation or reorganization;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as to any particular Registrable Security,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new certificates for such securities not bearing a legend restricting further transfer shall have been delivered by the Company and subsequent public distribution of such securities shall not require registration under the Securities Act; (C) such securities shall have ceased to be outstanding; (D) such securities may be sold without registration pursuant to Rule 144 promulgated under the Securities Act (or any successor rule promulgated thereafter by the Commission) (but with no volume or other restrictions or limitations); or (E) such securities have been sold to, or through, a broker, dealer or underwriter in a public distribution or other public securities transaction.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3" w:name="page104"/>
    <w:bookmarkEnd w:id="103"/>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w:t>
      </w:r>
      <w:r>
        <w:rPr>
          <w:rFonts w:ascii="Times New Roman" w:cs="Times New Roman" w:eastAsia="Times New Roman" w:hAnsi="Times New Roman"/>
          <w:sz w:val="18"/>
          <w:szCs w:val="18"/>
          <w:color w:val="auto"/>
        </w:rPr>
        <w:t>” shall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Expenses</w:t>
      </w:r>
      <w:r>
        <w:rPr>
          <w:rFonts w:ascii="Times New Roman" w:cs="Times New Roman" w:eastAsia="Times New Roman" w:hAnsi="Times New Roman"/>
          <w:sz w:val="18"/>
          <w:szCs w:val="18"/>
          <w:color w:val="auto"/>
        </w:rPr>
        <w:t>” shall mean the out-of-pocket expenses of a Registration, including, without limitation, the following:</w:t>
      </w:r>
    </w:p>
    <w:p>
      <w:pPr>
        <w:spacing w:after="0" w:line="229" w:lineRule="exact"/>
        <w:rPr>
          <w:sz w:val="20"/>
          <w:szCs w:val="20"/>
          <w:color w:val="auto"/>
        </w:rPr>
      </w:pPr>
    </w:p>
    <w:p>
      <w:pPr>
        <w:ind w:left="660" w:firstLine="644"/>
        <w:spacing w:after="0" w:line="282" w:lineRule="auto"/>
        <w:tabs>
          <w:tab w:leader="none" w:pos="164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registration and filing fees (including fees with respect to filings required to be made with the Financial Industry Regulatory Authority, Inc.) and any securities exchange on which the Common Stock is then listed;</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6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of compliance with securities or blue sky laws (including reasonable fees and disbursements of counsel for the Underwriters in connection with blue sky qualifications of Registrable Securities);</w:t>
      </w:r>
    </w:p>
    <w:p>
      <w:pPr>
        <w:spacing w:after="0" w:line="161"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printing, messenger, telephone and delivery expenses;</w:t>
      </w:r>
    </w:p>
    <w:p>
      <w:pPr>
        <w:spacing w:after="0" w:line="225"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disbursements of counsel for the Company;</w:t>
      </w:r>
    </w:p>
    <w:p>
      <w:pPr>
        <w:spacing w:after="0" w:line="22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68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disbursements of all independent registered public accountants of the Company incurred specifically in connection with such Registration; and</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62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expenses of one (1) legal counsel selected by the majority-in-interest of the Demanding Holders initiating a Demand Registration to be registered for offer and sale in the applicable Registration.</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shall mean any registration statement that covers the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Requesting Holder</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shall mean the Securities Act of 1933, as amended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shall have the meaning given in the Recitals hereto.</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Underwriter</w:t>
      </w:r>
      <w:r>
        <w:rPr>
          <w:rFonts w:ascii="Times New Roman" w:cs="Times New Roman" w:eastAsia="Times New Roman" w:hAnsi="Times New Roman"/>
          <w:sz w:val="18"/>
          <w:szCs w:val="18"/>
          <w:color w:val="auto"/>
        </w:rPr>
        <w:t>” shall mean a securities dealer who purchases any Registrable Securities as principal in an Underwritten Offering and not as part of such dealer’s market-making activities.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Underwritten Registration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Underwritten Offering</w:t>
      </w:r>
      <w:r>
        <w:rPr>
          <w:rFonts w:ascii="Times New Roman" w:cs="Times New Roman" w:eastAsia="Times New Roman" w:hAnsi="Times New Roman"/>
          <w:sz w:val="18"/>
          <w:szCs w:val="18"/>
          <w:color w:val="auto"/>
        </w:rPr>
        <w:t>” shall mean a Registration in which securities of the Company are sold to an Underwriter in a firm commitment underwriting for distribution to the public.</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Working Capital Warrants</w:t>
      </w:r>
      <w:r>
        <w:rPr>
          <w:rFonts w:ascii="Times New Roman" w:cs="Times New Roman" w:eastAsia="Times New Roman" w:hAnsi="Times New Roman"/>
          <w:sz w:val="18"/>
          <w:szCs w:val="18"/>
          <w:color w:val="auto"/>
        </w:rPr>
        <w:t>” shall have the meaning given in the Recitals hereto.</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2.1 Demand Registration.</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Request for Registration</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subsection 2.1.4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hereof, at any time and from time to time on or after the date the Company consummates the Business Combination, the Holders of at least fifteen percent (15%) of the then-outstanding number of Registrable Securities (the “</w:t>
      </w:r>
      <w:r>
        <w:rPr>
          <w:rFonts w:ascii="Times New Roman" w:cs="Times New Roman" w:eastAsia="Times New Roman" w:hAnsi="Times New Roman"/>
          <w:sz w:val="18"/>
          <w:szCs w:val="18"/>
          <w:b w:val="1"/>
          <w:bCs w:val="1"/>
          <w:i w:val="1"/>
          <w:iCs w:val="1"/>
          <w:color w:val="auto"/>
        </w:rPr>
        <w:t>Demanding Holders</w:t>
      </w:r>
      <w:r>
        <w:rPr>
          <w:rFonts w:ascii="Times New Roman" w:cs="Times New Roman" w:eastAsia="Times New Roman" w:hAnsi="Times New Roman"/>
          <w:sz w:val="18"/>
          <w:szCs w:val="18"/>
          <w:color w:val="auto"/>
        </w:rPr>
        <w:t>”) may make a written demand for Registration under the Securities Act of all or part of their Registrable Securities, which written demand shall describe the amount and type of securities to be included in such Registration and the intended method(s) of distribution thereof (such written demand a “</w:t>
      </w:r>
      <w:r>
        <w:rPr>
          <w:rFonts w:ascii="Times New Roman" w:cs="Times New Roman" w:eastAsia="Times New Roman" w:hAnsi="Times New Roman"/>
          <w:sz w:val="18"/>
          <w:szCs w:val="18"/>
          <w:b w:val="1"/>
          <w:bCs w:val="1"/>
          <w:i w:val="1"/>
          <w:iCs w:val="1"/>
          <w:color w:val="auto"/>
        </w:rPr>
        <w:t>Demand Registration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shall, within ten (10) days of the Company’s receipt of the Demand Registration, notify, in writing, all other Holders of Registrable Securities of such demand, and each Holder of Registrable Securities who thereafter wishes to include all or a portion of such Holder’s Registrable Securities in a Registration pursuant to a Demand Registration (each such Holder that includes all or a portion of such Holder’s Registrable Securities in such Registration, a “</w:t>
      </w:r>
      <w:r>
        <w:rPr>
          <w:rFonts w:ascii="Times New Roman" w:cs="Times New Roman" w:eastAsia="Times New Roman" w:hAnsi="Times New Roman"/>
          <w:sz w:val="18"/>
          <w:szCs w:val="18"/>
          <w:b w:val="1"/>
          <w:bCs w:val="1"/>
          <w:i w:val="1"/>
          <w:iCs w:val="1"/>
          <w:color w:val="auto"/>
        </w:rPr>
        <w:t>Requesting Holder</w:t>
      </w:r>
      <w:r>
        <w:rPr>
          <w:rFonts w:ascii="Times New Roman" w:cs="Times New Roman" w:eastAsia="Times New Roman" w:hAnsi="Times New Roman"/>
          <w:sz w:val="18"/>
          <w:szCs w:val="18"/>
          <w:color w:val="auto"/>
        </w:rPr>
        <w:t xml:space="preserve">”) shall so notify the Company, in writing, within five (5) days after the receipt by the Holder of the notice from the Company. Upon receipt by the Company of any such written notification from a Requesting Holder(s), such Requesting Holder(s) shall be entitled to have their Registrable Securities included in a Registration pursuant to a Demand Registration and the Company shall effect, as soon thereafter as practicable, but not more than forty five (45) days immediately after the Company’s receipt of the Demand Registration, the Registration of all Registrable Securities requested by the Demanding Holders and Requesting Holders pursuant to such Demand Registration. Under no circumstances shall the Company be obligated to effect more than an aggregate of three (3) Registrations pursuant to a Demand Registration under this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with respect to any or all Registrable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Registration shall not be counted for such purposes unless a Form S-1 or any similar long-form registration statement that may be available at such time (“</w:t>
      </w:r>
      <w:r>
        <w:rPr>
          <w:rFonts w:ascii="Times New Roman" w:cs="Times New Roman" w:eastAsia="Times New Roman" w:hAnsi="Times New Roman"/>
          <w:sz w:val="18"/>
          <w:szCs w:val="18"/>
          <w:b w:val="1"/>
          <w:bCs w:val="1"/>
          <w:i w:val="1"/>
          <w:iCs w:val="1"/>
          <w:color w:val="auto"/>
        </w:rPr>
        <w:t>Form S-1</w:t>
      </w:r>
      <w:r>
        <w:rPr>
          <w:rFonts w:ascii="Times New Roman" w:cs="Times New Roman" w:eastAsia="Times New Roman" w:hAnsi="Times New Roman"/>
          <w:sz w:val="18"/>
          <w:szCs w:val="18"/>
          <w:color w:val="auto"/>
        </w:rPr>
        <w:t xml:space="preserve">”) has become effective and all of the Registrable Securities requested by the Requesting Holders to be registered on behalf of the Requesting Holders in such Form S-1 Registration have been sold, in accordance with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of this Agreement.</w:t>
      </w:r>
    </w:p>
    <w:p>
      <w:pPr>
        <w:spacing w:after="0" w:line="19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Effective Registration</w:t>
      </w:r>
      <w:r>
        <w:rPr>
          <w:rFonts w:ascii="Times New Roman" w:cs="Times New Roman" w:eastAsia="Times New Roman" w:hAnsi="Times New Roman"/>
          <w:sz w:val="18"/>
          <w:szCs w:val="18"/>
          <w:color w:val="auto"/>
        </w:rPr>
        <w:t xml:space="preserve">. Notwithstanding the provisions of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above or any other part of this Agreement, a Registration pursuant to a Demand Registration shall not count as a Registration unless and until (i) the Registration Statement filed with the Commission with respect to a Registration pursuant to a Demand Registration has been declared effective by the Commission and (ii) the Company has complied with all of its obligations under this Agreement with respect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after such Registration Statement has been declared effective, an offering of Registrable Securities in a Registration pursuant to a Demand Registration is subsequently interfered with by any stop order or injunction of the Commission, federal or state court or any other governmental agency the Registration Statement with respect to such Registration shall be deemed not to have been declared effective, unless and until, (i) such stop order or injunction is removed, rescinded or otherwise terminated, and (ii) a majority-in-interest of the Demanding Holders initiating such Demand Registration thereafter affirmatively elect to continue with such Registration and accordingly notify the Company in writing, but in no event later than five (5) days, of such election;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Company shall not be obligated or required to file another Registration Statement until the Registration Statement that has been previously filed with respect to a Registration pursuant to a Demand Registration becomes effective or is subsequently terminated.</w:t>
      </w:r>
    </w:p>
    <w:p>
      <w:pPr>
        <w:spacing w:after="0" w:line="19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Underwritten Offering</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subsection 2.1.4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hereof, if a majority-in-interest of the Demanding Holders so advise the Company as part of their Demand Registration that the offering of the Registrable Securities pursuant to such Demand Registration shall be in the form of an Underwritten Offering, then the right of such Demanding Holder or Requesting Holder (if any) to include its Registrable Securities in such Registration shall be conditioned upon such Holder’s participation in such Underwritten Offering and the inclusion of such Holder’s Registrable Securities in such Underwritten Offering to the extent provided herein. All such Holders proposing to distribute their Registrable Securities through an Underwritten Offering under this </w:t>
      </w:r>
      <w:r>
        <w:rPr>
          <w:rFonts w:ascii="Times New Roman" w:cs="Times New Roman" w:eastAsia="Times New Roman" w:hAnsi="Times New Roman"/>
          <w:sz w:val="18"/>
          <w:szCs w:val="18"/>
          <w:u w:val="single" w:color="auto"/>
          <w:color w:val="auto"/>
        </w:rPr>
        <w:t>subsection 2.1.3</w:t>
      </w:r>
      <w:r>
        <w:rPr>
          <w:rFonts w:ascii="Times New Roman" w:cs="Times New Roman" w:eastAsia="Times New Roman" w:hAnsi="Times New Roman"/>
          <w:sz w:val="18"/>
          <w:szCs w:val="18"/>
          <w:color w:val="auto"/>
        </w:rPr>
        <w:t xml:space="preserve"> shall enter into an underwriting agreement in customary form with the Underwriter(s) selected for such Underwritten Offering by the majority-in-interest of the Demanding Holders initiating the Demand Registration.</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5" w:name="page106"/>
    <w:bookmarkEnd w:id="105"/>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u w:val="single" w:color="auto"/>
          <w:color w:val="auto"/>
        </w:rPr>
        <w:t>Reduction of Underwritten Offering</w:t>
      </w:r>
      <w:r>
        <w:rPr>
          <w:rFonts w:ascii="Times New Roman" w:cs="Times New Roman" w:eastAsia="Times New Roman" w:hAnsi="Times New Roman"/>
          <w:sz w:val="18"/>
          <w:szCs w:val="18"/>
          <w:color w:val="auto"/>
        </w:rPr>
        <w:t>. If the managing Underwriter or Underwriters in an Underwritten Registration pursuant to a Demand Registration, in good faith, advises the Company, the Demanding Holders and the Requesting Holders (if any) in writing that the dollar amount or number of Registrable Securities that the Demanding Holders and the Requesting Holders (if any) desire to sell, taken together with all other shares of Common Stock or other equity securities that the Company desires to sell and the shares of Common Stock, if any, as to which a Registration has been requested pursuant to separate written contractual piggy-back registration rights held by any other stockholders who desire to sell,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Times New Roman" w:cs="Times New Roman" w:eastAsia="Times New Roman" w:hAnsi="Times New Roman"/>
          <w:sz w:val="18"/>
          <w:szCs w:val="18"/>
          <w:b w:val="1"/>
          <w:bCs w:val="1"/>
          <w:i w:val="1"/>
          <w:iCs w:val="1"/>
          <w:color w:val="auto"/>
        </w:rPr>
        <w:t>Maximum Number of Securities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then the Company shall include in such Underwritten Offering, as follows: (i) first, the Registrable Securities of the Demanding Holders and the Requesting Holders (if any) (pro rata based on the respective number of Registrable Securities that each Demanding Holder and Requesting Holder (if any) has requested be included in such Underwritten Registration and the aggregate number of Registrable Securities that the Demanding Holders and Requesting Holders (if any) have requested be included in such Underwritten Registration (such proportion is referred to herein as “</w:t>
      </w:r>
      <w:r>
        <w:rPr>
          <w:rFonts w:ascii="Times New Roman" w:cs="Times New Roman" w:eastAsia="Times New Roman" w:hAnsi="Times New Roman"/>
          <w:sz w:val="18"/>
          <w:szCs w:val="18"/>
          <w:b w:val="1"/>
          <w:bCs w:val="1"/>
          <w:i w:val="1"/>
          <w:iCs w:val="1"/>
          <w:color w:val="auto"/>
        </w:rPr>
        <w:t>Pro Rata</w:t>
      </w:r>
      <w:r>
        <w:rPr>
          <w:rFonts w:ascii="Times New Roman" w:cs="Times New Roman" w:eastAsia="Times New Roman" w:hAnsi="Times New Roman"/>
          <w:sz w:val="18"/>
          <w:szCs w:val="18"/>
          <w:color w:val="auto"/>
        </w:rPr>
        <w:t xml:space="preserve">”)) that can be sold without exceeding the Maximum Number of Securities; (ii) second, to the extent that the Maximum Number of Securities has not been reached under the foregoing clause (i), the Registrable Securities of Holders (Pro Rata, based on the respective number of Registrable Securities that each Holder has so requested) exercising their rights to register their Registrable Securities pursuant to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 xml:space="preserve"> hereof, without exceeding the Maximum Number of Securities; and (iii) third, to the extent that the Maximum Number of Securities has not been reached under the foregoing clauses (i) and (ii), the shares of Common Stock or other equity securities that the Company desires to sell, which can be sold without exceeding the Maximum Number of Securities; and (iv) fourth, to the extent that the Maximum Number of Securities has not been reached under the foregoing clauses (i), (ii) and (iii), the shares of Common Stock or other equity securities of other persons or entities that the Company is obligated to register in a Registration pursuant to separate written contractual arrangements with such persons and that can be sold without exceeding the Maximum Number of Securities.</w:t>
      </w:r>
    </w:p>
    <w:p>
      <w:pPr>
        <w:spacing w:after="0" w:line="18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u w:val="single" w:color="auto"/>
          <w:color w:val="auto"/>
        </w:rPr>
        <w:t>Demand Registration Withdrawal</w:t>
      </w:r>
      <w:r>
        <w:rPr>
          <w:rFonts w:ascii="Times New Roman" w:cs="Times New Roman" w:eastAsia="Times New Roman" w:hAnsi="Times New Roman"/>
          <w:sz w:val="18"/>
          <w:szCs w:val="18"/>
          <w:color w:val="auto"/>
        </w:rPr>
        <w:t xml:space="preserve">. A majority-in-interest of the Demanding Holders initiating a Demand Registration or a majority-in- interest of the Requesting Holders (if any), pursuant to a Registration under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hereof shall have the right to withdraw from a Registration pursuant to such Demand Registration for any or no reason whatsoever upon written notification to the Company and the Underwriter or Underwriters (if any) of their intention to withdraw from such Registration prior to the effectiveness of the Registration Statement filed with the Commission with respect to the Registration of their Registrable Securities pursuant to such Demand Registration. Notwithstanding anything to the contrary in this Agreement, the Company shall be responsible for the Registration Expenses incurred in connection with a Registration pursuant to a Demand Registration prior to its withdrawal under this </w:t>
      </w:r>
      <w:r>
        <w:rPr>
          <w:rFonts w:ascii="Times New Roman" w:cs="Times New Roman" w:eastAsia="Times New Roman" w:hAnsi="Times New Roman"/>
          <w:sz w:val="18"/>
          <w:szCs w:val="18"/>
          <w:u w:val="single" w:color="auto"/>
          <w:color w:val="auto"/>
        </w:rPr>
        <w:t>subsection 2.1.5</w:t>
      </w:r>
      <w:r>
        <w:rPr>
          <w:rFonts w:ascii="Times New Roman" w:cs="Times New Roman" w:eastAsia="Times New Roman" w:hAnsi="Times New Roman"/>
          <w:sz w:val="18"/>
          <w:szCs w:val="18"/>
          <w:color w:val="auto"/>
        </w:rPr>
        <w: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6" w:name="page107"/>
    <w:bookmarkEnd w:id="106"/>
    <w:p>
      <w:pPr>
        <w:ind w:left="660"/>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Piggyback Registration.</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2.2.1 </w:t>
      </w:r>
      <w:r>
        <w:rPr>
          <w:rFonts w:ascii="Times New Roman" w:cs="Times New Roman" w:eastAsia="Times New Roman" w:hAnsi="Times New Roman"/>
          <w:sz w:val="18"/>
          <w:szCs w:val="18"/>
          <w:u w:val="single" w:color="auto"/>
          <w:color w:val="auto"/>
        </w:rPr>
        <w:t>Piggyback Rights</w:t>
      </w:r>
      <w:r>
        <w:rPr>
          <w:rFonts w:ascii="Times New Roman" w:cs="Times New Roman" w:eastAsia="Times New Roman" w:hAnsi="Times New Roman"/>
          <w:sz w:val="18"/>
          <w:szCs w:val="18"/>
          <w:color w:val="auto"/>
        </w:rPr>
        <w:t xml:space="preserve">. If, at any time on or after the date the Company consummates a Business Combination, the Company proposes to file a Registration Statement under the Securities Act with respect to an offering of equity securities, or securities or other obligations exercisable or exchangeable for, or convertible into equity securities, for its own account or for the account of stockholders of the Company (or by the Company and by the stockholders of the Company including, without limitation,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hereof), other than a Registration Statement (i) filed in connection with any employee stock option or other benefit plan, (ii) for an exchange offer or offering of securities solely to the Company’s existing stockholders, (iii) for an offering of debt that is convertible into equity securities of the Company or (iv) for a dividend reinvestment plan, then the Company shall give written notice of such proposed filing to all of the Holders of Registrable Securities as soon as practicable but not less than ten (10) days before the anticipated filing date of such Registration Statement, which notice shall (A) describe the amount and type of securities to be included in such offering, the intended method(s) of distribution, and the name of the proposed managing Underwriter or Underwriters, if any, in such offering, and (B) offer to all of the Holders of Registrable Securities the opportunity to register the sale of such number of Registrable Securities as such Holders may request in writing within five (5) days after receipt of such written notice (such Registration a “</w:t>
      </w:r>
      <w:r>
        <w:rPr>
          <w:rFonts w:ascii="Times New Roman" w:cs="Times New Roman" w:eastAsia="Times New Roman" w:hAnsi="Times New Roman"/>
          <w:sz w:val="18"/>
          <w:szCs w:val="18"/>
          <w:b w:val="1"/>
          <w:bCs w:val="1"/>
          <w:i w:val="1"/>
          <w:iCs w:val="1"/>
          <w:color w:val="auto"/>
        </w:rPr>
        <w:t>Piggyback Registration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shall, in good faith, cause such Registrable Securities to be included in such Piggyback Registration and shall use its best efforts to cause the managing Underwriter or Underwriters of a proposed Underwritten Offering to permit the Registrable Securities requested by the Holders pursuant to this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 xml:space="preserve"> to be included in a Piggyback Registration on the same terms and conditions as any similar securities of the Company included in such Registration and to permit the sale or other disposition of such Registrable Securities in accordance with the intended method(s) of distribution thereof. All such Holders proposing to distribute their Registrable Securities through an Underwritten Offering under this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 xml:space="preserve"> shall enter into an underwriting agreement in customary form with the Underwriter(s) selected for such Underwritten Offering by the Company.</w:t>
      </w:r>
    </w:p>
    <w:p>
      <w:pPr>
        <w:spacing w:after="0" w:line="19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2.2.2 </w:t>
      </w:r>
      <w:r>
        <w:rPr>
          <w:rFonts w:ascii="Times New Roman" w:cs="Times New Roman" w:eastAsia="Times New Roman" w:hAnsi="Times New Roman"/>
          <w:sz w:val="18"/>
          <w:szCs w:val="18"/>
          <w:u w:val="single" w:color="auto"/>
          <w:color w:val="auto"/>
        </w:rPr>
        <w:t>Reduction of Piggyback Registration</w:t>
      </w:r>
      <w:r>
        <w:rPr>
          <w:rFonts w:ascii="Times New Roman" w:cs="Times New Roman" w:eastAsia="Times New Roman" w:hAnsi="Times New Roman"/>
          <w:sz w:val="18"/>
          <w:szCs w:val="18"/>
          <w:color w:val="auto"/>
        </w:rPr>
        <w:t xml:space="preserve">. If the managing Underwriter or Underwriters in an Underwritten Registration that is to be a Piggyback Registration, in good faith, advises the Company and the Holders of Registrable Securities participating in the Piggyback Registration in writing that the dollar amount or number of the shares of Common Stock that the Company desires to sell, taken together with (i) the shares of Common Stock, if any, as to which Registration has been demanded pursuant to separate written contractual arrangements with persons or entities other than the Holders of Registrable Securities hereunder (ii) the Registrable Securities as to which registration has been requested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 and (iii) the shares of Common Stock, if any, as to which Registration has been requested pursuant to separate written contractual piggy-back registration rights of other stockholders of the Company, exceeds the Maximum Number of Securities, then:</w:t>
      </w:r>
    </w:p>
    <w:p>
      <w:pPr>
        <w:spacing w:after="0" w:line="189" w:lineRule="exact"/>
        <w:rPr>
          <w:sz w:val="20"/>
          <w:szCs w:val="20"/>
          <w:color w:val="auto"/>
        </w:rPr>
      </w:pPr>
    </w:p>
    <w:p>
      <w:pPr>
        <w:jc w:val="both"/>
        <w:ind w:left="660" w:firstLine="1292"/>
        <w:spacing w:after="0" w:line="254" w:lineRule="auto"/>
        <w:tabs>
          <w:tab w:leader="none" w:pos="226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Registration is undertaken for the Company’s account, the Company shall include in any such Registration (A) first, the Common Stock or other equity securities that the Company desires to sell,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 xml:space="preserve"> hereof (pro rata based on the respective number of Registrable Securities that such Holder has requested be included in such Registration), which can be sold without exceeding the Maximum Number of Securities; and (C) third, to the extent that the Maximum Number of Securities has not been reached under the foregoing clauses (A) and (B), the shares of Common Stock, if any, as to which Registration has been requested pursuant to written contractual piggy-back registration rights of other stockholders of the Company, which can be sold without exceeding the Maximum Number of Securities;</w:t>
      </w:r>
    </w:p>
    <w:p>
      <w:pPr>
        <w:spacing w:after="0" w:line="191" w:lineRule="exact"/>
        <w:rPr>
          <w:rFonts w:ascii="Times New Roman" w:cs="Times New Roman" w:eastAsia="Times New Roman" w:hAnsi="Times New Roman"/>
          <w:sz w:val="18"/>
          <w:szCs w:val="18"/>
          <w:color w:val="auto"/>
        </w:rPr>
      </w:pPr>
    </w:p>
    <w:p>
      <w:pPr>
        <w:jc w:val="both"/>
        <w:ind w:left="660" w:firstLine="1292"/>
        <w:spacing w:after="0" w:line="253" w:lineRule="auto"/>
        <w:tabs>
          <w:tab w:leader="none" w:pos="227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Registration is pursuant to a request by persons or entities other than the Holders of Registrable Securities, then the Company shall include in any such Registration (A) first, the shares of Common Stock or other equity securities, if any, of such requesting persons or entities, other than the Holders of Registrable Securities,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 xml:space="preserve"> hereof, pro rata based on the respective number of Registrable Securities that each Holder has requested be included in such Registration and the aggregate number of Registrable Securities that the Holders have requested to be included in such Registration, which can be sold without exceeding the Maximum Number of Securities; (C) third, to the extent that the Maximum Number of Securities has not been reached under the foregoing clauses (A) and (B), the shares of Common Stock or other equity securities that the Company desires to sell, which can be sold without exceeding the Maximum Number of Securities; and (D) fourth, to the extent that the Maximum Number of Securities has not been reached under the foregoing clauses (A), (B) and (C), the shares of Common Stock or other equity securities for the account of other persons or entities that the Company is obligated to register pursuant to separate written contractual arrangements with such persons or entities, which can be sold without exceeding the Maximum Number of Securities.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7" w:name="page108"/>
    <w:bookmarkEnd w:id="107"/>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2.2.3 </w:t>
      </w:r>
      <w:r>
        <w:rPr>
          <w:rFonts w:ascii="Times New Roman" w:cs="Times New Roman" w:eastAsia="Times New Roman" w:hAnsi="Times New Roman"/>
          <w:sz w:val="18"/>
          <w:szCs w:val="18"/>
          <w:u w:val="single" w:color="auto"/>
          <w:color w:val="auto"/>
        </w:rPr>
        <w:t>Piggyback Registration Withdrawal</w:t>
      </w:r>
      <w:r>
        <w:rPr>
          <w:rFonts w:ascii="Times New Roman" w:cs="Times New Roman" w:eastAsia="Times New Roman" w:hAnsi="Times New Roman"/>
          <w:sz w:val="18"/>
          <w:szCs w:val="18"/>
          <w:color w:val="auto"/>
        </w:rPr>
        <w:t xml:space="preserve">. Any Holder of Registrable Securities shall have the right to withdraw from a Piggyback Registration for any or no reason whatsoever upon written notification to the Company and the Underwriter or Underwriters (if any) of his, her or its intention to withdraw from such Piggyback Registration prior to the effectiveness of the Registration Statement filed with the Commission with respect to such Piggyback Registration (or in the case of an Underwritten Registration pursuant to Rule 415 under the Securities Act, at least two business days prior to the time of pricing of the applicable offering). The Company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the Company shall be responsible for the Registration Expenses incurred in connection with the Piggyback Registration prior to its withdrawal under this </w:t>
      </w:r>
      <w:r>
        <w:rPr>
          <w:rFonts w:ascii="Times New Roman" w:cs="Times New Roman" w:eastAsia="Times New Roman" w:hAnsi="Times New Roman"/>
          <w:sz w:val="18"/>
          <w:szCs w:val="18"/>
          <w:u w:val="single" w:color="auto"/>
          <w:color w:val="auto"/>
        </w:rPr>
        <w:t>subsection 2.2.3</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2.2.4 </w:t>
      </w:r>
      <w:r>
        <w:rPr>
          <w:rFonts w:ascii="Times New Roman" w:cs="Times New Roman" w:eastAsia="Times New Roman" w:hAnsi="Times New Roman"/>
          <w:sz w:val="18"/>
          <w:szCs w:val="18"/>
          <w:u w:val="single" w:color="auto"/>
          <w:color w:val="auto"/>
        </w:rPr>
        <w:t>Unlimited Piggyback Registration Rights</w:t>
      </w:r>
      <w:r>
        <w:rPr>
          <w:rFonts w:ascii="Times New Roman" w:cs="Times New Roman" w:eastAsia="Times New Roman" w:hAnsi="Times New Roman"/>
          <w:sz w:val="18"/>
          <w:szCs w:val="18"/>
          <w:color w:val="auto"/>
        </w:rPr>
        <w:t xml:space="preserve">. For purposes of clarity, any Registration effected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 shall not be counted as a Registration pursuant to a Demand Registration effected under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hereof.</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Registrations on Form S-3</w:t>
      </w:r>
      <w:r>
        <w:rPr>
          <w:rFonts w:ascii="Times New Roman" w:cs="Times New Roman" w:eastAsia="Times New Roman" w:hAnsi="Times New Roman"/>
          <w:sz w:val="18"/>
          <w:szCs w:val="18"/>
          <w:color w:val="auto"/>
        </w:rPr>
        <w:t>. The Holders of Registrable Securities may at any time, and from time to time, request in writing that the Company, pursuant to Rule 415 under the Securities Act (or any successor rule promulgated thereafter by the Commission), register the resale of any or all of their Registrable Securities on Form S-3 or any similar short form registration statement that may be available at such time (“</w:t>
      </w:r>
      <w:r>
        <w:rPr>
          <w:rFonts w:ascii="Times New Roman" w:cs="Times New Roman" w:eastAsia="Times New Roman" w:hAnsi="Times New Roman"/>
          <w:sz w:val="18"/>
          <w:szCs w:val="18"/>
          <w:b w:val="1"/>
          <w:bCs w:val="1"/>
          <w:i w:val="1"/>
          <w:iCs w:val="1"/>
          <w:color w:val="auto"/>
        </w:rPr>
        <w:t>Form S-3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not be obligated to effect such request through an Underwritten Offering. Within five (5) days of the Company’s receipt of a written request from a Holder or Holders of Registrable Securities for a Registration on Form S-3, the Company shall promptly give written notice of the proposed Registration on Form S-3 to all other Holders of Registrable Securities, and each Holder of Registrable Securities who thereafter wishes to include all or a portion of such Holder’s Registrable Securities in such Registration on Form S-3 shall so notify the Company, in writing, within ten (10) days after the receipt by the Holder of the notice from the Company. As soon as practicable thereafter, but not more than twelve (12) days after the Company’s initial receipt of such written request for a Registration on Form S-3, the Company shall register all or such portion of such Holder’s Registrable Securities as are specified in such written request, together with all or such portion of Registrable Securities of any other Holder or Holders joining in such request as are specified in the written notification given by such Holder or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not be obligated to effect any such Registration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hereof if (i) a Form S-3 is not available for such offering; or (ii) the Holders of Registrable Securities, together with the Holders of any other equity securities of the Company entitled to inclusion in such Registration, propose to sell the Registrable Securities and such other equity securities (if any) at any aggregate price to the public of less than $10,000,000. The Company may fulfill its obligations under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by means of filing a prospectus supplement to an existing registration statement on Form S-3 to the extent that it is eligible to do so.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8" w:name="page109"/>
    <w:bookmarkEnd w:id="10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Restrictions on Registration Rights</w:t>
      </w:r>
      <w:r>
        <w:rPr>
          <w:rFonts w:ascii="Times New Roman" w:cs="Times New Roman" w:eastAsia="Times New Roman" w:hAnsi="Times New Roman"/>
          <w:sz w:val="18"/>
          <w:szCs w:val="18"/>
          <w:color w:val="auto"/>
        </w:rPr>
        <w:t xml:space="preserve">. If (A) during the period starting with the date sixty (60) days prior to the Company’s good faith estimate of the date of the filing of, and ending on a date one hundred and twenty (120) days after the effective date of, a Company initiated Registration and provided that the Company has delivered written notice to the Holders prior to receipt of a Demand Registration pursuant to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hereof and it continues to actively employ, in good faith, all reasonable efforts to cause the applicable Registration Statement to become effective; (B) the Holders have requested an Underwritten Registration and the Company and the Holders are unable to obtain the commitment of underwriters to firmly underwrite the offer; or (C) in the good faith judgment of the Board such Registration would be seriously detrimental to the Company and the Board concludes as a result that it is essential to defer the filing of such Registration Statement at such time, then in each case the Company shall furnish to such Holders a certificate signed by the Chairman of the Board stating that in the good faith judgment of the Board it would be seriously detrimental to the Company for such Registration Statement to be filed in the near future and that it is therefore essential to defer the filing of such Registration Statement. In such event, the Company shall have the right to defer such filing for a period of not more than thirty (30) days;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defer its obligation in this manner more than once in any 12-month period. Notwithstanding anything to the contrary contained in this Agreement, the Company shall not be required to effect or permit any Registration or cause any Registration Statement to become effective, with respect to any Registrable Securities held by any Holder, until after the expiration of the Founder Shares Lock-Up Period or the Private Placement Lock-Up Period, as the case may be.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COMPANY PROCEDURES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General Procedures</w:t>
      </w:r>
      <w:r>
        <w:rPr>
          <w:rFonts w:ascii="Times New Roman" w:cs="Times New Roman" w:eastAsia="Times New Roman" w:hAnsi="Times New Roman"/>
          <w:sz w:val="18"/>
          <w:szCs w:val="18"/>
          <w:color w:val="auto"/>
        </w:rPr>
        <w:t>. If at any time on or after the date the Company consummates a Business Combination the Company is required to effect the Registration of Registrable Securities, the Company shall use its best efforts to effect such Registration to permit the sale of such Registrable Securities in accordance with the intended plan of distribution thereof, and pursuant thereto the Company shall, as expeditiously as possible:</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3.1.1 prepare and file with the Commission as soon as practicable a Registration Statement with respect to such Registrable Securities and use its reasonable best efforts to cause such Registration Statement to become effective and remain effective until all Registrable Securities covered by such Registration Statement have been sold;</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3.1.2 prepare and file with the Commission such amendments and post-effective amendments to the Registration Statement, and such supplements to the Prospectus, as may be requested by the Holders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3.1.3 prior to filing a Registration Statement or Prospectus, or any amendment or supplement thereto, furnish without charge to the Underwriters, if any, and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legal counsel for any such Holders may request in order to facilitate the disposition of the Registrable Securities owned by such Holders;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9" w:name="page110"/>
    <w:bookmarkEnd w:id="109"/>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3.1.4 prior to any public offering of Registrable Securities, use its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188"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3.1.5 cause all such Registrable Securities to be listed on each securities exchange or automated quotation system on which similar securities issued by the Company are then listed;</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3.1.6 provide a transfer agent or warrant agent, as applicable, and registrar for all such Registrable Securities no later than the effective date of such Registration Statement;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3.1.7 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reasonable best efforts to prevent the issuance of any stop order or to obtain its withdrawal if such stop order should be issued;</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3.1.8 at least five (5) days prior to the filing of any Registration Statement or Prospectus or any amendment or supplement to such Registration Statement or Prospectus furnish a copy thereof to each seller of such Registrable Securities and its counsel, including, without limitation, providing copies promptly upon receipt of any comment letters received with respect to any such Registration Statement or Prospectus;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3.1.9 notify the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hereof;</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3.1.10 permit a representative of the Holders (such representative to be selected by a majority of the participating Holders), the Underwriters, if any, and any attorney or accountant retained by such Holders or Underwriter to participate, at each such person’s own expense, in the preparation of the Registration Statement, and cause the Company’s officers, directors and employees to supply all information reasonably requested by any such representative, Underwriter, attorney or accountant in connection with the Registration;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representatives or Underwriters enter into a confidentiality agreement, in form and substance reasonably satisfactory to the Company, prior to the release or disclosure of any such information;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the Company may not include the name of any Holder or Underwriter or any information regarding any Holder or Underwriter in any Registration Statement or Prospectus, any amendment or supplement to such Registration Statement or Prospectus, any document that is to be incorporated by reference into such Registration Statement or Prospectus, or any response to any comment letter, without the prior written consent of such Holder or Underwriter and providing each such Holder or Underwriter a reasonable amount of time to review and comment on such applicable document, which comments the Company shall include unless contrary to applicable law;</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0" w:name="page111"/>
    <w:bookmarkEnd w:id="110"/>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3.1.11 obtain a “cold comfort” letter from the Company’s independent registered public accountants in the event of an Underwritten Registration which the participating Holders may rely on, in customary form and covering such matters of the type customarily covered by “cold comfort” letters as the managing Underwriter may reasonably request, and reasonably satisfactory to a majority-in-interest of the participating Holders;</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3.1.12 on the date the Registrable Securities are delivered for sale pursuant to such Registration, obtain an opinion, dated such date, of counsel representing the Company for the purposes of such Registration, addressed to the Holders, the placement agent or sales agent, if any, and the Underwriters, if any, covering such legal matters with respect to the Registration in respect of which such opinion is being given as the Holders, placement agent, sales agent, or Underwriter may reasonably request and as are customarily included in such opinions and negative assurance letters, and reasonably satisfactory to a majority in interest of the participating Holders;</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3.1.13 in the event of any Underwritten Offering, enter into and perform its obligations under an underwriting agreement, in usual and customary form, with the managing Underwriter of such offering;</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3.1.14 make available to its security holders, as soon as reasonably practicable, an earnings statement covering the period of at least twelve (12) months beginning with the first day of the Company’s first full calendar quarter after the effective date of the Registration Statement which satisfies the provisions of Section 11(a) of the Securities Act and Rule 158 thereunder (or any successor rule promulgated thereafter by the Commission);</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3.1.15 if the Registration involves the Registration of Registrable Securities involving gross proceeds in excess of $25,000,000, use its reasonable efforts to make available senior executives of the Company to participate in customary “road show” presentations that may be reasonably requested by the Underwriter in any Underwritten Offering; and</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3.1.16 otherwise, in good faith, cooperate reasonably with, and take such customary actions as may reasonably be requested by the Holders, in connection with such Registration.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The Registration Expenses of all Registrations shall be borne by the Company. It is acknowledged by the Holders that the Holders shall bear all incremental selling expenses relating to the sale of Registrable Securities, such as Underwriters’ commissions and discounts, brokerage fees, Underwriter marketing costs and, other than as set forth in the definition of “Registration Expenses,” all reasonable fees and expenses of any legal counsel representing the Holders.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Requirements for Participation in Underwritten Offerings</w:t>
      </w:r>
      <w:r>
        <w:rPr>
          <w:rFonts w:ascii="Times New Roman" w:cs="Times New Roman" w:eastAsia="Times New Roman" w:hAnsi="Times New Roman"/>
          <w:sz w:val="18"/>
          <w:szCs w:val="18"/>
          <w:color w:val="auto"/>
        </w:rPr>
        <w:t>. No person may participate in any Underwritten Offering for equity securities of the Company pursuant to a Registration initiated by the Company hereunder unless such person (i) agrees to sell such person’s securities on the basis provided in any underwriting arrangements approved by the Company and (ii) completes and executes all customary questionnaires, powers of attorney, indemnities, lock-up agreements, underwriting agreements and other customary documents as may be reasonably required under the terms of such underwriting arrangements.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1" w:name="page112"/>
    <w:bookmarkEnd w:id="11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Suspension of Sales; Adverse Disclosure</w:t>
      </w:r>
      <w:r>
        <w:rPr>
          <w:rFonts w:ascii="Times New Roman" w:cs="Times New Roman" w:eastAsia="Times New Roman" w:hAnsi="Times New Roman"/>
          <w:sz w:val="18"/>
          <w:szCs w:val="18"/>
          <w:color w:val="auto"/>
        </w:rPr>
        <w:t xml:space="preserve">. Upon receipt of written notice from the Company that a Registration Statement or Prospectus contains a Misstatement, each of the Holders shall forthwith discontinue disposition of Registrable Securities until he, she or it has received copies of a supplemented or amended Prospectus correcting the Misstatement (it being understood that the Company hereby covenants to prepare and file such supplement or amendment as soon as practicable after the time of such notice), or until he, she or it is advised in writing by the Company that the use of the Prospectus may be resumed. If the filing, initial effectiveness or continued use of a Registration Statement in respect of any Registration at any time would require the Company to make an Adverse Disclosure or would require the inclusion in such Registration Statement of financial statements that are unavailable to the Company for reasons beyond the Company’s control, the Company may, upon giving prompt written notice of such action to the Holders, delay the filing or initial effectiveness of, or suspend use of, such Registration Statement for the shortest period of time, but in no event more than thirty (30) days, determined in good faith by the Company to be necessary for such purpose. In the event the Company exercises its rights under the preceding sentence, the Holders agree to suspend, immediately upon their receipt of the notice referred to above, their use of the Prospectus relating to any Registration in connection with any sale or offer to sell Registrable Securities. The Company shall immediately notify the Holders of the expiration of any period during which it exercised its rights under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Reporting Obligations</w:t>
      </w:r>
      <w:r>
        <w:rPr>
          <w:rFonts w:ascii="Times New Roman" w:cs="Times New Roman" w:eastAsia="Times New Roman" w:hAnsi="Times New Roman"/>
          <w:sz w:val="18"/>
          <w:szCs w:val="18"/>
          <w:color w:val="auto"/>
        </w:rPr>
        <w:t>. As long as any Holder shall own Registrable Securities, the Company, at all times while it shall be a reporting company under the Exchange Act, covenants to file timely (or obtain extensions in respect thereof and file within the applicable grace period) all reports required to be filed by the Company after the date hereof pursuant to Sections 13(a) or 15(d) of the Exchange Act and to promptly furnish the Holders with true and complete copies of all such filings. The Company further covenants that it shall take such further action as any Holder may reasonably request, all to the extent required from time to time to enable such Holder to sell shares of Common Stock held by such Holder without registration under the Securities Act within the limitation of the exemptions provided by Rule 144 promulgated under the Securities Act (or any successor rule promulgated thereafter by the Commission), including providing any legal opinions. Upon the request of any Holder, the Company shall deliver to such Holder a written certification of a duly authorized officer as to whether it has complied with such requirements.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INDEMNIFICATION AND CONTRIBUTION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Indemnification.</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4.1.1 The Company agrees to indemnify, to the extent permitted by law, each Holder of Registrable Securities, its officers and directors and each person who controls such Holder (within the meaning of the Securities Act) against all losses, claims, damages, liabilities and expenses (including attorneys’ fees) caused by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or contained in any information furnished in writing to the Company by such Holder expressly for use therein. The Company shall indemnify the Underwriters, their officers and directors and each person who controls such Underwriters (within the meaning of the Securities Act) to the same extent as provided in the foregoing with respect to the indemnification of the Holder.</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4.1.2 In connection with any Registration Statement in which a Holder of Registrable Securities is participating, such Holder shall furnish to the Company in writing such information and affidavits as the Company reasonably requests for use in connection with any such Registration Statement or Prospectus and, to the extent permitted by law, shall indemnify the Company, its directors and officers and agents and each person who controls the Company (within the meaning of the Securities Act) against any losses, claims, damages, liabilities and expenses (including without limitation reasonable attorneys’ fees) resulting from any untrue statement of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such untrue statement or omission is contained in any information or affidavit so furnished in writing by such Holder expressly for use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indemnify the Underwriters, their officers, directors and each person who controls such Underwriters (within the meaning of the Securities Act) to the same extent as provided in the foregoing with respect to indemnification of the Company.</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2" w:name="page113"/>
    <w:bookmarkEnd w:id="112"/>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4.1.3 Any person entitled to indemnification herein shall (i) give prompt written notice to the indemnifying party of any claim with respect to which it seeks indemnification (provided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counsel (plus local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4.1.4 The indemnification provided for under this Agreement shall remain in full force and effect regardless of any investigation made by or on behalf of the indemnified party or any officer, director or controlling person of such indemnified party and shall survive the transfer of securities. The Company and each Holder of Registrable Securities participating in an offering also agrees to make such provisions as are reasonably requested by any indemnified party for contribution to such party in the event the Company’s or such Holder’s indemnification is unavailable for any reason.</w:t>
      </w:r>
    </w:p>
    <w:p>
      <w:pPr>
        <w:spacing w:after="0" w:line="18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4.1.5 If the indemnification provided under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hereof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liability of any Holder under this </w:t>
      </w:r>
      <w:r>
        <w:rPr>
          <w:rFonts w:ascii="Times New Roman" w:cs="Times New Roman" w:eastAsia="Times New Roman" w:hAnsi="Times New Roman"/>
          <w:sz w:val="18"/>
          <w:szCs w:val="18"/>
          <w:u w:val="single" w:color="auto"/>
          <w:color w:val="auto"/>
        </w:rPr>
        <w:t>subsection 4.1.5</w:t>
      </w:r>
      <w:r>
        <w:rPr>
          <w:rFonts w:ascii="Times New Roman" w:cs="Times New Roman" w:eastAsia="Times New Roman" w:hAnsi="Times New Roman"/>
          <w:sz w:val="18"/>
          <w:szCs w:val="18"/>
          <w:color w:val="auto"/>
        </w:rPr>
        <w:t xml:space="preserve"> 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Times New Roman" w:cs="Times New Roman" w:eastAsia="Times New Roman" w:hAnsi="Times New Roman"/>
          <w:sz w:val="18"/>
          <w:szCs w:val="18"/>
          <w:u w:val="single" w:color="auto"/>
          <w:color w:val="auto"/>
        </w:rPr>
        <w:t>subsections 4.1.1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4.1.3</w:t>
      </w:r>
      <w:r>
        <w:rPr>
          <w:rFonts w:ascii="Times New Roman" w:cs="Times New Roman" w:eastAsia="Times New Roman" w:hAnsi="Times New Roman"/>
          <w:sz w:val="18"/>
          <w:szCs w:val="18"/>
          <w:color w:val="auto"/>
        </w:rPr>
        <w:t xml:space="preserve"> above, any legal or other fees, charges or expenses reasonably incurred by such party in connection with any investigation or proceeding. The parties hereto agree that it would not be just and equitable if contribution pursuant to this </w:t>
      </w:r>
      <w:r>
        <w:rPr>
          <w:rFonts w:ascii="Times New Roman" w:cs="Times New Roman" w:eastAsia="Times New Roman" w:hAnsi="Times New Roman"/>
          <w:sz w:val="18"/>
          <w:szCs w:val="18"/>
          <w:u w:val="single" w:color="auto"/>
          <w:color w:val="auto"/>
        </w:rPr>
        <w:t>subsection 4.1.5</w:t>
      </w:r>
      <w:r>
        <w:rPr>
          <w:rFonts w:ascii="Times New Roman" w:cs="Times New Roman" w:eastAsia="Times New Roman" w:hAnsi="Times New Roman"/>
          <w:sz w:val="18"/>
          <w:szCs w:val="18"/>
          <w:color w:val="auto"/>
        </w:rPr>
        <w:t xml:space="preserve"> were determined by pro rata allocation or by any other method of allocation, which does not take account of the equitable considerations referred to in this </w:t>
      </w:r>
      <w:r>
        <w:rPr>
          <w:rFonts w:ascii="Times New Roman" w:cs="Times New Roman" w:eastAsia="Times New Roman" w:hAnsi="Times New Roman"/>
          <w:sz w:val="18"/>
          <w:szCs w:val="18"/>
          <w:u w:val="single" w:color="auto"/>
          <w:color w:val="auto"/>
        </w:rPr>
        <w:t>subsection 4.1.5</w:t>
      </w:r>
      <w:r>
        <w:rPr>
          <w:rFonts w:ascii="Times New Roman" w:cs="Times New Roman" w:eastAsia="Times New Roman" w:hAnsi="Times New Roman"/>
          <w:sz w:val="18"/>
          <w:szCs w:val="18"/>
          <w:color w:val="auto"/>
        </w:rPr>
        <w:t xml:space="preserve">. No person guilty of fraudulent misrepresentation (within the meaning of Section 11(f) of the Securities Act) shall be entitled to contribution pursuant to this </w:t>
      </w:r>
      <w:r>
        <w:rPr>
          <w:rFonts w:ascii="Times New Roman" w:cs="Times New Roman" w:eastAsia="Times New Roman" w:hAnsi="Times New Roman"/>
          <w:sz w:val="18"/>
          <w:szCs w:val="18"/>
          <w:u w:val="single" w:color="auto"/>
          <w:color w:val="auto"/>
        </w:rPr>
        <w:t>subsection 4.1.5</w:t>
      </w:r>
      <w:r>
        <w:rPr>
          <w:rFonts w:ascii="Times New Roman" w:cs="Times New Roman" w:eastAsia="Times New Roman" w:hAnsi="Times New Roman"/>
          <w:sz w:val="18"/>
          <w:szCs w:val="18"/>
          <w:color w:val="auto"/>
        </w:rPr>
        <w:t xml:space="preserve"> from any person who was not guilty of such fraudulent misrepresentation.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Any notice or communication under this Agreement must be in writing and given by (i) deposit in the United States mail, addressed to the party to be notified, postage prepaid and registered or certified with return receipt requested, (ii) delivery in person or by courier service providing evidence of delivery, or (iii) transmission by hand delivery, electronic mail, telecopy, telegram or facsimile. Each notice or communication that is mailed, delivered, or transmitted in the manner described above shall be deemed sufficiently given, served, sent, and received, in the case of mailed notices, on the third business day following the date on which it is mailed and, in the case of notices delivered by courier service, hand delivery, electronic mail, telecopy, telegram or facsimile, at such time as it is delivered to the addressee (with the delivery receipt or the affidavit of messenger) or at such time as delivery is refused by the addressee upon presentation. Any notice or communication under this Agreement must be addressed, if to the Company, to: c/o Corvex Management LP, 667 Madison Avenue, New York, NY 10065, and, if to any Holder, at such Holder’s address or contact information as set forth in the Company’s books and records. Any party may change its address for notice at any time and from time to time by written notice to the other parties hereto, and such change of address shall become effective thirty (30) days after delivery of such notice as provided in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Assignment; No Third Party Beneficiaries.</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5.2.1 This Agreement and the rights, duties and obligations of the Company hereunder may not be assigned or delegated by the Company in whole or in part.</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5.2.2 Prior to the expiration of the Founder Shares Lock-up Period or the Private Placement Lock-up Period, as the case may be, no Holder may assign or delegate such Holder’s rights, duties or obligations under this Agreement, in whole or in part, except in connection with a transfer of Registrable Securities by such Holder to a Permitted Transferee but only if such Permitted Transferee agrees to become bound by the transfer restrictions set forth in this Agreement.</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5.2.3 This Agreement and the provisions hereof shall be binding upon and shall inure to the benefit of each of the parties and its successors and the permitted assigns of the Holders, which shall include Permitted Transferees.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5.2.4 This Agreement shall not confer any rights or benefits on any persons that are not parties hereto, other than as expressly set forth in this Agreement and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hereof.</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5.2.5 No assignment by any party hereto of such party’s rights, duties and obligations hereunder shall be binding upon or obligate the Company unless and until the Company shall have received (i) written notice of such assignment as provided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hereof and (ii) the written agreement of the assignee, in a form reasonably satisfactory to the Company, to be bound by the terms and provisions of this Agreement (which may be accomplished by an addendum or certificate of joinder to this Agreement). Any transfer or assignment made other than as provided in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shall be null and void.</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4" w:name="page115"/>
    <w:bookmarkEnd w:id="11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multiple counterparts (including facsimile or PDF counterparts), each of which shall be deemed an original, and all of which together shall constitute the same instrument, but only one of which need be produced.</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Governing Law; Venue</w:t>
      </w:r>
      <w:r>
        <w:rPr>
          <w:rFonts w:ascii="Times New Roman" w:cs="Times New Roman" w:eastAsia="Times New Roman" w:hAnsi="Times New Roman"/>
          <w:sz w:val="18"/>
          <w:szCs w:val="18"/>
          <w:color w:val="auto"/>
        </w:rPr>
        <w:t>. NOTWITHSTANDING THE PLACE WHERE THIS AGREEMENT MAY BE EXECUTED BY ANY OF THE PARTIES HERETO, THE PARTIES EXPRESSLY AGREE THAT (I) THIS AGREEMENT SHALL BE GOVERNED BY AND CONSTRUED UNDER THE LAWS OF THE STATE OF NEW YORK AS APPLIED TO AGREEMENTS AMONG NEW YORK RESIDENTS ENTERED INTO AND TO BE PERFORMED ENTIRELY WITHIN NEW YORK AND (II) THE VENUE FOR ANY ACTION TAKEN WITH RESPECT TO THIS AGREEMENT SHALL BE ANY STATE OR FEDERAL COURT IN NEW YORK COUNTY IN THE STATE OF NEW YORK.</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Amendments and Modifications</w:t>
      </w:r>
      <w:r>
        <w:rPr>
          <w:rFonts w:ascii="Times New Roman" w:cs="Times New Roman" w:eastAsia="Times New Roman" w:hAnsi="Times New Roman"/>
          <w:sz w:val="18"/>
          <w:szCs w:val="18"/>
          <w:color w:val="auto"/>
        </w:rPr>
        <w:t xml:space="preserve">. Upon the written consent of the Company and the Holders of at least a majority in interest of the Registrable Securities at the time in question, compliance with any of the provisions, covenants and conditions set forth in this Agreement may be waived, or any of such provisions, covenants or conditions may be amended or modified;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the foregoing, any amendment hereto or waiver hereof that adversely affects one Holder, solely in his, her or its capacity as a holder of the shares of capital stock of the Company, in a manner that is materially different from the other Holders (in such capacity) shall require the consent of the Holder so affected.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Other Registration Rights</w:t>
      </w:r>
      <w:r>
        <w:rPr>
          <w:rFonts w:ascii="Times New Roman" w:cs="Times New Roman" w:eastAsia="Times New Roman" w:hAnsi="Times New Roman"/>
          <w:sz w:val="18"/>
          <w:szCs w:val="18"/>
          <w:color w:val="auto"/>
        </w:rPr>
        <w:t>. The Company represents and warrants that no person, other than a Holder of Registrable Securities, has any right to require the Company to register any securities of the Company for sale or to include such securities of the Company in any Registration filed by the Company for the sale of securities for its own account or for the account of any other person. Further, the Company represents and warrants that this Agreement supersedes any other registration rights agreement or agreement with similar terms and conditions and in the event of a conflict between any such agreement or agreements and this Agreement, the terms of this Agreement shall prevail.</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This Agreement shall terminate upon the earlier of (i) the tenth anniversary of the date of this Agreement and (ii) the date as of which (A) all of the Registrable Securities have been sold pursuant to a Registration Statement (but in no event prior to the applicable period referred to in Section 4(a)(3) of the Securities Act and Rule 174 thereunder (or any successor rule promulgated thereafter by the Commission)) or (B) the Holders of all Registrable Securities are permitted to sell the Registrable Securities without registration pursuant to Rule 144 (or any similar provision) under the Securities Act with no volume or other restrictions or limitations. The provisions of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u w:val="single" w:color="auto"/>
          <w:color w:val="auto"/>
        </w:rPr>
        <w:t>Article IV</w:t>
      </w:r>
      <w:r>
        <w:rPr>
          <w:rFonts w:ascii="Times New Roman" w:cs="Times New Roman" w:eastAsia="Times New Roman" w:hAnsi="Times New Roman"/>
          <w:sz w:val="18"/>
          <w:szCs w:val="18"/>
          <w:color w:val="auto"/>
        </w:rPr>
        <w:t xml:space="preserve"> hereof shall survive any termination.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have caused this Agreement to be executed as of the date first written above.</w:t>
      </w:r>
    </w:p>
    <w:p>
      <w:pPr>
        <w:spacing w:after="0" w:line="2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COMPANY:</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CM LIFE SCIENCES, INC., a Delaware corporation</w:t>
      </w:r>
    </w:p>
    <w:p>
      <w:pPr>
        <w:spacing w:after="0" w:line="225" w:lineRule="exact"/>
        <w:rPr>
          <w:sz w:val="20"/>
          <w:szCs w:val="20"/>
          <w:color w:val="auto"/>
        </w:rPr>
      </w:pPr>
    </w:p>
    <w:p>
      <w:pPr>
        <w:ind w:left="6100"/>
        <w:spacing w:after="0"/>
        <w:tabs>
          <w:tab w:leader="none" w:pos="6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Brian Emes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17145</wp:posOffset>
            </wp:positionV>
            <wp:extent cx="256286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Brian Emes</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Chief Financial Officer and Secretary</w:t>
      </w:r>
    </w:p>
    <w:p>
      <w:pPr>
        <w:spacing w:after="0" w:line="20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HOLDERS:</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7"/>
          <w:szCs w:val="17"/>
          <w:color w:val="auto"/>
        </w:rPr>
        <w:t>CMLS HOLDINGS LLC, a Delaware limited liability</w:t>
      </w:r>
    </w:p>
    <w:p>
      <w:pPr>
        <w:spacing w:after="0" w:line="3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ind w:left="6100"/>
        <w:spacing w:after="0"/>
        <w:tabs>
          <w:tab w:leader="none" w:pos="6520" w:val="left"/>
        </w:tabs>
        <w:rPr>
          <w:sz w:val="20"/>
          <w:szCs w:val="20"/>
          <w:color w:val="auto"/>
        </w:rPr>
      </w:pPr>
      <w:r>
        <w:rPr>
          <w:rFonts w:ascii="Times New Roman" w:cs="Times New Roman" w:eastAsia="Times New Roman" w:hAnsi="Times New Roman"/>
          <w:sz w:val="18"/>
          <w:szCs w:val="18"/>
          <w:color w:val="auto"/>
        </w:rPr>
        <w:t>By:</w:t>
        <w:tab/>
        <w:t>/s/ Keith Meister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17145</wp:posOffset>
            </wp:positionV>
            <wp:extent cx="256286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Keith Meister</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Manager</w:t>
      </w:r>
    </w:p>
    <w:p>
      <w:pPr>
        <w:spacing w:after="0" w:line="234"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Munib Islam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17145</wp:posOffset>
            </wp:positionV>
            <wp:extent cx="284607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Munib Islam</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Emily Leproust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17145</wp:posOffset>
            </wp:positionV>
            <wp:extent cx="284607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Emily Leproust</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Nat Turner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17145</wp:posOffset>
            </wp:positionV>
            <wp:extent cx="284607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Nat Turner</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428625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00"/>
          </w:cols>
          <w:pgMar w:left="980" w:top="900" w:right="91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PRIVATE PLACEMENT WARRANTS PURCHASE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PRIVATE PLACEMENT WARRANTS PURCHASE AGREEMENT, dated as of September 1, 2020 (as it may from time to time be amended and including all exhibits referenced herein,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by and between CM Life Sciences,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CMLS Holdings LLC, a Delaware limited liability company (the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and each of the individuals set forth on the signature pages hereto under “Purchasers” (together with the Sponsor, the “</w:t>
      </w:r>
      <w:r>
        <w:rPr>
          <w:rFonts w:ascii="Times New Roman" w:cs="Times New Roman" w:eastAsia="Times New Roman" w:hAnsi="Times New Roman"/>
          <w:sz w:val="18"/>
          <w:szCs w:val="18"/>
          <w:b w:val="1"/>
          <w:bCs w:val="1"/>
          <w:color w:val="auto"/>
        </w:rPr>
        <w:t>Purchasers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WHEREAS, the Company intends to consummate an initial public offering of the Company’s units (the “</w:t>
      </w:r>
      <w:r>
        <w:rPr>
          <w:rFonts w:ascii="Times New Roman" w:cs="Times New Roman" w:eastAsia="Times New Roman" w:hAnsi="Times New Roman"/>
          <w:sz w:val="18"/>
          <w:szCs w:val="18"/>
          <w:b w:val="1"/>
          <w:bCs w:val="1"/>
          <w:color w:val="auto"/>
        </w:rPr>
        <w:t>Public Offering</w:t>
      </w:r>
      <w:r>
        <w:rPr>
          <w:rFonts w:ascii="Times New Roman" w:cs="Times New Roman" w:eastAsia="Times New Roman" w:hAnsi="Times New Roman"/>
          <w:sz w:val="18"/>
          <w:szCs w:val="18"/>
          <w:color w:val="auto"/>
        </w:rPr>
        <w:t>”), each unit consisting of one share of the Company’s Class A common stock, par value $0.0001 per share (each, a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and one-third of one redeemable warrant. Each whole warrant entitles the holder to purchase one Share at an exercise price of $11.50 per Share. The Purchasers have agreed to purchase an aggregate of 6,466,667 warrants (or 7,236,667 warrants in the aggregate to the extent the underwriter’s over-allotment option in connection with the Public Offering is exercised in full) (the “</w:t>
      </w:r>
      <w:r>
        <w:rPr>
          <w:rFonts w:ascii="Times New Roman" w:cs="Times New Roman" w:eastAsia="Times New Roman" w:hAnsi="Times New Roman"/>
          <w:sz w:val="18"/>
          <w:szCs w:val="18"/>
          <w:b w:val="1"/>
          <w:bCs w:val="1"/>
          <w:color w:val="auto"/>
        </w:rPr>
        <w:t>Private Placement Warrants</w:t>
      </w:r>
      <w:r>
        <w:rPr>
          <w:rFonts w:ascii="Times New Roman" w:cs="Times New Roman" w:eastAsia="Times New Roman" w:hAnsi="Times New Roman"/>
          <w:sz w:val="18"/>
          <w:szCs w:val="18"/>
          <w:color w:val="auto"/>
        </w:rPr>
        <w:t>”), each Private Placement Warrant entitling the holder to purchase one Share at an exercise price of $11.50 per Share.</w:t>
      </w:r>
    </w:p>
    <w:p>
      <w:pPr>
        <w:spacing w:after="0" w:line="18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promises contained in this Agreement and other good and valuable consideration, the receipt and sufficiency of which are hereby acknowledged, the parties to this Agreement hereby, intending legally to be bound, agree as follows: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AGREEMENT</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 Authorization, Purchase and Sale; Terms of the Private Placement Warrants.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Authorization of the Private Placement Warrants.</w:t>
      </w:r>
      <w:r>
        <w:rPr>
          <w:rFonts w:ascii="Times New Roman" w:cs="Times New Roman" w:eastAsia="Times New Roman" w:hAnsi="Times New Roman"/>
          <w:sz w:val="18"/>
          <w:szCs w:val="18"/>
          <w:color w:val="auto"/>
        </w:rPr>
        <w:t xml:space="preserve"> The Company has duly authorized the issuance and sale of the Private Placement Warrants to the Purchasers.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Purchase and Sale of the Private Placement 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the date of the consummation of the Public Offering or on such earlier time and date as may be mutually agreed by the Purchasers and the Company (the “</w:t>
      </w:r>
      <w:r>
        <w:rPr>
          <w:rFonts w:ascii="Times New Roman" w:cs="Times New Roman" w:eastAsia="Times New Roman" w:hAnsi="Times New Roman"/>
          <w:sz w:val="18"/>
          <w:szCs w:val="18"/>
          <w:b w:val="1"/>
          <w:bCs w:val="1"/>
          <w:color w:val="auto"/>
        </w:rPr>
        <w:t>Initial Closing Date</w:t>
      </w:r>
      <w:r>
        <w:rPr>
          <w:rFonts w:ascii="Times New Roman" w:cs="Times New Roman" w:eastAsia="Times New Roman" w:hAnsi="Times New Roman"/>
          <w:sz w:val="18"/>
          <w:szCs w:val="18"/>
          <w:color w:val="auto"/>
        </w:rPr>
        <w:t>”), the Company shall issue and sell to the Purchasers, and the Purchasers shall purchase from the Company, an aggregate of 6,466,667 Private Placement Warrants at a price of $1.50 per warrant for an aggregate purchase price of $9,700,000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xml:space="preserve">”) (in such amounts as described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which shall be paid by wire transfer of immediately available funds to the Company in accordance with the Company’s wiring instructions at least one business day prior to the Initial Closing Date. On the Initial Closing Date, the Company, shall either, at its option, deliver certificates evidencing the Private Placement Warrants purchased by the Purchasers on such date duly registered in each Purchaser’s name to each Purchaser, or effect such delivery in book-entry form. On the date of any closing of the over-allotment option in connection with the Public Offering or on such earlier time and date as may be mutually agreed by the Purchasers and the Company (each such date, an “</w:t>
      </w:r>
      <w:r>
        <w:rPr>
          <w:rFonts w:ascii="Times New Roman" w:cs="Times New Roman" w:eastAsia="Times New Roman" w:hAnsi="Times New Roman"/>
          <w:sz w:val="18"/>
          <w:szCs w:val="18"/>
          <w:b w:val="1"/>
          <w:bCs w:val="1"/>
          <w:color w:val="auto"/>
        </w:rPr>
        <w:t>Over-allotment 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and each Over-allotment Closing Date (if any) and the Initial Closing Date being sometimes referred to herein as a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issue and sell to the Purchasers, and the Purchasers shall purchase from the Company, up to an aggregate of 770,000 Private Placement Warrants, in the same proportion as the amount of the over-allotment option that is exercised, at a price of $1.50 per warrant for an aggregate purchase price of up to $1,155,000 (if the over-allotment option in connection with the Public Offering is exercised in full) (the “</w:t>
      </w:r>
      <w:r>
        <w:rPr>
          <w:rFonts w:ascii="Times New Roman" w:cs="Times New Roman" w:eastAsia="Times New Roman" w:hAnsi="Times New Roman"/>
          <w:sz w:val="18"/>
          <w:szCs w:val="18"/>
          <w:b w:val="1"/>
          <w:bCs w:val="1"/>
          <w:color w:val="auto"/>
        </w:rPr>
        <w:t>Over-allotment Purchase Price</w:t>
      </w:r>
      <w:r>
        <w:rPr>
          <w:rFonts w:ascii="Times New Roman" w:cs="Times New Roman" w:eastAsia="Times New Roman" w:hAnsi="Times New Roman"/>
          <w:sz w:val="18"/>
          <w:szCs w:val="18"/>
          <w:color w:val="auto"/>
        </w:rPr>
        <w:t xml:space="preserve">”) (in such amounts as described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which shall be paid by wire transfer of immediately available funds to the Company in accordance with the Company’s wiring instructions at least one business day prior to such Over-allotment Closing Date. On the Over-allotment Closing Date, following the payment by the Purchasers of the Over-allotment Purchase Price payable by them by wire transfer of immediately available funds to the Company, the Company shall either, at its option, deliver certificates evidencing the Private Placement Warrants purchased by the Purchasers on such date duly registered in each Purchaser’s name to each Purchaser, or effect such delivery in book-entry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7" w:name="page118"/>
    <w:bookmarkEnd w:id="117"/>
    <w:p>
      <w:pPr>
        <w:ind w:left="660"/>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Terms of the Private Placement Warrants.</w:t>
      </w:r>
    </w:p>
    <w:p>
      <w:pPr>
        <w:spacing w:after="0" w:line="225" w:lineRule="exact"/>
        <w:rPr>
          <w:sz w:val="20"/>
          <w:szCs w:val="20"/>
          <w:color w:val="auto"/>
        </w:rPr>
      </w:pPr>
    </w:p>
    <w:p>
      <w:pPr>
        <w:ind w:left="660" w:firstLine="644"/>
        <w:spacing w:after="0" w:line="282" w:lineRule="auto"/>
        <w:tabs>
          <w:tab w:leader="none" w:pos="153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Private Placement Warrants shall have their terms set forth in a Warrant Agreement to be entered into by the Company and a warrant agent, in connection with the Public Offering (a “</w:t>
      </w:r>
      <w:r>
        <w:rPr>
          <w:rFonts w:ascii="Times New Roman" w:cs="Times New Roman" w:eastAsia="Times New Roman" w:hAnsi="Times New Roman"/>
          <w:sz w:val="18"/>
          <w:szCs w:val="18"/>
          <w:b w:val="1"/>
          <w:bCs w:val="1"/>
          <w:color w:val="auto"/>
        </w:rPr>
        <w:t>Warrant Agreement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6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prior to the time of the Initial Closing Date, the Company and the Purchasers shall enter into a registration rights agreement (the “</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pursuant to which the Company will grant certain registration rights to the Purchasers relating to the Private Placement Warrants and the Shares underlying the Private Placement Warrants.</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 Representations and Warranties of the Company. </w:t>
      </w:r>
      <w:r>
        <w:rPr>
          <w:rFonts w:ascii="Times New Roman" w:cs="Times New Roman" w:eastAsia="Times New Roman" w:hAnsi="Times New Roman"/>
          <w:sz w:val="18"/>
          <w:szCs w:val="18"/>
          <w:color w:val="auto"/>
        </w:rPr>
        <w:t>As a material inducement to the Purchasers to enter into this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the Private Placement Warrants, the Company hereby represents and warrants to the Purchasers (which representations and warranties shall survive each Closing Date) that:</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Organization and Corporate Power.</w:t>
      </w:r>
      <w:r>
        <w:rPr>
          <w:rFonts w:ascii="Times New Roman" w:cs="Times New Roman" w:eastAsia="Times New Roman" w:hAnsi="Times New Roman"/>
          <w:sz w:val="18"/>
          <w:szCs w:val="18"/>
          <w:color w:val="auto"/>
        </w:rPr>
        <w:t xml:space="preserve"> The Company is a corporation duly organized, validly existing and in good standing under the laws of the State of Delaware and is qualified to do business in every jurisdiction in which the failure to so qualify would reasonably be expected to have a material adverse effect on the financial condition, operating results or assets of the Company. The Company possesses all requisite corporate power and authority necessary to carry out the transactions contemplated by this Agreement and the Warrant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Authorization; No Breach.</w:t>
      </w:r>
    </w:p>
    <w:p>
      <w:pPr>
        <w:spacing w:after="0" w:line="225" w:lineRule="exact"/>
        <w:rPr>
          <w:sz w:val="20"/>
          <w:szCs w:val="20"/>
          <w:color w:val="auto"/>
        </w:rPr>
      </w:pPr>
    </w:p>
    <w:p>
      <w:pPr>
        <w:jc w:val="both"/>
        <w:ind w:firstLine="1304"/>
        <w:spacing w:after="0" w:line="261" w:lineRule="auto"/>
        <w:tabs>
          <w:tab w:leader="none" w:pos="153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Agreement and the Private Placement Warrants have been duly authorized and approved by the Company as of each Closing Date. This Agreement constitutes a valid and binding obligation of the Company, enforceable in accordance with its terms. Upon each issuance of Private Placement Warrants in accordance with, and payment pursuant to, the terms of the Warrant Agreement and this Agreement, the Private Placement Warrants will constitute valid and binding obligations of the Company, enforceable in accordance with their terms.</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7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the Company of this Agreement and the Private Placement Warrants, the issuance and sale of the Private Placement Warrants, the issuance of the Shares upon exercise of the Private Placement Warrants and the fulfillment of, and compliance with, the respective terms hereof and thereof by the Company, do not and will not as of each Closing Date (a) conflict with or result in a breach of the terms, conditions or provisions of, (b) constitute a default under, (c) result in the creation of any lien, security interest, charge or encumbrance upon the Company’s capital stock or assets under, (d) result in a violation of, or (e) require any authorization, consent, approval, exemption, action, notice, declaration or filing, in each case, by or to any court or administrative or governmental body or agency pursuant to the amended and restated certificate of incorporation or the bylaws of the Company (in effect on the date hereof or as may be amended prior to completion of the contemplated Public Offering), or any material law, statute, rule or regulation to which the Company is subject, or any agreement, order, judgment or decree to which the Company is subject, except for any filings required after the date hereof under federal or state securities laws.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8" w:name="page119"/>
    <w:bookmarkEnd w:id="11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Title to Securities.</w:t>
      </w:r>
      <w:r>
        <w:rPr>
          <w:rFonts w:ascii="Times New Roman" w:cs="Times New Roman" w:eastAsia="Times New Roman" w:hAnsi="Times New Roman"/>
          <w:sz w:val="18"/>
          <w:szCs w:val="18"/>
          <w:color w:val="auto"/>
        </w:rPr>
        <w:t xml:space="preserve"> Upon issuance in accordance with, and payment pursuant to, the terms hereof and the Warrant Agreement, the Private Placement Warrants will be duly and validly issued and the Shares issuable upon exercise of the Private Placement Warrants will be duly and validly issued, fully paid and nonassessable. On the date of issuance of the Private Placement Warrants, the Shares issuable upon exercise of the Private Placement Warrants shall have been reserved for issuance. Upon issuance in accordance with, and payment pursuant to, the terms hereof and the Warrant Agreement, each Purchaser will have good title to the Private Placement Warrants and the Shares issuable upon exercise of such Private Placement Warrants, free and clear of all liens, claims and encumbrances of any kind, other than (i) transfer restrictions hereunder and under the other agreements contemplated hereby,</w:t>
      </w:r>
    </w:p>
    <w:p>
      <w:pPr>
        <w:spacing w:after="0" w:line="5" w:lineRule="exact"/>
        <w:rPr>
          <w:sz w:val="20"/>
          <w:szCs w:val="20"/>
          <w:color w:val="auto"/>
        </w:rPr>
      </w:pPr>
    </w:p>
    <w:p>
      <w:pPr>
        <w:ind w:left="280" w:hanging="272"/>
        <w:spacing w:after="0"/>
        <w:tabs>
          <w:tab w:leader="none" w:pos="2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restrictions under federal and state securities laws, and (iii) liens, claims or encumbrances imposed due to the actions of any of the Purchasers.</w:t>
      </w:r>
    </w:p>
    <w:p>
      <w:pPr>
        <w:spacing w:after="0" w:line="206" w:lineRule="exact"/>
        <w:rPr>
          <w:rFonts w:ascii="Times New Roman" w:cs="Times New Roman" w:eastAsia="Times New Roman" w:hAnsi="Times New Roman"/>
          <w:sz w:val="18"/>
          <w:szCs w:val="18"/>
          <w:color w:val="auto"/>
        </w:rPr>
      </w:pPr>
    </w:p>
    <w:p>
      <w:pPr>
        <w:jc w:val="both"/>
        <w:ind w:firstLine="64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Governmental Consents.</w:t>
      </w:r>
      <w:r>
        <w:rPr>
          <w:rFonts w:ascii="Times New Roman" w:cs="Times New Roman" w:eastAsia="Times New Roman" w:hAnsi="Times New Roman"/>
          <w:sz w:val="18"/>
          <w:szCs w:val="18"/>
          <w:color w:val="auto"/>
        </w:rPr>
        <w:t xml:space="preserve"> No permit, consent, approval or authorization of, or declaration to or filing with, any governmental authority is required in connection with the execution, delivery and performance by the Company of this Agreement or the consummation by the Company of any other transactions contemplated hereby.</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3 Representations and Warranties of the Purchasers. </w:t>
      </w:r>
      <w:r>
        <w:rPr>
          <w:rFonts w:ascii="Times New Roman" w:cs="Times New Roman" w:eastAsia="Times New Roman" w:hAnsi="Times New Roman"/>
          <w:sz w:val="18"/>
          <w:szCs w:val="18"/>
          <w:color w:val="auto"/>
        </w:rPr>
        <w:t>As a material inducement to the Company to enter into this Agreement and issue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sell the Private Placement Warrants to the Purchasers, each Purchaser hereby, severally and not jointly, represents and warrants to the Company (which representations and warranties shall survive each Closing Date) that:</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Organization and Requisite Authority.</w:t>
      </w:r>
      <w:r>
        <w:rPr>
          <w:rFonts w:ascii="Times New Roman" w:cs="Times New Roman" w:eastAsia="Times New Roman" w:hAnsi="Times New Roman"/>
          <w:sz w:val="18"/>
          <w:szCs w:val="18"/>
          <w:color w:val="auto"/>
        </w:rPr>
        <w:t xml:space="preserve"> Such Purchaser possesses all requisite power and authority necessary to carry out the transactions contemplated by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Authorization; No Breach.</w:t>
      </w:r>
    </w:p>
    <w:p>
      <w:pPr>
        <w:spacing w:after="0" w:line="225" w:lineRule="exact"/>
        <w:rPr>
          <w:sz w:val="20"/>
          <w:szCs w:val="20"/>
          <w:color w:val="auto"/>
        </w:rPr>
      </w:pPr>
    </w:p>
    <w:p>
      <w:pPr>
        <w:jc w:val="both"/>
        <w:ind w:firstLine="1304"/>
        <w:spacing w:after="0" w:line="266" w:lineRule="auto"/>
        <w:tabs>
          <w:tab w:leader="none" w:pos="1531"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constitutes a valid and binding obligation of such Purchaser, enforceable in accordance with its terms, subject to bankruptcy, insolvency, fraudulent conveyance, reorganization, moratorium and other laws of general applicability relating to or affecting creditors’ rights and to general equitable principles (whether considered in a proceeding in equity or law).</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1"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such Purchaser of this Agreement and the fulfillment of and compliance with the terms hereof by such Purchaser does not and shall not as of each Closing Date conflict with or result in a breach by such Purchaser of the terms, conditions or provisions of any agreement, instrument, order, judgment or decree to which such Purchaser is subject that would materially impact its ability to perform its obligations hereunder.</w:t>
      </w:r>
    </w:p>
    <w:p>
      <w:pPr>
        <w:spacing w:after="0" w:line="179" w:lineRule="exact"/>
        <w:rPr>
          <w:rFonts w:ascii="Times New Roman" w:cs="Times New Roman" w:eastAsia="Times New Roman" w:hAnsi="Times New Roman"/>
          <w:sz w:val="18"/>
          <w:szCs w:val="18"/>
          <w:color w:val="auto"/>
        </w:rPr>
      </w:pPr>
    </w:p>
    <w:p>
      <w:pPr>
        <w:ind w:left="860" w:hanging="204"/>
        <w:spacing w:after="0"/>
        <w:tabs>
          <w:tab w:leader="none" w:pos="8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Representations.</w:t>
      </w:r>
    </w:p>
    <w:p>
      <w:pPr>
        <w:spacing w:after="0" w:line="225"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514"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 is acquiring the Private Placement Warrants and, upon exercise of the Private Placement Warrants, the Shares issuable upon such exercise (collectively,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for such Purchaser’s own account, for investment purposes only and not with a view towards, or for resale in connection with, any public sale or distribution thereof.</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1"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 is an “accredited investor” as such term is defined in Rule 501(a)(3) under Regulation D of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such Purchaser has not experienced a disqualifying event as enumerated pursuant to Rule 506(d) of Regulation D under the Securities Act.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9" w:name="page120"/>
    <w:bookmarkEnd w:id="119"/>
    <w:p>
      <w:pPr>
        <w:jc w:val="both"/>
        <w:ind w:firstLine="1304"/>
        <w:spacing w:after="0" w:line="261" w:lineRule="auto"/>
        <w:tabs>
          <w:tab w:leader="none" w:pos="162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 understands that the Securities are being offered and will be sold to it in reliance on specific exemptions from the registration requirements of the United States federal and state securities laws and that the Company is relying upon the truth and accuracy of, and such Purchaser’s compliance with, the representations and warranties of such Purchaser set forth herein in order to determine the availability of such exemptions and the eligibility of such Purchaser to acquire such Securities.</w:t>
      </w:r>
    </w:p>
    <w:p>
      <w:pPr>
        <w:spacing w:after="0" w:line="179" w:lineRule="exact"/>
        <w:rPr>
          <w:rFonts w:ascii="Times New Roman" w:cs="Times New Roman" w:eastAsia="Times New Roman" w:hAnsi="Times New Roman"/>
          <w:sz w:val="18"/>
          <w:szCs w:val="18"/>
          <w:color w:val="auto"/>
        </w:rPr>
      </w:pPr>
    </w:p>
    <w:p>
      <w:pPr>
        <w:ind w:right="20" w:firstLine="1304"/>
        <w:spacing w:after="0" w:line="282" w:lineRule="auto"/>
        <w:tabs>
          <w:tab w:leader="none" w:pos="161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 did not decide to enter into this Agreement as a result of any general solicitation or general advertising within the meaning of Rule 502(c) of Regulation D under the Securities Act.</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 has been furnished with all materials relating to the business, finances and operations of the Company and materials relating to the offer and sale of the Securities which have been requested by such Purchaser. Such Purchaser has been afforded the opportunity to ask questions of the executive officers and directors of the Company. Such Purchaser understands that its investment in the Securities involves a high degree of risk and it has sought such accounting, legal and tax advice as it has considered necessary to make an informed investment decision with respect to the acquisition of the Securities.</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27"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 understands that no United States federal or state agency or any other government or governmental agency has passed on or made any recommendation or endorsement of the Securities or the fairness or suitability of the investment in the Securities by the Purchasers nor have such authorities passed upon or endorsed the merits of the offering of the Securities.</w:t>
      </w:r>
    </w:p>
    <w:p>
      <w:pPr>
        <w:spacing w:after="0" w:line="17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65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 understands that: (a) the Securities have not been and are not being registered under the Securities Act or any state securities laws, and may not be offered for sale, sold, assigned or transferred unless (1) subsequently registered thereunder or (2) sold in reliance on an exemption therefrom; and (b) except as specifically set forth in the Registration Rights Agreement, neither the Company nor any other person is under any obligation to register the Securities under the Securities Act or any state securities laws or to comply with the terms and conditions of any exemption thereunder. While such Purchaser understands that Rule 144 under the Securities Act is not available for the resale of securities initially issued by shell companies (other than business combination related shell companies) or issuers that have been at any time previously a shell company, such Purchaser understands that Rule 144 includes an exception to this prohibition if the following conditions are met: (i) the issuer of the securities that was formerly a shell company has ceased to be a shell company; (ii) the issuer of the securities is subject to the reporting requirements of Section 13 or 15(d)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(iii) the issuer of the securities has filed all Exchange Act reports and material required to be filed, as applicable, during the preceding 12 months (or such shorter period that the issuer was required to file such reports and materials), other than Form 8-K reports; and (iv) at least one year has elapsed from the time that the issuer filed current Form 10 type information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reflecting its status as an entity that is not a shell company.</w:t>
      </w:r>
    </w:p>
    <w:p>
      <w:pPr>
        <w:spacing w:after="0" w:line="18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0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 has knowledge and experience in financial and business matters, understands the high degree of risk associated with investments in the securities of companies in the development stage such as the Company, is capable of evaluating the merits and risks of an investment in the Securities and is able to bear the economic risk of an investment in the Securities in the amount contemplated hereunder for an indefinite period of time. Such Purchaser has adequate means of providing for its current financial needs and contingencies and will have no current or anticipated future needs for liquidity which would be jeopardized by the investment in the Securities. Such Purchaser can afford a complete loss of its investment in the Securities.</w:t>
      </w:r>
    </w:p>
    <w:p>
      <w:pPr>
        <w:spacing w:after="0" w:line="183"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 understands that the Private Placement Warrants shall bear the legend substantially in the form set forth in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Agreement.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0" w:name="page121"/>
    <w:bookmarkEnd w:id="120"/>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 Conditions of the Purchasers’ Obligations. </w:t>
      </w:r>
      <w:r>
        <w:rPr>
          <w:rFonts w:ascii="Times New Roman" w:cs="Times New Roman" w:eastAsia="Times New Roman" w:hAnsi="Times New Roman"/>
          <w:sz w:val="18"/>
          <w:szCs w:val="18"/>
          <w:color w:val="auto"/>
        </w:rPr>
        <w:t>The obligations of the Purchasers to purchase and pay for the Private Placement Warrants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subject to the fulfillment, on or before each Closing Date, of each of the following conditions:</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The representations and warranties of the Company contained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hereof shall be true and correct at and as of such Closing Date as though then made.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Performance.</w:t>
      </w:r>
      <w:r>
        <w:rPr>
          <w:rFonts w:ascii="Times New Roman" w:cs="Times New Roman" w:eastAsia="Times New Roman" w:hAnsi="Times New Roman"/>
          <w:sz w:val="18"/>
          <w:szCs w:val="18"/>
          <w:color w:val="auto"/>
        </w:rPr>
        <w:t xml:space="preserve"> The Company shall have performed and complied with all agreements, obligations and conditions contained in this Agreement that are required to be performed or complied with by it on or before such Closing Date.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No Injunction.</w:t>
      </w:r>
      <w:r>
        <w:rPr>
          <w:rFonts w:ascii="Times New Roman" w:cs="Times New Roman" w:eastAsia="Times New Roman" w:hAnsi="Times New Roman"/>
          <w:sz w:val="18"/>
          <w:szCs w:val="18"/>
          <w:color w:val="auto"/>
        </w:rPr>
        <w:t xml:space="preserve">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 or the Warrant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Warrant Agreement and Registration Rights Agreement.</w:t>
      </w:r>
      <w:r>
        <w:rPr>
          <w:rFonts w:ascii="Times New Roman" w:cs="Times New Roman" w:eastAsia="Times New Roman" w:hAnsi="Times New Roman"/>
          <w:sz w:val="18"/>
          <w:szCs w:val="18"/>
          <w:color w:val="auto"/>
        </w:rPr>
        <w:t xml:space="preserve"> The Company shall have entered into the Warrant Agreement and the Registration Rights Agreement, each on terms satisfactory to the Purchasers.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Corporate Consents.</w:t>
      </w:r>
      <w:r>
        <w:rPr>
          <w:rFonts w:ascii="Times New Roman" w:cs="Times New Roman" w:eastAsia="Times New Roman" w:hAnsi="Times New Roman"/>
          <w:sz w:val="18"/>
          <w:szCs w:val="18"/>
          <w:color w:val="auto"/>
        </w:rPr>
        <w:t xml:space="preserve"> The Company shall have obtained the consent of its Board of Directors authorizing the execution, delivery and performance of this Agreement and the Warrant Agreement and the issuance and sale of the Private Placement Warrants hereunder.</w:t>
      </w:r>
    </w:p>
    <w:p>
      <w:pPr>
        <w:spacing w:after="0" w:line="158"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 Conditions of the Company’s Obligations. </w:t>
      </w:r>
      <w:r>
        <w:rPr>
          <w:rFonts w:ascii="Times New Roman" w:cs="Times New Roman" w:eastAsia="Times New Roman" w:hAnsi="Times New Roman"/>
          <w:sz w:val="18"/>
          <w:szCs w:val="18"/>
          <w:color w:val="auto"/>
        </w:rPr>
        <w:t>The obligations of the Company to the Purchasers under this Agreement are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fulfillment, on or before each Closing Date, of each of the following conditions:</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The representations and warranties of the Purchasers contained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hereof shall be true and correct at and as of such Closing Date as though then made.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Performance.</w:t>
      </w:r>
      <w:r>
        <w:rPr>
          <w:rFonts w:ascii="Times New Roman" w:cs="Times New Roman" w:eastAsia="Times New Roman" w:hAnsi="Times New Roman"/>
          <w:sz w:val="18"/>
          <w:szCs w:val="18"/>
          <w:color w:val="auto"/>
        </w:rPr>
        <w:t xml:space="preserve"> The Purchasers shall have performed and complied with all agreements, obligations and conditions contained in this Agreement that are required to be performed or complied with by the Purchasers on or before such Closing Date.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Corporate Consents.</w:t>
      </w:r>
      <w:r>
        <w:rPr>
          <w:rFonts w:ascii="Times New Roman" w:cs="Times New Roman" w:eastAsia="Times New Roman" w:hAnsi="Times New Roman"/>
          <w:sz w:val="18"/>
          <w:szCs w:val="18"/>
          <w:color w:val="auto"/>
        </w:rPr>
        <w:t xml:space="preserve"> The Company shall have obtained the consent of its Board of Directors authorizing the execution, delivery and performance of this Agreement and the Warrant Agreement and the issuance and sale of the Private Placement Warrants hereunder.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No Injunction.</w:t>
      </w:r>
      <w:r>
        <w:rPr>
          <w:rFonts w:ascii="Times New Roman" w:cs="Times New Roman" w:eastAsia="Times New Roman" w:hAnsi="Times New Roman"/>
          <w:sz w:val="18"/>
          <w:szCs w:val="18"/>
          <w:color w:val="auto"/>
        </w:rPr>
        <w:t xml:space="preserve">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 or the Warrant Agreement.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1" w:name="page122"/>
    <w:bookmarkEnd w:id="121"/>
    <w:p>
      <w:pPr>
        <w:ind w:left="660"/>
        <w:spacing w:after="0"/>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Warrant Agreement.</w:t>
      </w:r>
      <w:r>
        <w:rPr>
          <w:rFonts w:ascii="Times New Roman" w:cs="Times New Roman" w:eastAsia="Times New Roman" w:hAnsi="Times New Roman"/>
          <w:sz w:val="18"/>
          <w:szCs w:val="18"/>
          <w:color w:val="auto"/>
        </w:rPr>
        <w:t xml:space="preserve"> The Company shall have entered into the Warrant Agreement on terms satisfactory to the Company.</w:t>
      </w:r>
    </w:p>
    <w:p>
      <w:pPr>
        <w:spacing w:after="0" w:line="22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6 Termination. </w:t>
      </w:r>
      <w:r>
        <w:rPr>
          <w:rFonts w:ascii="Times New Roman" w:cs="Times New Roman" w:eastAsia="Times New Roman" w:hAnsi="Times New Roman"/>
          <w:sz w:val="18"/>
          <w:szCs w:val="18"/>
          <w:color w:val="auto"/>
        </w:rPr>
        <w:t>This Agreement may be terminated at any time after December 31, 2020 upon the election by either the Company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Purchasers upon written notice to the other party if the closing of the Public Offering does not occur prior to such date.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7 Survival of Representations and Warranties. </w:t>
      </w:r>
      <w:r>
        <w:rPr>
          <w:rFonts w:ascii="Times New Roman" w:cs="Times New Roman" w:eastAsia="Times New Roman" w:hAnsi="Times New Roman"/>
          <w:sz w:val="18"/>
          <w:szCs w:val="18"/>
          <w:color w:val="auto"/>
        </w:rPr>
        <w:t>All of the representations and warranties contained herein shall survive each Closing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8 Definitions. </w:t>
      </w:r>
      <w:r>
        <w:rPr>
          <w:rFonts w:ascii="Times New Roman" w:cs="Times New Roman" w:eastAsia="Times New Roman" w:hAnsi="Times New Roman"/>
          <w:sz w:val="18"/>
          <w:szCs w:val="18"/>
          <w:color w:val="auto"/>
        </w:rPr>
        <w:t>Terms used but not otherwise defined in this Agreement shall have the meaning assigned to such terms in the registration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on Form S-1 the Company has filed with the SEC under the Securities Act.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9 Miscellaneous.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Except as otherwise expressly provided herein, all covenants and agreements contained in this Agreement by or on behalf of any of the parties hereto shall bind and inure to the benefit of the respective successors of the parties hereto whether so expressed or not. Notwithstanding the foregoing or anything to the contrary herein, the parties may not assign this Agreement without the prior written consent of the other party hereto, other than assignments by the Purchasers to their respective affiliates (including, without limitation, one or more of its members, as applicable).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Whenever possible, each provision of this Agreement shall be interpreted in such manner as to be effective and valid under applicable law, but if any provision of this Agreement is held to be prohibited by or invalid under applicable law, such provision shall be ineffective only to the extent of such prohibition or invalidity, without invalidating the remainder of this Agreement.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Agreement may be executed simultaneously in two or more counterparts, none of which need contain the signatures of more than one party, but all such counterparts taken together shall constitute one and the same agreement.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Descriptive Headings; Interpretation.</w:t>
      </w:r>
      <w:r>
        <w:rPr>
          <w:rFonts w:ascii="Times New Roman" w:cs="Times New Roman" w:eastAsia="Times New Roman" w:hAnsi="Times New Roman"/>
          <w:sz w:val="18"/>
          <w:szCs w:val="18"/>
          <w:color w:val="auto"/>
        </w:rPr>
        <w:t xml:space="preserve"> The descriptive headings of this Agreement are inserted for convenience only and do not constitute a substantive part of this Agreement. The use of the word “including’ in this Agreement shall be by way of example rather than by limitation.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This Agreement shall be deemed to be a contract made under the laws of the State of New York and for all purposes shall be construed in accordance with the internal laws of the State of New York.</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xml:space="preserve"> This Agreement may not be amended, modified or waived as to any particular provision, except by a written instrument executed by all parties hereto.</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Agreement to be effective as of the date first set forth above.</w:t>
      </w:r>
    </w:p>
    <w:p>
      <w:pPr>
        <w:spacing w:after="0" w:line="2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COMPANY:</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CM LIFE SCIENCES, INC., a Delaware corporation</w:t>
      </w:r>
    </w:p>
    <w:p>
      <w:pPr>
        <w:spacing w:after="0" w:line="225" w:lineRule="exact"/>
        <w:rPr>
          <w:sz w:val="20"/>
          <w:szCs w:val="20"/>
          <w:color w:val="auto"/>
        </w:rPr>
      </w:pPr>
    </w:p>
    <w:p>
      <w:pPr>
        <w:ind w:left="6100"/>
        <w:spacing w:after="0"/>
        <w:tabs>
          <w:tab w:leader="none" w:pos="6540" w:val="left"/>
        </w:tabs>
        <w:rPr>
          <w:sz w:val="20"/>
          <w:szCs w:val="20"/>
          <w:color w:val="auto"/>
        </w:rPr>
      </w:pPr>
      <w:r>
        <w:rPr>
          <w:rFonts w:ascii="Times New Roman" w:cs="Times New Roman" w:eastAsia="Times New Roman" w:hAnsi="Times New Roman"/>
          <w:sz w:val="18"/>
          <w:szCs w:val="18"/>
          <w:color w:val="auto"/>
        </w:rPr>
        <w:t>By:</w:t>
        <w:tab/>
        <w:t>/s/ Brian Emes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26035</wp:posOffset>
            </wp:positionV>
            <wp:extent cx="255460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3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Name: Brian Emes</w:t>
      </w:r>
    </w:p>
    <w:p>
      <w:pPr>
        <w:spacing w:after="0" w:line="27" w:lineRule="exact"/>
        <w:rPr>
          <w:sz w:val="20"/>
          <w:szCs w:val="20"/>
          <w:color w:val="auto"/>
        </w:rPr>
      </w:pPr>
    </w:p>
    <w:p>
      <w:pPr>
        <w:ind w:left="6560"/>
        <w:spacing w:after="0"/>
        <w:tabs>
          <w:tab w:leader="none" w:pos="71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 and Secretary</w:t>
      </w:r>
    </w:p>
    <w:p>
      <w:pPr>
        <w:spacing w:after="0" w:line="20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PURCHASERS:</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7"/>
          <w:szCs w:val="17"/>
          <w:color w:val="auto"/>
        </w:rPr>
        <w:t>CMLS HOLDINGS LLC, a Delaware limited liability</w:t>
      </w:r>
    </w:p>
    <w:p>
      <w:pPr>
        <w:spacing w:after="0" w:line="3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ind w:left="6100"/>
        <w:spacing w:after="0"/>
        <w:tabs>
          <w:tab w:leader="none" w:pos="6540" w:val="left"/>
        </w:tabs>
        <w:rPr>
          <w:sz w:val="20"/>
          <w:szCs w:val="20"/>
          <w:color w:val="auto"/>
        </w:rPr>
      </w:pPr>
      <w:r>
        <w:rPr>
          <w:rFonts w:ascii="Times New Roman" w:cs="Times New Roman" w:eastAsia="Times New Roman" w:hAnsi="Times New Roman"/>
          <w:sz w:val="18"/>
          <w:szCs w:val="18"/>
          <w:color w:val="auto"/>
        </w:rPr>
        <w:t>By:</w:t>
        <w:tab/>
        <w:t>/s/ Keith Meister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26035</wp:posOffset>
            </wp:positionV>
            <wp:extent cx="255460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3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Name: Keith Meister</w:t>
      </w:r>
    </w:p>
    <w:p>
      <w:pPr>
        <w:spacing w:after="0" w:line="27" w:lineRule="exact"/>
        <w:rPr>
          <w:sz w:val="20"/>
          <w:szCs w:val="20"/>
          <w:color w:val="auto"/>
        </w:rPr>
      </w:pPr>
    </w:p>
    <w:p>
      <w:pPr>
        <w:ind w:left="6560"/>
        <w:spacing w:after="0"/>
        <w:tabs>
          <w:tab w:leader="none" w:pos="710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Munib Islam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26035</wp:posOffset>
            </wp:positionV>
            <wp:extent cx="284607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Munib Islam</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Emily Leproust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26035</wp:posOffset>
            </wp:positionV>
            <wp:extent cx="284607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Emily Leproust</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[Signature Page to Private Placement Warrants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428625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00"/>
          </w:cols>
          <w:pgMar w:left="980" w:top="900" w:right="91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07"/>
        </w:trPr>
        <w:tc>
          <w:tcPr>
            <w:tcW w:w="3440" w:type="dxa"/>
            <w:vAlign w:val="bottom"/>
          </w:tcPr>
          <w:p>
            <w:pPr>
              <w:spacing w:after="0"/>
              <w:rPr>
                <w:sz w:val="17"/>
                <w:szCs w:val="17"/>
                <w:color w:val="auto"/>
              </w:rPr>
            </w:pPr>
          </w:p>
        </w:tc>
        <w:tc>
          <w:tcPr>
            <w:tcW w:w="3780" w:type="dxa"/>
            <w:vAlign w:val="bottom"/>
            <w:gridSpan w:val="5"/>
          </w:tcPr>
          <w:p>
            <w:pPr>
              <w:jc w:val="right"/>
              <w:ind w:right="1220"/>
              <w:spacing w:after="0"/>
              <w:rPr>
                <w:sz w:val="20"/>
                <w:szCs w:val="20"/>
                <w:color w:val="auto"/>
              </w:rPr>
            </w:pPr>
            <w:r>
              <w:rPr>
                <w:rFonts w:ascii="Times New Roman" w:cs="Times New Roman" w:eastAsia="Times New Roman" w:hAnsi="Times New Roman"/>
                <w:sz w:val="18"/>
                <w:szCs w:val="18"/>
                <w:b w:val="1"/>
                <w:bCs w:val="1"/>
                <w:color w:val="auto"/>
              </w:rPr>
              <w:t>Exhibit A</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34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Private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Private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Placement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Purchase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Placement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Purchase</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(No Exercise</w:t>
            </w:r>
          </w:p>
        </w:tc>
        <w:tc>
          <w:tcPr>
            <w:tcW w:w="120" w:type="dxa"/>
            <w:vAlign w:val="bottom"/>
          </w:tcPr>
          <w:p>
            <w:pPr>
              <w:spacing w:after="0"/>
              <w:rPr>
                <w:sz w:val="18"/>
                <w:szCs w:val="18"/>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(No Exercise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Over-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Over-</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Over-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Over-</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allotment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allotment</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allotment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allotment</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Option in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Option in</w:t>
            </w:r>
          </w:p>
        </w:tc>
        <w:tc>
          <w:tcPr>
            <w:tcW w:w="0" w:type="dxa"/>
            <w:vAlign w:val="bottom"/>
          </w:tcPr>
          <w:p>
            <w:pPr>
              <w:spacing w:after="0"/>
              <w:rPr>
                <w:sz w:val="1"/>
                <w:szCs w:val="1"/>
                <w:color w:val="auto"/>
              </w:rPr>
            </w:pPr>
          </w:p>
        </w:tc>
      </w:tr>
      <w:tr>
        <w:trPr>
          <w:trHeight w:val="245"/>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Full)</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Full)</w:t>
            </w:r>
          </w:p>
        </w:tc>
        <w:tc>
          <w:tcPr>
            <w:tcW w:w="0" w:type="dxa"/>
            <w:vAlign w:val="bottom"/>
          </w:tcPr>
          <w:p>
            <w:pPr>
              <w:spacing w:after="0"/>
              <w:rPr>
                <w:sz w:val="1"/>
                <w:szCs w:val="1"/>
                <w:color w:val="auto"/>
              </w:rPr>
            </w:pPr>
          </w:p>
        </w:tc>
      </w:tr>
      <w:tr>
        <w:trPr>
          <w:trHeight w:val="216"/>
        </w:trPr>
        <w:tc>
          <w:tcPr>
            <w:tcW w:w="3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CMLS Holdings, LLC</w:t>
            </w:r>
          </w:p>
        </w:tc>
        <w:tc>
          <w:tcPr>
            <w:tcW w:w="18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6,133,335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9,200,002.00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6,903,335</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10,355,002.00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Munib Islam</w:t>
            </w:r>
          </w:p>
        </w:tc>
        <w:tc>
          <w:tcPr>
            <w:tcW w:w="378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166,666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249,999.00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166,666</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249,999.00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Emily Leproust</w:t>
            </w:r>
          </w:p>
        </w:tc>
        <w:tc>
          <w:tcPr>
            <w:tcW w:w="2560" w:type="dxa"/>
            <w:vAlign w:val="bottom"/>
            <w:tcBorders>
              <w:right w:val="single" w:sz="8" w:color="CCEEFF"/>
            </w:tcBorders>
            <w:gridSpan w:val="3"/>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166,666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249,999.00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166,666</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249,999.00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40" w:type="dxa"/>
            <w:vAlign w:val="bottom"/>
            <w:vMerge w:val="continue"/>
          </w:tcPr>
          <w:p>
            <w:pPr>
              <w:spacing w:after="0"/>
              <w:rPr>
                <w:sz w:val="20"/>
                <w:szCs w:val="20"/>
                <w:color w:val="auto"/>
              </w:rPr>
            </w:pPr>
          </w:p>
        </w:tc>
        <w:tc>
          <w:tcPr>
            <w:tcW w:w="2560" w:type="dxa"/>
            <w:vAlign w:val="bottom"/>
            <w:gridSpan w:val="3"/>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6,466,667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9,700,000.00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7,236,667</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10,855,000.00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4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Private Placement Warrants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September 1,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CM Life Sciences,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Corvex Management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667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10065</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Initial Public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letter (this “</w:t>
      </w:r>
      <w:r>
        <w:rPr>
          <w:rFonts w:ascii="Times New Roman" w:cs="Times New Roman" w:eastAsia="Times New Roman" w:hAnsi="Times New Roman"/>
          <w:sz w:val="18"/>
          <w:szCs w:val="18"/>
          <w:b w:val="1"/>
          <w:bCs w:val="1"/>
          <w:i w:val="1"/>
          <w:iCs w:val="1"/>
          <w:color w:val="auto"/>
        </w:rPr>
        <w:t>Letter Agreement</w:t>
      </w:r>
      <w:r>
        <w:rPr>
          <w:rFonts w:ascii="Times New Roman" w:cs="Times New Roman" w:eastAsia="Times New Roman" w:hAnsi="Times New Roman"/>
          <w:sz w:val="18"/>
          <w:szCs w:val="18"/>
          <w:color w:val="auto"/>
        </w:rPr>
        <w:t>”) is being delivered to you in accordance with the Underwriting Agreement (the “</w:t>
      </w:r>
      <w:r>
        <w:rPr>
          <w:rFonts w:ascii="Times New Roman" w:cs="Times New Roman" w:eastAsia="Times New Roman" w:hAnsi="Times New Roman"/>
          <w:sz w:val="18"/>
          <w:szCs w:val="18"/>
          <w:b w:val="1"/>
          <w:bCs w:val="1"/>
          <w:i w:val="1"/>
          <w:iCs w:val="1"/>
          <w:color w:val="auto"/>
        </w:rPr>
        <w:t>Underwriting Agreement</w:t>
      </w:r>
      <w:r>
        <w:rPr>
          <w:rFonts w:ascii="Times New Roman" w:cs="Times New Roman" w:eastAsia="Times New Roman" w:hAnsi="Times New Roman"/>
          <w:sz w:val="18"/>
          <w:szCs w:val="18"/>
          <w:color w:val="auto"/>
        </w:rPr>
        <w:t>”) entered into by and between CM Life Sciences,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Jefferies LLC, as representative of the several underwriters (the “</w:t>
      </w:r>
      <w:r>
        <w:rPr>
          <w:rFonts w:ascii="Times New Roman" w:cs="Times New Roman" w:eastAsia="Times New Roman" w:hAnsi="Times New Roman"/>
          <w:sz w:val="18"/>
          <w:szCs w:val="18"/>
          <w:b w:val="1"/>
          <w:bCs w:val="1"/>
          <w:i w:val="1"/>
          <w:iCs w:val="1"/>
          <w:color w:val="auto"/>
        </w:rPr>
        <w:t>Underwriter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relating to an underwritten initial public offering (the “</w:t>
      </w:r>
      <w:r>
        <w:rPr>
          <w:rFonts w:ascii="Times New Roman" w:cs="Times New Roman" w:eastAsia="Times New Roman" w:hAnsi="Times New Roman"/>
          <w:sz w:val="18"/>
          <w:szCs w:val="18"/>
          <w:b w:val="1"/>
          <w:bCs w:val="1"/>
          <w:i w:val="1"/>
          <w:iCs w:val="1"/>
          <w:color w:val="auto"/>
        </w:rPr>
        <w:t>Public Offering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of up to 44,275,000 of the Company’s units (including up to 5,775,000 units that may be purchased to cover over-allotments, if any) (the “</w:t>
      </w:r>
      <w:r>
        <w:rPr>
          <w:rFonts w:ascii="Times New Roman" w:cs="Times New Roman" w:eastAsia="Times New Roman" w:hAnsi="Times New Roman"/>
          <w:sz w:val="18"/>
          <w:szCs w:val="18"/>
          <w:b w:val="1"/>
          <w:bCs w:val="1"/>
          <w:i w:val="1"/>
          <w:iCs w:val="1"/>
          <w:color w:val="auto"/>
        </w:rPr>
        <w:t>Units</w:t>
      </w:r>
      <w:r>
        <w:rPr>
          <w:rFonts w:ascii="Times New Roman" w:cs="Times New Roman" w:eastAsia="Times New Roman" w:hAnsi="Times New Roman"/>
          <w:sz w:val="18"/>
          <w:szCs w:val="18"/>
          <w:color w:val="auto"/>
        </w:rPr>
        <w:t>”), each comprised of one share of the Company’s Class A common stock, par value $0.0001 per share (the “</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one-third of one redeemable warrant. Each whole warrant (each, a “</w:t>
      </w:r>
      <w:r>
        <w:rPr>
          <w:rFonts w:ascii="Times New Roman" w:cs="Times New Roman" w:eastAsia="Times New Roman" w:hAnsi="Times New Roman"/>
          <w:sz w:val="18"/>
          <w:szCs w:val="18"/>
          <w:b w:val="1"/>
          <w:bCs w:val="1"/>
          <w:i w:val="1"/>
          <w:iCs w:val="1"/>
          <w:color w:val="auto"/>
        </w:rPr>
        <w:t>Public Warrant</w:t>
      </w:r>
      <w:r>
        <w:rPr>
          <w:rFonts w:ascii="Times New Roman" w:cs="Times New Roman" w:eastAsia="Times New Roman" w:hAnsi="Times New Roman"/>
          <w:sz w:val="18"/>
          <w:szCs w:val="18"/>
          <w:color w:val="auto"/>
        </w:rPr>
        <w:t>”) entitles the holder thereof to purchase one share of Class A Common Stock at a price of $11.50 per share, subject to adjustment as described in the Prospectus (as defined below). The Units will be sold in the Public Offering pursuant to a registration statement on Form S-1 and prospectus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filed by the Company with the U.S.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and the Company has applied to have the Units listed on the New York Stock Exchange. Certain capitalized terms used herein are defined in paragraph 11 hereof.</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order to induce the Company and the Underwriter to enter into the Underwriting Agreement and to proceed with the Public Offering and for other good and valuable consideration, the receipt and sufficiency of which are hereby acknowledged, each of CMLS Holdings LLC, a Delaware limited liability company (the “</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and the undersigned individuals, each of whom is a member of the Company’s board of directors and/or management team (each of the undersigned individuals, an “</w:t>
      </w:r>
      <w:r>
        <w:rPr>
          <w:rFonts w:ascii="Times New Roman" w:cs="Times New Roman" w:eastAsia="Times New Roman" w:hAnsi="Times New Roman"/>
          <w:sz w:val="18"/>
          <w:szCs w:val="18"/>
          <w:b w:val="1"/>
          <w:bCs w:val="1"/>
          <w:i w:val="1"/>
          <w:iCs w:val="1"/>
          <w:color w:val="auto"/>
        </w:rPr>
        <w:t>Insider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Insiders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hereby agrees with the Company as follows:</w:t>
      </w:r>
    </w:p>
    <w:p>
      <w:pPr>
        <w:spacing w:after="0" w:line="180" w:lineRule="exact"/>
        <w:rPr>
          <w:sz w:val="20"/>
          <w:szCs w:val="20"/>
          <w:color w:val="auto"/>
        </w:rPr>
      </w:pPr>
    </w:p>
    <w:p>
      <w:pPr>
        <w:jc w:val="both"/>
        <w:ind w:firstLine="656"/>
        <w:spacing w:after="0" w:line="258" w:lineRule="auto"/>
        <w:tabs>
          <w:tab w:leader="none" w:pos="833"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each Insider agrees that if the Company seeks stockholder approval of a proposed Business Combination, then in connection with such proposed Business Combination, it, he or she shall (i) vote any shares of Common Stock (as defined below) owned by it, him or her in favor of any proposed Business Combination and (ii) not redeem any shares of Common Stock owned by it, him or her in connection with such stockholder approval. If the Company seeks to consummate a proposed Business Combination by engaging in a tender offer, the Sponsor and each Insider agrees that it, he or she will not sell or tender any shares of Common Stock owned by it, him or her in connection therewith.</w:t>
      </w:r>
    </w:p>
    <w:p>
      <w:pPr>
        <w:spacing w:after="0" w:line="183" w:lineRule="exact"/>
        <w:rPr>
          <w:rFonts w:ascii="Times New Roman" w:cs="Times New Roman" w:eastAsia="Times New Roman" w:hAnsi="Times New Roman"/>
          <w:sz w:val="18"/>
          <w:szCs w:val="18"/>
          <w:color w:val="auto"/>
        </w:rPr>
      </w:pPr>
    </w:p>
    <w:p>
      <w:pPr>
        <w:jc w:val="both"/>
        <w:ind w:firstLine="656"/>
        <w:spacing w:after="0" w:line="252" w:lineRule="auto"/>
        <w:tabs>
          <w:tab w:leader="none" w:pos="82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each Insider hereby agrees that in the event that the Company fails to consummate a Business Combination within 24 months from the closing of the Public Offering, or such later period approved by the Company’s stockholders in accordance with the Company’s amended and restated certificate of incorporation (as it may be amended from time to time, the “</w:t>
      </w:r>
      <w:r>
        <w:rPr>
          <w:rFonts w:ascii="Times New Roman" w:cs="Times New Roman" w:eastAsia="Times New Roman" w:hAnsi="Times New Roman"/>
          <w:sz w:val="18"/>
          <w:szCs w:val="18"/>
          <w:b w:val="1"/>
          <w:bCs w:val="1"/>
          <w:i w:val="1"/>
          <w:iCs w:val="1"/>
          <w:color w:val="auto"/>
        </w:rPr>
        <w:t>Charter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Sponsor and each Insider shall take all reasonable steps to cause the Company to (i) cease all operations except for the purpose of winding up, (ii) as promptly as reasonably possible but not more than ten business days thereafter, redeem 100% of the shares of Class A Common Stock sold as part of the Units in the Public Offering (the “</w:t>
      </w:r>
      <w:r>
        <w:rPr>
          <w:rFonts w:ascii="Times New Roman" w:cs="Times New Roman" w:eastAsia="Times New Roman" w:hAnsi="Times New Roman"/>
          <w:sz w:val="18"/>
          <w:szCs w:val="18"/>
          <w:b w:val="1"/>
          <w:bCs w:val="1"/>
          <w:i w:val="1"/>
          <w:iCs w:val="1"/>
          <w:color w:val="auto"/>
        </w:rPr>
        <w:t>Offering Shares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at a per-share price, payable in cash, equal to the aggregate amount then on deposit in the Trust Account (as defined below), including interest earned on the funds held in the Trust Account and not previously released to the Company to pay its taxes (less up to $100,000 of interest to pay dissolution expenses), divided by the number of then outstanding Offering Shares, which redemption will completely extinguish all Public Stockholders’ (as defined below) rights as stockholders (including the right to receive further liquidating distributions, if any), and (iii) as promptly as reasonably possible following such redemption, subject to the approval of the Company’s remaining stockholders and the Company’s board of directors, liquidate and dissolve, subject in each case to the Company’s obligations under Delaware law to provide for claims of creditors and other requirements of applicable law. The Sponsor and each Insider agrees to not propose any amendment to the Charter to modify the substance or timing of the Company’s obligation to redeem 100% of the Offering Shares if the Company does not complete a Business Combination within the required time period set forth in the Charter or with respect to any other material provisions relating to stockholders’ rights or pre-initial business combination activity, unless the Company provides its Public Stockholders with the opportunity to redeem their Offering Shares upon approval of any such amendment at a per-share price, payable in cash, equal to the aggregate amount then on deposit in the Trust Account, including interest earned on the funds held in the Trust Account and not previously released to the Company to pay its taxes, divided by the number of then outstanding Offering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5" w:name="page126"/>
    <w:bookmarkEnd w:id="12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Sponsor and each Insider acknowledges that it, he or she has no right, title, interest or claim of any kind in or to any monies held in the Trust Account or any other asset of the Company as a result of any liquidation of the Company with respect to the Founder Shares held by it, him or her. The Sponsor and each Insider hereby further waives, with respect to any shares of Common Stock held by it, him or her, if any, any redemption rights it, he or she may have in connection with (A) the consummation of a Business Combination, including, without limitation, any such rights available in the context of a stockholder vote to approve such Business Combination, or (B) a stockholder vote to approve an amendment to the Charter to modify the substance or timing of the Company’s obligation to redeem 100% of the Offering Shares if the Company has not consummated a Business Combination within the time period set forth in the Charter or with respect to any other material provisions relating to stockholders’ rights or pre-initial business combination activity or in the context of a tender offer made by the Company to purchase Offering Shares (although the Sponsor, the Insiders and their respective affiliates shall be entitled to redemption and liquidation rights with respect to any Offering Shares it or they hold if the Company fails to consummate a Business Combination within the time period set forth in the Charter).</w:t>
      </w:r>
    </w:p>
    <w:p>
      <w:pPr>
        <w:spacing w:after="0" w:line="194" w:lineRule="exact"/>
        <w:rPr>
          <w:sz w:val="20"/>
          <w:szCs w:val="20"/>
          <w:color w:val="auto"/>
        </w:rPr>
      </w:pPr>
    </w:p>
    <w:p>
      <w:pPr>
        <w:jc w:val="both"/>
        <w:ind w:firstLine="656"/>
        <w:spacing w:after="0" w:line="252" w:lineRule="auto"/>
        <w:tabs>
          <w:tab w:leader="none" w:pos="82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set forth in paragraphs in 7(a) and 7(b), during the period commencing on the effective date of the Underwriting Agreement and ending 180 days after such date, the Sponsor and each Insider shall not, without the prior written consent of the Underwriter,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the rules and regulations of the Commission promulgated thereunder, with respect to, any Units, shares of Class A Common Stock (including, but not limited to, Founder Shares), Warrants (as defined below) or any securities convertible into, or exercisable, or exchangeable for, shares of Class A Common Stock owned by it, him or her, (ii) enter into any swap or other arrangement that transfers to another, in whole or in part, any of the economic consequences of ownership of any Units, shares of Common Stock (including, but not limited to, Founder Shares), Warrants or any securities convertible into, or exercisable, or exchangeable for, shares of Common Stock owned by it, him or her, whether any such transaction is to be settled by delivery of such securities, in cash or otherwise, or (iii) publicly announce any intention to effect any transaction specified in clause (i) or (ii); provided, however, all of the foregoing does not apply to the forfeiture of any Founder Shares pursuant to their terms or any transfer of Founder Shares to any current or future independent director of the company (as long as such current or future independent director transferee is subject to this Letter Agreement or executes an agreement substantially identical to the terms of this Letter Agreement, as applicable to directors and officers at the time of such transfer; and as long as, to the extent any Section 16 reporting obligation is triggered as a result of such transfer, any related Section 16 filing includes a practical explanation as to the nature of the transfer). Each of the Insiders and the Sponsor acknowledges and agrees that, prior to the effective date of any release or waiver, of the restrictions set forth in this paragraph 3 or paragraph 7 below, the Company may announce the impending release or waiver by press release through a major news service at least two business days before the effective date of the release or waiver. The provisions of this paragraph will not apply if the release or waiver is effected solely to permit a transfer not for consideration and the transferee has agreed in writing to be bound by the same terms described in this Letter Agreement to the extent and for the duration that such terms remain in effect at the time of the transfer.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6" w:name="page127"/>
    <w:bookmarkEnd w:id="126"/>
    <w:p>
      <w:pPr>
        <w:jc w:val="both"/>
        <w:ind w:firstLine="656"/>
        <w:spacing w:after="0" w:line="252" w:lineRule="auto"/>
        <w:tabs>
          <w:tab w:leader="none" w:pos="831"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liquidation of the Trust Account upon the failure of the Company to consummate its initial Business Combination within the time period set forth in the Charter, the Sponsor (the “</w:t>
      </w:r>
      <w:r>
        <w:rPr>
          <w:rFonts w:ascii="Times New Roman" w:cs="Times New Roman" w:eastAsia="Times New Roman" w:hAnsi="Times New Roman"/>
          <w:sz w:val="18"/>
          <w:szCs w:val="18"/>
          <w:b w:val="1"/>
          <w:bCs w:val="1"/>
          <w:i w:val="1"/>
          <w:iCs w:val="1"/>
          <w:color w:val="auto"/>
        </w:rPr>
        <w:t>Indemnitor</w:t>
      </w:r>
      <w:r>
        <w:rPr>
          <w:rFonts w:ascii="Times New Roman" w:cs="Times New Roman" w:eastAsia="Times New Roman" w:hAnsi="Times New Roman"/>
          <w:sz w:val="18"/>
          <w:szCs w:val="18"/>
          <w:color w:val="auto"/>
        </w:rPr>
        <w:t>”) agrees to indemnify and hold harmless the Company against any and all loss, liability, claim, damage and expense whatsoever (including, but not limited to, any and all legal or other expenses reasonably incurred in investigating, preparing or defending against any litigation, whether pending or threatened) to which the Company may become subject as a result of any claim by (i) any third party for services rendered (other than the independent registered public accounting firm) or products sold to the Company or (ii) any prospective target business with which the Company has entered into a written letter of intent, confidentiality or other similar agreement or Business Combination agreement (a “</w:t>
      </w:r>
      <w:r>
        <w:rPr>
          <w:rFonts w:ascii="Times New Roman" w:cs="Times New Roman" w:eastAsia="Times New Roman" w:hAnsi="Times New Roman"/>
          <w:sz w:val="18"/>
          <w:szCs w:val="18"/>
          <w:b w:val="1"/>
          <w:bCs w:val="1"/>
          <w:i w:val="1"/>
          <w:iCs w:val="1"/>
          <w:color w:val="auto"/>
        </w:rPr>
        <w:t>Target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provided, however, that such indemnification of the Company by the Indemnitor (x) shall apply only to the extent necessary to ensure that such claims by a third party for services rendered (other than the independent registered public accounting firm) or products sold to the Company or a Target do not reduce the amount of funds in the Trust Account to below the lesser of (i) $10.00 per Offering Share and (ii) the actual amount per Offering Share held in the Trust Account as of the date of the liquidation of the Trust Account, if less than $10.00 per Offering Share is then held in the Trust Account due to reductions in the value of the trust assets, less taxes payable, (y) shall not apply to any claims by a third party or a Target which executed a waiver of any and all rights to the monies held in the Trust Account (whether or not such waiver is enforceable) and (z) shall not apply to any claims under the Company’s indemnity of the Underwriter against certain liabilities, including liabilities under the Securities Act of 1933, as amended. The Indemnitor shall have the right to defend against any such claim with counsel of its choice reasonably satisfactory to the Company if, within 15 days following written receipt of notice of the claim to the Indemnitor, the Indemnitor notifies the Company in writing that it shall undertake such defense.</w:t>
      </w:r>
    </w:p>
    <w:p>
      <w:pPr>
        <w:spacing w:after="0" w:line="195" w:lineRule="exact"/>
        <w:rPr>
          <w:rFonts w:ascii="Times New Roman" w:cs="Times New Roman" w:eastAsia="Times New Roman" w:hAnsi="Times New Roman"/>
          <w:sz w:val="18"/>
          <w:szCs w:val="18"/>
          <w:color w:val="auto"/>
        </w:rPr>
      </w:pPr>
    </w:p>
    <w:p>
      <w:pPr>
        <w:jc w:val="both"/>
        <w:ind w:firstLine="656"/>
        <w:spacing w:after="0" w:line="252" w:lineRule="auto"/>
        <w:tabs>
          <w:tab w:leader="none" w:pos="83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Underwriter does not exercise its over-allotment option to purchase up to an additional 5,775,000 Units within 45 days from the date of the Prospectus (and as further described in the Prospectus), the Sponsor agrees to forfeit, at no cost, a number of Founder Shares in the aggregate equal to 1,443,750 multiplied by a fraction, (i) the numerator of which is 5,775,000 minus the number of Units purchased by the Underwriter upon the exercise of their over-allotment option, and (ii) the denominator of which is 5,775,000. The forfeiture will be adjusted to the extent that the over-allotment option is not exercised in full by the Underwriter so that the Founder Shares will represent an aggregate of 20.0% of the Company’s issued and outstanding shares of Class A Common Stock after the Public Offering (not including shares of Class A Common Stock underlying the Public Warrants or Private Placement Warrants (as defined below)). The Sponsor further agrees that to the extent that the size of the Public Offering is increased or decreased, the Company will purchase or sell Units or effect a stock dividend or share contribution back to capital, as applicable, immediately prior to the consummation of the Public Offering in such amount as to maintain the number of Founder Shares at 20.0% of its issued and outstanding Common Stock upon the consummation of the Public Offering. In connection with such increase or decrease in the size of the Public Offering, (A) the references to 5,775,000 in the numerator and denominator of the formula in the first sentence of this paragraph shall be changed to a number equal to 15% of the number of Offering Shares included in the Units issued in the Public Offering and (B) the reference to 1,443,750 in the formula set forth in the first sentence of this paragraph shall be adjusted to such number of Founder Shares that the Sponsor would have to surrender to the Company in order for the number of Founder Shares to equal an aggregate of 20.0% of the Company’s issued and outstanding shares of Class A Common Stock after the Public Offering (not including shares of Class A Common Stock underlying the Public Warrants or Private Placement Warrants).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7" w:name="page128"/>
    <w:bookmarkEnd w:id="127"/>
    <w:p>
      <w:pPr>
        <w:jc w:val="both"/>
        <w:ind w:firstLine="656"/>
        <w:spacing w:after="0" w:line="261" w:lineRule="auto"/>
        <w:tabs>
          <w:tab w:leader="none" w:pos="835"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each Insider hereby agrees and acknowledges that: (i) the Underwriter and the Company would be irreparably injured in the event of a breach by such Sponsor or an Insider of its, his or her obligations under paragraphs 1, 2, 3, 4, 5, 7(a), 7(b) and 9, as applicable, of this Letter Agreement (ii) monetary damages may not be an adequate remedy for such breach and (iii) the non-breaching party shall be entitled to injunctive relief, in addition to any other remedy that such party may have in law or in equity, in the event of such breach.</w:t>
      </w:r>
    </w:p>
    <w:p>
      <w:pPr>
        <w:spacing w:after="0" w:line="179" w:lineRule="exact"/>
        <w:rPr>
          <w:rFonts w:ascii="Times New Roman" w:cs="Times New Roman" w:eastAsia="Times New Roman" w:hAnsi="Times New Roman"/>
          <w:sz w:val="18"/>
          <w:szCs w:val="18"/>
          <w:color w:val="auto"/>
        </w:rPr>
      </w:pPr>
    </w:p>
    <w:p>
      <w:pPr>
        <w:jc w:val="both"/>
        <w:ind w:right="20" w:firstLine="656"/>
        <w:spacing w:after="0" w:line="261" w:lineRule="auto"/>
        <w:tabs>
          <w:tab w:leader="none" w:pos="838"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Sponsor and each Insider agrees that it, he or she shall not Transfer (as defined below) any Founder Shares (or any shares of Class A Common Stock issuable upon conversion thereof) until the earlier of (A) one year after the completion of the Company’s initial Business Combination and</w:t>
      </w:r>
    </w:p>
    <w:p>
      <w:pPr>
        <w:jc w:val="both"/>
        <w:ind w:firstLine="8"/>
        <w:spacing w:after="0" w:line="252" w:lineRule="auto"/>
        <w:tabs>
          <w:tab w:leader="none" w:pos="3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Business Combination, (x) if the closing price of the Class A Common Stock equals or exceeds $12.00 per share (as adjusted for stock splits, stock dividends, reorganizations, recapitalizations and the like) for any 20 trading days within any 30-trading day period commencing at least 150 days after the Company’s initial Business Combination or (y) the date following the completion of the Company’s initial Business Combination on which the Company completes a liquidation, merger, capital stock exchange, reorganization or other similar transaction that results in all of the Company’s stockholders having the right to exchange their shares of Class A Common Stock for cash, securities or other property (the “</w:t>
      </w:r>
      <w:r>
        <w:rPr>
          <w:rFonts w:ascii="Times New Roman" w:cs="Times New Roman" w:eastAsia="Times New Roman" w:hAnsi="Times New Roman"/>
          <w:sz w:val="18"/>
          <w:szCs w:val="18"/>
          <w:b w:val="1"/>
          <w:bCs w:val="1"/>
          <w:i w:val="1"/>
          <w:iCs w:val="1"/>
          <w:color w:val="auto"/>
        </w:rPr>
        <w:t>Founder Shares Lock-up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Period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18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4" w:val="left"/>
        </w:tabs>
        <w:numPr>
          <w:ilvl w:val="2"/>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each Insider agrees that it, he or she shall not Transfer any Private Placement Warrants (or any share of Class A Common Stock issued or issuable upon the exercise of the Private Placement Warrants), until 30 days after the completion of a Business Combination (the “</w:t>
      </w:r>
      <w:r>
        <w:rPr>
          <w:rFonts w:ascii="Times New Roman" w:cs="Times New Roman" w:eastAsia="Times New Roman" w:hAnsi="Times New Roman"/>
          <w:sz w:val="18"/>
          <w:szCs w:val="18"/>
          <w:b w:val="1"/>
          <w:bCs w:val="1"/>
          <w:i w:val="1"/>
          <w:iCs w:val="1"/>
          <w:color w:val="auto"/>
        </w:rPr>
        <w:t>Private Placement Warrants Lock-up Period</w:t>
      </w:r>
      <w:r>
        <w:rPr>
          <w:rFonts w:ascii="Times New Roman" w:cs="Times New Roman" w:eastAsia="Times New Roman" w:hAnsi="Times New Roman"/>
          <w:sz w:val="18"/>
          <w:szCs w:val="18"/>
          <w:color w:val="auto"/>
        </w:rPr>
        <w:t>”, together with the Founder Shares Lock-up Period, the “</w:t>
      </w:r>
      <w:r>
        <w:rPr>
          <w:rFonts w:ascii="Times New Roman" w:cs="Times New Roman" w:eastAsia="Times New Roman" w:hAnsi="Times New Roman"/>
          <w:sz w:val="18"/>
          <w:szCs w:val="18"/>
          <w:b w:val="1"/>
          <w:bCs w:val="1"/>
          <w:i w:val="1"/>
          <w:iCs w:val="1"/>
          <w:color w:val="auto"/>
        </w:rPr>
        <w:t>Lock-up Periods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17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6" w:val="left"/>
        </w:tabs>
        <w:numPr>
          <w:ilvl w:val="2"/>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set forth in paragraphs 7(a) and (b), Transfers of the Founder Shares, Private Placement Warrants and shares of Class A Common Stock issued or issuable upon the exercise or conversion of the Private Placement Warrants or the Founder Shares that are held by the Sponsor, any Insider or any of their permitted transferees (that have complied with this paragraph 7(c)), are permitted (a) to the Company’s officers or directors, any affiliates or family members of any of the Company’s officers or directors, any members or partners of the Sponsor or their affiliates (including members of the Sponsor’s members), any affiliates of the Sponsor, or any employees of such affiliates; (b) in the case of an individual, by gift to a member of such individual’s immediate family or to a trust, the beneficiary of which is a member of such individual’s immediate family, an affiliate of such individual or to a charitable organization; (c) in the case of an individual, by virtue of laws of descent and distribution upon death of such individual;</w:t>
      </w:r>
    </w:p>
    <w:p>
      <w:pPr>
        <w:spacing w:after="0" w:line="2"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 in the case of an individual, pursuant to a qualified domestic relations order; (e) by private sales or transfers made in connection with any forward purchase agreement or similar arrangement or in connection with the consummation of an initial Business Combination at prices no greater than the price at which the securities were originally purchased; (f) by virtue of the laws of the State of Delaware or the Sponsor’s organizational documents upon liquidation or dissolution of the Sponsor; (g) to the Company for no value for cancellation in connection with the consummation of an initial Business Combination; (h) in the event of the Company’s liquidation prior to the consummation of an initial Business Combination; or (i) in the event of the Company’s completion of a liquidation, merger, capital stock exchange or other similar transaction which results in all of the Company’s stockholders having the right to exchange their shares of Class A Common Stock for cash, securities or other property subsequent to the Company’s completion of an initial Business Combination;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case of clauses (a) through (f), these permitted transferees must enter into a written agreement with the Company agreeing to be bound by the transfer restrictions herein and the other restrictions contained in this Agreement (including provisions relating to voting, the Trust Account and liquidating distributions).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8" w:name="page129"/>
    <w:bookmarkEnd w:id="128"/>
    <w:p>
      <w:pPr>
        <w:jc w:val="both"/>
        <w:ind w:firstLine="656"/>
        <w:spacing w:after="0" w:line="254" w:lineRule="auto"/>
        <w:tabs>
          <w:tab w:leader="none" w:pos="825"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each Insider represents and warrants that it, he or she has never been suspended or expelled from membership in any securities or commodities exchange or association or had a securities or commodities license or registration denied, suspended or revoked. Each Insider’s biographical information furnished to the Company (including any such information included in the Prospectus) is true and accurate in all material respects and does not omit any material information with respect to such Insider’s background. The Sponsor and each Insider represents and warrants that the questionnaire it, he or she furnished to the Company is true and accurate in all material respects. The Sponsor and each Insider represents and warrants that: it, he or she is not subject to or a respondent in any legal action for, any injunction, cease-and-desist order or order or stipulation to desist or refrain from any act or practice relating to the offering of securities in any jurisdiction; it, he or she has never been convicted of, or pleaded guilty to, any crime (i) involving fraud, (ii) relating to any financial transaction or handling of funds of another person, or (iii) pertaining to any dealings in any securities and it, he or she is not currently a defendant in any such criminal proceeding.</w:t>
      </w:r>
    </w:p>
    <w:p>
      <w:pPr>
        <w:spacing w:after="0" w:line="188" w:lineRule="exact"/>
        <w:rPr>
          <w:rFonts w:ascii="Times New Roman" w:cs="Times New Roman" w:eastAsia="Times New Roman" w:hAnsi="Times New Roman"/>
          <w:sz w:val="18"/>
          <w:szCs w:val="18"/>
          <w:color w:val="auto"/>
        </w:rPr>
      </w:pPr>
    </w:p>
    <w:p>
      <w:pPr>
        <w:jc w:val="both"/>
        <w:ind w:firstLine="656"/>
        <w:spacing w:after="0" w:line="253" w:lineRule="auto"/>
        <w:tabs>
          <w:tab w:leader="none" w:pos="831"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Prospectus, neither the Sponsor nor any officer, nor any affiliate of the Sponsor or any officer, nor any director of the Company, shall receive from the Company any finder’s fee, reimbursement, consulting fee, non-cash payments, monies in respect of any repayment of a loan or other compensation prior to, or in connection with any services rendered in order to effectuate, the consummation of the Company’s initial Business Combination (regardless of the type of transaction that it is), other than the following, none of which will be made from the proceeds held in the Trust Account prior to the completion of the initial Business Combination: repayment of a loan and advances up to an aggregate of $300,000 made to the Company by the Sponsor; reimbursement for any reasonable out-of-pocket expenses related to identifying, investigating, negotiating and completing an initial Business Combination; and repayment of loans, if any, and on such terms as to be determined by the Company from time to time, made by the Sponsor or an affiliate of the Sponsor or any of the Company’s officers or directors to finance transaction costs in connection with an intended initial Business Combination, provided, that, if the Company does not consummate an initial Business Combination, a portion of the working capital held outside the Trust Account may be used by the Company to repay such loaned amounts so long as no proceeds from the Trust Account are used for such repayment. Up to $1,500,000 of such loans may be convertible into warrants of the post-Business Combination entity at a price of $1.50 per warrant at the option of the lender. Such warrants would be identical to the Private Placement Warrants, including as to exercise price, exercisability and exercise period.</w:t>
      </w:r>
    </w:p>
    <w:p>
      <w:pPr>
        <w:spacing w:after="0" w:line="189" w:lineRule="exact"/>
        <w:rPr>
          <w:rFonts w:ascii="Times New Roman" w:cs="Times New Roman" w:eastAsia="Times New Roman" w:hAnsi="Times New Roman"/>
          <w:sz w:val="18"/>
          <w:szCs w:val="18"/>
          <w:color w:val="auto"/>
        </w:rPr>
      </w:pPr>
    </w:p>
    <w:p>
      <w:pPr>
        <w:jc w:val="both"/>
        <w:ind w:firstLine="656"/>
        <w:spacing w:after="0" w:line="261" w:lineRule="auto"/>
        <w:tabs>
          <w:tab w:leader="none" w:pos="915"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each Insider has full right and power, without violating any agreement to which it is bound (including, without limitation, any non-competition or non-solicitation agreement with any employer or former employer), to enter into this Letter Agreement and, as applicable, to serve as an officer and/or director on the board of directors of the Company and hereby consents to being named in the Prospectus as an officer and/or director of the Company.</w:t>
      </w:r>
    </w:p>
    <w:p>
      <w:pPr>
        <w:spacing w:after="0" w:line="175" w:lineRule="exact"/>
        <w:rPr>
          <w:rFonts w:ascii="Times New Roman" w:cs="Times New Roman" w:eastAsia="Times New Roman" w:hAnsi="Times New Roman"/>
          <w:sz w:val="18"/>
          <w:szCs w:val="18"/>
          <w:color w:val="auto"/>
        </w:rPr>
      </w:pPr>
    </w:p>
    <w:p>
      <w:pPr>
        <w:jc w:val="both"/>
        <w:ind w:firstLine="656"/>
        <w:spacing w:after="0" w:line="253" w:lineRule="auto"/>
        <w:tabs>
          <w:tab w:leader="none" w:pos="909"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(i)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shall mean a merger, capital stock exchange, asset acquisition, stock purchase, reorganization or similar business combination, involving the Company and one or more businesses; (ii)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shall mean the Class A Common Stock and Class B common stock, par value $0.0001 per share, of the Company (“</w:t>
      </w:r>
      <w:r>
        <w:rPr>
          <w:rFonts w:ascii="Times New Roman" w:cs="Times New Roman" w:eastAsia="Times New Roman" w:hAnsi="Times New Roman"/>
          <w:sz w:val="18"/>
          <w:szCs w:val="18"/>
          <w:b w:val="1"/>
          <w:bCs w:val="1"/>
          <w:i w:val="1"/>
          <w:iCs w:val="1"/>
          <w:color w:val="auto"/>
        </w:rPr>
        <w:t>Class B Common Stock</w:t>
      </w:r>
      <w:r>
        <w:rPr>
          <w:rFonts w:ascii="Times New Roman" w:cs="Times New Roman" w:eastAsia="Times New Roman" w:hAnsi="Times New Roman"/>
          <w:sz w:val="18"/>
          <w:szCs w:val="18"/>
          <w:color w:val="auto"/>
        </w:rPr>
        <w:t>”); (iii) “</w:t>
      </w:r>
      <w:r>
        <w:rPr>
          <w:rFonts w:ascii="Times New Roman" w:cs="Times New Roman" w:eastAsia="Times New Roman" w:hAnsi="Times New Roman"/>
          <w:sz w:val="18"/>
          <w:szCs w:val="18"/>
          <w:b w:val="1"/>
          <w:bCs w:val="1"/>
          <w:i w:val="1"/>
          <w:iCs w:val="1"/>
          <w:color w:val="auto"/>
        </w:rPr>
        <w:t>Founder Shares</w:t>
      </w:r>
      <w:r>
        <w:rPr>
          <w:rFonts w:ascii="Times New Roman" w:cs="Times New Roman" w:eastAsia="Times New Roman" w:hAnsi="Times New Roman"/>
          <w:sz w:val="18"/>
          <w:szCs w:val="18"/>
          <w:color w:val="auto"/>
        </w:rPr>
        <w:t>” shall mean the 11,068,750 shares of Class B Common Stock issued and outstanding immediately prior to the consummation of the Public Offering (up to 1,443,750 shares of which are subject to complete or partial forfeiture by the Sponsor if the over-allotment option is not exercised by the Underwriter); (iv) “</w:t>
      </w:r>
      <w:r>
        <w:rPr>
          <w:rFonts w:ascii="Times New Roman" w:cs="Times New Roman" w:eastAsia="Times New Roman" w:hAnsi="Times New Roman"/>
          <w:sz w:val="18"/>
          <w:szCs w:val="18"/>
          <w:b w:val="1"/>
          <w:bCs w:val="1"/>
          <w:i w:val="1"/>
          <w:iCs w:val="1"/>
          <w:color w:val="auto"/>
        </w:rPr>
        <w:t>Initial Stockholders</w:t>
      </w:r>
      <w:r>
        <w:rPr>
          <w:rFonts w:ascii="Times New Roman" w:cs="Times New Roman" w:eastAsia="Times New Roman" w:hAnsi="Times New Roman"/>
          <w:sz w:val="18"/>
          <w:szCs w:val="18"/>
          <w:color w:val="auto"/>
        </w:rPr>
        <w:t>” shall mean the Sponsor and any Insider that holds Founder Shares; (v) “</w:t>
      </w:r>
      <w:r>
        <w:rPr>
          <w:rFonts w:ascii="Times New Roman" w:cs="Times New Roman" w:eastAsia="Times New Roman" w:hAnsi="Times New Roman"/>
          <w:sz w:val="18"/>
          <w:szCs w:val="18"/>
          <w:b w:val="1"/>
          <w:bCs w:val="1"/>
          <w:i w:val="1"/>
          <w:iCs w:val="1"/>
          <w:color w:val="auto"/>
        </w:rPr>
        <w:t>Private Placement Warrants</w:t>
      </w:r>
      <w:r>
        <w:rPr>
          <w:rFonts w:ascii="Times New Roman" w:cs="Times New Roman" w:eastAsia="Times New Roman" w:hAnsi="Times New Roman"/>
          <w:sz w:val="18"/>
          <w:szCs w:val="18"/>
          <w:color w:val="auto"/>
        </w:rPr>
        <w:t>” shall mean the 6,466,667 warrants (or 7,236,667 warrants if the over-allotment option is exercised in full) that the Sponsor and certain Insiders have agreed to purchase for an aggregate purchase price of $9,700,000 (or $10,855,000 if the over-allotment option is exercised in full), or $1.50 per warrant, in a private placement that shall occur simultaneously with the consummation of the Public Offering; (vi) “</w:t>
      </w:r>
      <w:r>
        <w:rPr>
          <w:rFonts w:ascii="Times New Roman" w:cs="Times New Roman" w:eastAsia="Times New Roman" w:hAnsi="Times New Roman"/>
          <w:sz w:val="18"/>
          <w:szCs w:val="18"/>
          <w:b w:val="1"/>
          <w:bCs w:val="1"/>
          <w:i w:val="1"/>
          <w:iCs w:val="1"/>
          <w:color w:val="auto"/>
        </w:rPr>
        <w:t>Public Stockholders</w:t>
      </w:r>
      <w:r>
        <w:rPr>
          <w:rFonts w:ascii="Times New Roman" w:cs="Times New Roman" w:eastAsia="Times New Roman" w:hAnsi="Times New Roman"/>
          <w:sz w:val="18"/>
          <w:szCs w:val="18"/>
          <w:color w:val="auto"/>
        </w:rPr>
        <w:t>” shall mean the holders of securities issued in the Public Offering; (vii) “</w:t>
      </w:r>
      <w:r>
        <w:rPr>
          <w:rFonts w:ascii="Times New Roman" w:cs="Times New Roman" w:eastAsia="Times New Roman" w:hAnsi="Times New Roman"/>
          <w:sz w:val="18"/>
          <w:szCs w:val="18"/>
          <w:b w:val="1"/>
          <w:bCs w:val="1"/>
          <w:i w:val="1"/>
          <w:iCs w:val="1"/>
          <w:color w:val="auto"/>
        </w:rPr>
        <w:t>Trust Account</w:t>
      </w:r>
      <w:r>
        <w:rPr>
          <w:rFonts w:ascii="Times New Roman" w:cs="Times New Roman" w:eastAsia="Times New Roman" w:hAnsi="Times New Roman"/>
          <w:sz w:val="18"/>
          <w:szCs w:val="18"/>
          <w:color w:val="auto"/>
        </w:rPr>
        <w:t>” shall mean the trust fund into which a portion of the net proceeds of the Public Offering and the sale of the Private Placement Warrants shall be deposited;</w:t>
      </w:r>
    </w:p>
    <w:p>
      <w:pPr>
        <w:jc w:val="both"/>
        <w:ind w:firstLine="8"/>
        <w:spacing w:after="0" w:line="252" w:lineRule="auto"/>
        <w:tabs>
          <w:tab w:leader="none" w:pos="40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shall mean the (a) sale of, offer to sell, contract or agreement to sell,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and the rules and regulations of the Commission promulgated thereunder with respect to, any security, (b) entry into any swap or other arrangement that transfers to another, in whole or in part, any of the economic consequences of ownership of any security, whether any such transaction is to be settled by delivery of such securities, in cash or otherwise, or (c) public announcement of any intention to effect any transaction specified in clause (a) or (b); and (ix)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shall mean the Private Placement Warrants and Public Warrants.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9" w:name="page130"/>
    <w:bookmarkEnd w:id="129"/>
    <w:p>
      <w:pPr>
        <w:jc w:val="both"/>
        <w:ind w:firstLine="656"/>
        <w:spacing w:after="0" w:line="266" w:lineRule="auto"/>
        <w:tabs>
          <w:tab w:leader="none" w:pos="917"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maintain an insurance policy or policies providing directors’ and officers’ liability insurance, and each Director and Officer shall be covered by such policy or policies, in accordance with its or their terms, to the maximum extent of the coverage available for any of the Company’s directors or officers.</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93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Agreement constitutes the entire agreement and understanding of the parties hereto in respect of the subject matter hereof and supersedes all prior understandings, agreements, or representations by or among the parties hereto, written or oral, to the extent they relate in any way to the subject matter hereof or the transactions contemplated hereby. This Letter Agreement may not be changed, amended, modified or waived (other than to correct a typographical error) as to any particular provision, except by a written instrument executed by all parties hereto.</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942"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hereto may assign either this Letter Agreement or any of its rights, interests, or obligations hereunder without the prior written consent of the other parties. Any purported assignment in violation of this paragraph shall be void and ineffectual and shall not operate to transfer or assign any interest or title to the purported assignee. This Letter Agreement shall be binding on the Sponsor and each Insider and their respective successors, heirs and assigns and permitted transferees.</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93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Letter Agreement shall be construed to confer upon, or give to, any person or corporation other than the parties hereto any right, remedy or claim under or by reason of this Letter Agreement or of any covenant, condition, stipulation, promise or agreement hereof. All covenants, conditions, stipulations, promises and agreements contained in this Letter Agreement shall be for the sole and exclusive benefit of the parties hereto and their successors, heirs, personal representatives and assigns and permitted transferees.</w:t>
      </w:r>
    </w:p>
    <w:p>
      <w:pPr>
        <w:spacing w:after="0" w:line="179" w:lineRule="exact"/>
        <w:rPr>
          <w:rFonts w:ascii="Times New Roman" w:cs="Times New Roman" w:eastAsia="Times New Roman" w:hAnsi="Times New Roman"/>
          <w:sz w:val="18"/>
          <w:szCs w:val="18"/>
          <w:color w:val="auto"/>
        </w:rPr>
      </w:pPr>
    </w:p>
    <w:p>
      <w:pPr>
        <w:ind w:right="20" w:firstLine="656"/>
        <w:spacing w:after="0" w:line="282" w:lineRule="auto"/>
        <w:tabs>
          <w:tab w:leader="none" w:pos="94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Agreement may be executed in any number of original or facsimile counterparts and each of such counterparts shall for all purposes be deemed to be an original, and all such counterparts shall together constitute but one and the same instrument.</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92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Agreement shall be deemed severable, and the invalidity or unenforceability of any term or provision hereof shall not affect the validity or enforceability of this Letter Agreement or of any other term or provision hereof. Furthermore, in lieu of any such invalid or unenforceable term or provision, the parties hereto intend that there shall be added as a part of this Letter Agreement a provision as similar in terms to such invalid or unenforceable provision as may be possible and be valid and enforceable.</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92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Agreement shall be governed by and construed and enforced in accordance with the laws of the State of New York. The parties hereto (i) all agree that any action, proceeding, claim or dispute arising out of, or relating in any way to, this Letter Agreement shall be brought and enforced in the courts of New York City, in the State of New York, and irrevocably submit to such jurisdiction and venue, which jurisdiction and venue shall be exclusive and (ii) waive any objection to such exclusive jurisdiction and venue or that such courts represent an inconvenient forum.</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917"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consent or request to be given in connection with any of the terms or provisions of this Letter Agreement shall be in writing and shall be sent by express mail or similar private courier service, by certified mail (return receipt requested), by hand delivery or facsimile transmission.</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37"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Agreement shall terminate on the earlier of (i) the expiration of the Lock-up Periods and (ii) the liquidation of the Company; provided, however, that this Letter Agreement shall earlier terminate in the event that the Public Offering is not consummated and closed by December 31, 2020; provided further that paragraph 4 of this Letter Agreement shall survive such liquidation.</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0" w:name="page131"/>
    <w:bookmarkEnd w:id="130"/>
    <w:p>
      <w:pPr>
        <w:ind w:left="6760"/>
        <w:spacing w:after="0"/>
        <w:rPr>
          <w:sz w:val="20"/>
          <w:szCs w:val="20"/>
          <w:color w:val="auto"/>
        </w:rPr>
      </w:pPr>
      <w:r>
        <w:rPr>
          <w:rFonts w:ascii="Times New Roman" w:cs="Times New Roman" w:eastAsia="Times New Roman" w:hAnsi="Times New Roman"/>
          <w:sz w:val="18"/>
          <w:szCs w:val="18"/>
          <w:color w:val="auto"/>
        </w:rPr>
        <w:t>Sincerely,</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CMLS HOLDINGS LLC</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Keith Meister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 Keith Meister</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Title: Manager</w:t>
      </w:r>
    </w:p>
    <w:p>
      <w:pPr>
        <w:spacing w:after="0" w:line="20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 Eli Casdin</w:t>
      </w:r>
    </w:p>
    <w:p>
      <w:pPr>
        <w:spacing w:after="0" w:line="225"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 Keith Meister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 Keith Meister</w:t>
      </w:r>
    </w:p>
    <w:p>
      <w:pPr>
        <w:spacing w:after="0" w:line="225"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 Brian Emes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 Brian Emes</w:t>
      </w:r>
    </w:p>
    <w:p>
      <w:pPr>
        <w:spacing w:after="0" w:line="225"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 Shaun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 Shaun Rodriguez</w:t>
      </w:r>
    </w:p>
    <w:p>
      <w:pPr>
        <w:spacing w:after="0" w:line="225"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 Sean George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 Sean George</w:t>
      </w:r>
    </w:p>
    <w:p>
      <w:pPr>
        <w:spacing w:after="0" w:line="225"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 Munib Islam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 Munib Islam</w:t>
      </w:r>
    </w:p>
    <w:p>
      <w:pPr>
        <w:spacing w:after="0" w:line="225"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 Emily Leproust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 Emily Leproust</w:t>
      </w:r>
    </w:p>
    <w:p>
      <w:pPr>
        <w:spacing w:after="0" w:line="225"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 Nat Turner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 Nat Turner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Acknowledged and Agreed: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CM LIFE SCIENCES, INC.</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Brian Emes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Brian Emes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  Chief Financial Officer and Secretary</w:t>
      </w:r>
    </w:p>
    <w:p>
      <w:pPr>
        <w:spacing w:after="0" w:line="200" w:lineRule="exact"/>
        <w:rPr>
          <w:sz w:val="20"/>
          <w:szCs w:val="20"/>
          <w:color w:val="auto"/>
        </w:rPr>
      </w:pPr>
    </w:p>
    <w:p>
      <w:pPr>
        <w:spacing w:after="0" w:line="2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FORWARD PURCHASE AGREEMENT</w:t>
      </w:r>
    </w:p>
    <w:p>
      <w:pPr>
        <w:spacing w:after="0" w:line="229" w:lineRule="exact"/>
        <w:rPr>
          <w:sz w:val="20"/>
          <w:szCs w:val="20"/>
          <w:color w:val="auto"/>
        </w:rPr>
      </w:pPr>
    </w:p>
    <w:p>
      <w:pPr>
        <w:ind w:right="80" w:firstLine="648"/>
        <w:spacing w:after="0" w:line="289" w:lineRule="auto"/>
        <w:rPr>
          <w:sz w:val="20"/>
          <w:szCs w:val="20"/>
          <w:color w:val="auto"/>
        </w:rPr>
      </w:pPr>
      <w:r>
        <w:rPr>
          <w:rFonts w:ascii="Times New Roman" w:cs="Times New Roman" w:eastAsia="Times New Roman" w:hAnsi="Times New Roman"/>
          <w:sz w:val="17"/>
          <w:szCs w:val="17"/>
          <w:color w:val="auto"/>
        </w:rPr>
        <w:t>This Forward Purchase Agreement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is entered into as of September 1, 2020, by and between CM Life Sciences,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and Casdin Capital, LLC, a Delaware limited liability company, acting solely in its capacity as investment advisor (in such capacity, the “</w:t>
      </w:r>
      <w:r>
        <w:rPr>
          <w:rFonts w:ascii="Times New Roman" w:cs="Times New Roman" w:eastAsia="Times New Roman" w:hAnsi="Times New Roman"/>
          <w:sz w:val="17"/>
          <w:szCs w:val="17"/>
          <w:u w:val="single" w:color="auto"/>
          <w:color w:val="auto"/>
        </w:rPr>
        <w:t>Advisor</w:t>
      </w:r>
      <w:r>
        <w:rPr>
          <w:rFonts w:ascii="Times New Roman" w:cs="Times New Roman" w:eastAsia="Times New Roman" w:hAnsi="Times New Roman"/>
          <w:sz w:val="17"/>
          <w:szCs w:val="17"/>
          <w:color w:val="auto"/>
        </w:rPr>
        <w:t>”) to one or more investment funds, clients or accounts (collectively, “</w:t>
      </w:r>
      <w:r>
        <w:rPr>
          <w:rFonts w:ascii="Times New Roman" w:cs="Times New Roman" w:eastAsia="Times New Roman" w:hAnsi="Times New Roman"/>
          <w:sz w:val="17"/>
          <w:szCs w:val="17"/>
          <w:u w:val="single" w:color="auto"/>
          <w:color w:val="auto"/>
        </w:rPr>
        <w:t>Clients</w:t>
      </w:r>
      <w:r>
        <w:rPr>
          <w:rFonts w:ascii="Times New Roman" w:cs="Times New Roman" w:eastAsia="Times New Roman" w:hAnsi="Times New Roman"/>
          <w:sz w:val="17"/>
          <w:szCs w:val="17"/>
          <w:color w:val="auto"/>
        </w:rPr>
        <w:t>”) managed from time to time by the Advisor.</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9"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was incorporated for the purpose of effecting a merger, capital stock exchange, asset acquisition, stock purchase, reorganization or similar business combination with one or more businesses (a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WHEREAS, the Company has filed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 registration statement on Form S-1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for its initial public offering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of 38,500,000 units (or 44,275,000 units if the underwriters’ over-allotment option (the “</w:t>
      </w:r>
      <w:r>
        <w:rPr>
          <w:rFonts w:ascii="Times New Roman" w:cs="Times New Roman" w:eastAsia="Times New Roman" w:hAnsi="Times New Roman"/>
          <w:sz w:val="18"/>
          <w:szCs w:val="18"/>
          <w:u w:val="single" w:color="auto"/>
          <w:color w:val="auto"/>
        </w:rPr>
        <w:t>IPO Option</w:t>
      </w:r>
      <w:r>
        <w:rPr>
          <w:rFonts w:ascii="Times New Roman" w:cs="Times New Roman" w:eastAsia="Times New Roman" w:hAnsi="Times New Roman"/>
          <w:sz w:val="18"/>
          <w:szCs w:val="18"/>
          <w:color w:val="auto"/>
        </w:rPr>
        <w:t>”) is exercised in full) (the “</w:t>
      </w:r>
      <w:r>
        <w:rPr>
          <w:rFonts w:ascii="Times New Roman" w:cs="Times New Roman" w:eastAsia="Times New Roman" w:hAnsi="Times New Roman"/>
          <w:sz w:val="18"/>
          <w:szCs w:val="18"/>
          <w:u w:val="single" w:color="auto"/>
          <w:color w:val="auto"/>
        </w:rPr>
        <w:t>Public Units</w:t>
      </w:r>
      <w:r>
        <w:rPr>
          <w:rFonts w:ascii="Times New Roman" w:cs="Times New Roman" w:eastAsia="Times New Roman" w:hAnsi="Times New Roman"/>
          <w:sz w:val="18"/>
          <w:szCs w:val="18"/>
          <w:color w:val="auto"/>
        </w:rPr>
        <w:t>”) at a price of $10.00 per Public Unit, each Public Unit comprised of one share of the Company’s Class A common stock, par value $0.0001 per share (the “</w:t>
      </w:r>
      <w:r>
        <w:rPr>
          <w:rFonts w:ascii="Times New Roman" w:cs="Times New Roman" w:eastAsia="Times New Roman" w:hAnsi="Times New Roman"/>
          <w:sz w:val="18"/>
          <w:szCs w:val="18"/>
          <w:u w:val="single" w:color="auto"/>
          <w:color w:val="auto"/>
        </w:rPr>
        <w:t>Class A Shares</w:t>
      </w:r>
      <w:r>
        <w:rPr>
          <w:rFonts w:ascii="Times New Roman" w:cs="Times New Roman" w:eastAsia="Times New Roman" w:hAnsi="Times New Roman"/>
          <w:sz w:val="18"/>
          <w:szCs w:val="18"/>
          <w:color w:val="auto"/>
        </w:rPr>
        <w:t>,” and the Class A Shares included in the Public Units, the “</w:t>
      </w:r>
      <w:r>
        <w:rPr>
          <w:rFonts w:ascii="Times New Roman" w:cs="Times New Roman" w:eastAsia="Times New Roman" w:hAnsi="Times New Roman"/>
          <w:sz w:val="18"/>
          <w:szCs w:val="18"/>
          <w:u w:val="single" w:color="auto"/>
          <w:color w:val="auto"/>
        </w:rPr>
        <w:t>Public Shares</w:t>
      </w:r>
      <w:r>
        <w:rPr>
          <w:rFonts w:ascii="Times New Roman" w:cs="Times New Roman" w:eastAsia="Times New Roman" w:hAnsi="Times New Roman"/>
          <w:sz w:val="18"/>
          <w:szCs w:val="18"/>
          <w:color w:val="auto"/>
        </w:rPr>
        <w:t>”), and one-third of one redeemable warrant, where each whole redeemable warrant is exercisable to purchase one Class A Share at an exercise price of $11.50 per share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and the Warrants included in the Public Units, the “</w:t>
      </w:r>
      <w:r>
        <w:rPr>
          <w:rFonts w:ascii="Times New Roman" w:cs="Times New Roman" w:eastAsia="Times New Roman" w:hAnsi="Times New Roman"/>
          <w:sz w:val="18"/>
          <w:szCs w:val="18"/>
          <w:u w:val="single" w:color="auto"/>
          <w:color w:val="auto"/>
        </w:rPr>
        <w:t>Public Warrants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WHEREAS, the Company’s sponsor, CMLS Holdings, LLC, and certain of the Company’s independent director nominees have severally agreed to purchase an aggregate of 6,466,667 warrants (or 7,236,667 warrants if the IPO Option is exercised in full) at a price of $1.50 per warrant in a private placement that will close simultaneously with the closing of the IPO (the “</w:t>
      </w:r>
      <w:r>
        <w:rPr>
          <w:rFonts w:ascii="Times New Roman" w:cs="Times New Roman" w:eastAsia="Times New Roman" w:hAnsi="Times New Roman"/>
          <w:sz w:val="18"/>
          <w:szCs w:val="18"/>
          <w:u w:val="single" w:color="auto"/>
          <w:color w:val="auto"/>
        </w:rPr>
        <w:t>Private Placement Warrants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following the closing of the IPO (the “</w:t>
      </w:r>
      <w:r>
        <w:rPr>
          <w:rFonts w:ascii="Times New Roman" w:cs="Times New Roman" w:eastAsia="Times New Roman" w:hAnsi="Times New Roman"/>
          <w:sz w:val="18"/>
          <w:szCs w:val="18"/>
          <w:u w:val="single" w:color="auto"/>
          <w:color w:val="auto"/>
        </w:rPr>
        <w:t>IPO Closing</w:t>
      </w:r>
      <w:r>
        <w:rPr>
          <w:rFonts w:ascii="Times New Roman" w:cs="Times New Roman" w:eastAsia="Times New Roman" w:hAnsi="Times New Roman"/>
          <w:sz w:val="18"/>
          <w:szCs w:val="18"/>
          <w:color w:val="auto"/>
        </w:rPr>
        <w:t>”), the Company will seek to identify and consummate a Business Combination;</w:t>
      </w:r>
    </w:p>
    <w:p>
      <w:pPr>
        <w:spacing w:after="0" w:line="225"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WHEREAS, the parties wish to enter into this Agreement, pursuant to which, concurrently with the closing of the Company’s initial Business Combination (the “</w:t>
      </w:r>
      <w:r>
        <w:rPr>
          <w:rFonts w:ascii="Times New Roman" w:cs="Times New Roman" w:eastAsia="Times New Roman" w:hAnsi="Times New Roman"/>
          <w:sz w:val="18"/>
          <w:szCs w:val="18"/>
          <w:u w:val="single" w:color="auto"/>
          <w:color w:val="auto"/>
        </w:rPr>
        <w:t>Business Combination Closing</w:t>
      </w:r>
      <w:r>
        <w:rPr>
          <w:rFonts w:ascii="Times New Roman" w:cs="Times New Roman" w:eastAsia="Times New Roman" w:hAnsi="Times New Roman"/>
          <w:sz w:val="18"/>
          <w:szCs w:val="18"/>
          <w:color w:val="auto"/>
        </w:rPr>
        <w:t>”), the Company shall issue and sell to each Purchaser (as defined below), and each Purchaser shall purchase from the Company, on a private placement basis, the number of Class A Shares (the “</w:t>
      </w:r>
      <w:r>
        <w:rPr>
          <w:rFonts w:ascii="Times New Roman" w:cs="Times New Roman" w:eastAsia="Times New Roman" w:hAnsi="Times New Roman"/>
          <w:sz w:val="18"/>
          <w:szCs w:val="18"/>
          <w:u w:val="single" w:color="auto"/>
          <w:color w:val="auto"/>
        </w:rPr>
        <w:t>Forward Purchase Shares</w:t>
      </w:r>
      <w:r>
        <w:rPr>
          <w:rFonts w:ascii="Times New Roman" w:cs="Times New Roman" w:eastAsia="Times New Roman" w:hAnsi="Times New Roman"/>
          <w:sz w:val="18"/>
          <w:szCs w:val="18"/>
          <w:color w:val="auto"/>
        </w:rPr>
        <w:t xml:space="preserve">”) determined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xml:space="preserve"> hereof, subject to the terms and conditions set forth herein;</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WHEREAS, concurrently with this Agreement, the Company has entered into an agreement in the form of this Agreement (the “</w:t>
      </w:r>
      <w:r>
        <w:rPr>
          <w:rFonts w:ascii="Times New Roman" w:cs="Times New Roman" w:eastAsia="Times New Roman" w:hAnsi="Times New Roman"/>
          <w:sz w:val="18"/>
          <w:szCs w:val="18"/>
          <w:u w:val="single" w:color="auto"/>
          <w:color w:val="auto"/>
        </w:rPr>
        <w:t>Other Forward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with Corvex Management LP, acting solely in its capacity as investment advisor to one or more Clients managed from time to time by such advisor pursuant to which such advisor may allocate to one or more of such Clients or assign to one or more third parties the obligation to purchase forward purchase shares (the advisor under the Other Forward Contract together with the Advisor, the “</w:t>
      </w:r>
      <w:r>
        <w:rPr>
          <w:rFonts w:ascii="Times New Roman" w:cs="Times New Roman" w:eastAsia="Times New Roman" w:hAnsi="Times New Roman"/>
          <w:sz w:val="18"/>
          <w:szCs w:val="18"/>
          <w:u w:val="single" w:color="auto"/>
          <w:color w:val="auto"/>
        </w:rPr>
        <w:t>Advisors</w:t>
      </w:r>
      <w:r>
        <w:rPr>
          <w:rFonts w:ascii="Times New Roman" w:cs="Times New Roman" w:eastAsia="Times New Roman" w:hAnsi="Times New Roman"/>
          <w:sz w:val="18"/>
          <w:szCs w:val="18"/>
          <w:color w:val="auto"/>
        </w:rPr>
        <w:t>,” and the purchasers under the Other Forward Contract together with the Purchasers, the “</w:t>
      </w:r>
      <w:r>
        <w:rPr>
          <w:rFonts w:ascii="Times New Roman" w:cs="Times New Roman" w:eastAsia="Times New Roman" w:hAnsi="Times New Roman"/>
          <w:sz w:val="18"/>
          <w:szCs w:val="18"/>
          <w:u w:val="single" w:color="auto"/>
          <w:color w:val="auto"/>
        </w:rPr>
        <w:t>Forward Contract Parties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Forward Contract Party</w:t>
      </w:r>
      <w:r>
        <w:rPr>
          <w:rFonts w:ascii="Times New Roman" w:cs="Times New Roman" w:eastAsia="Times New Roman" w:hAnsi="Times New Roman"/>
          <w:sz w:val="18"/>
          <w:szCs w:val="18"/>
          <w:color w:val="auto"/>
        </w:rPr>
        <w:t>”) for the purchase of up to an aggregate of 7,500,000 Class A Shares, for a purchase price of $10.00 per share, upon the Business Combination Closing for an aggregate purchase price of $75,000,000;</w:t>
      </w:r>
    </w:p>
    <w:p>
      <w:pPr>
        <w:spacing w:after="0" w:line="18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WHEREAS, proceeds from the IPO and the sale of the Private Placement Warrants in an aggregate amount equal to the gross proceeds from the IPO will be deposited into a trust account for the benefit of the holders of the Public Shares (the “</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as described in the Registration Statement;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2" w:name="page133"/>
    <w:bookmarkEnd w:id="132"/>
    <w:p>
      <w:pPr>
        <w:ind w:firstLine="648"/>
        <w:spacing w:after="0" w:line="258" w:lineRule="auto"/>
        <w:rPr>
          <w:sz w:val="20"/>
          <w:szCs w:val="20"/>
          <w:color w:val="auto"/>
        </w:rPr>
      </w:pPr>
      <w:r>
        <w:rPr>
          <w:rFonts w:ascii="Times New Roman" w:cs="Times New Roman" w:eastAsia="Times New Roman" w:hAnsi="Times New Roman"/>
          <w:sz w:val="18"/>
          <w:szCs w:val="18"/>
          <w:color w:val="auto"/>
        </w:rPr>
        <w:t>WHEREAS, the amounts available to the Company from the Trust Account (after giving effect to any redemptions of Public Shares) and any other equity or debt financing obtained by the Company in connection with the initial Business Combination (the “</w:t>
      </w:r>
      <w:r>
        <w:rPr>
          <w:rFonts w:ascii="Times New Roman" w:cs="Times New Roman" w:eastAsia="Times New Roman" w:hAnsi="Times New Roman"/>
          <w:sz w:val="18"/>
          <w:szCs w:val="18"/>
          <w:u w:val="single" w:color="auto"/>
          <w:color w:val="auto"/>
        </w:rPr>
        <w:t>Available Cash</w:t>
      </w:r>
      <w:r>
        <w:rPr>
          <w:rFonts w:ascii="Times New Roman" w:cs="Times New Roman" w:eastAsia="Times New Roman" w:hAnsi="Times New Roman"/>
          <w:sz w:val="18"/>
          <w:szCs w:val="18"/>
          <w:color w:val="auto"/>
        </w:rPr>
        <w:t>”), together with the proceeds from the sale of the Forward Purchase Shares, will be used to satisfy the cash requirements of the initial Business Combination, including funding the purchase price and paying expenses and retaining amounts specified in the definitive agreement for the initial Business Combination (the “</w:t>
      </w:r>
      <w:r>
        <w:rPr>
          <w:rFonts w:ascii="Times New Roman" w:cs="Times New Roman" w:eastAsia="Times New Roman" w:hAnsi="Times New Roman"/>
          <w:sz w:val="18"/>
          <w:szCs w:val="18"/>
          <w:u w:val="single" w:color="auto"/>
          <w:color w:val="auto"/>
        </w:rPr>
        <w:t>Definitive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to be retained for use by the post-initial Business Combination company for working capital or other purposes (the “</w:t>
      </w:r>
      <w:r>
        <w:rPr>
          <w:rFonts w:ascii="Times New Roman" w:cs="Times New Roman" w:eastAsia="Times New Roman" w:hAnsi="Times New Roman"/>
          <w:sz w:val="18"/>
          <w:szCs w:val="18"/>
          <w:u w:val="single" w:color="auto"/>
          <w:color w:val="auto"/>
        </w:rPr>
        <w:t>Cash Requirements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representations, warranties and the mutual covenants contained in this Agreement, and for other good and valuable consideration, the receipt, sufficiency and adequacy of which are hereby acknowledged, the parties hereto agree as follows: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5" w:lineRule="exact"/>
        <w:rPr>
          <w:sz w:val="20"/>
          <w:szCs w:val="20"/>
          <w:color w:val="auto"/>
        </w:rPr>
      </w:pPr>
    </w:p>
    <w:p>
      <w:pPr>
        <w:ind w:left="180" w:hanging="172"/>
        <w:spacing w:after="0"/>
        <w:tabs>
          <w:tab w:leader="none" w:pos="18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 and Purchase.</w:t>
      </w:r>
    </w:p>
    <w:p>
      <w:pPr>
        <w:spacing w:after="0" w:line="229" w:lineRule="exact"/>
        <w:rPr>
          <w:rFonts w:ascii="Times New Roman" w:cs="Times New Roman" w:eastAsia="Times New Roman" w:hAnsi="Times New Roman"/>
          <w:sz w:val="18"/>
          <w:szCs w:val="18"/>
          <w:b w:val="1"/>
          <w:bCs w:val="1"/>
          <w:color w:val="auto"/>
        </w:rPr>
      </w:pPr>
    </w:p>
    <w:p>
      <w:pPr>
        <w:ind w:left="900" w:hanging="244"/>
        <w:spacing w:after="0"/>
        <w:tabs>
          <w:tab w:leader="none" w:pos="90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Forward Purchase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1304"/>
        <w:spacing w:after="0" w:line="261" w:lineRule="auto"/>
        <w:tabs>
          <w:tab w:leader="none" w:pos="1511"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Sections 1(a)(ii)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hereof, the Company shall issue and sell to the Purchaser or Purchasers, determined as set forth in </w:t>
      </w:r>
      <w:r>
        <w:rPr>
          <w:rFonts w:ascii="Times New Roman" w:cs="Times New Roman" w:eastAsia="Times New Roman" w:hAnsi="Times New Roman"/>
          <w:sz w:val="18"/>
          <w:szCs w:val="18"/>
          <w:u w:val="single" w:color="auto"/>
          <w:color w:val="auto"/>
        </w:rPr>
        <w:t>Section 1(a)(ii)(B)</w:t>
      </w:r>
      <w:r>
        <w:rPr>
          <w:rFonts w:ascii="Times New Roman" w:cs="Times New Roman" w:eastAsia="Times New Roman" w:hAnsi="Times New Roman"/>
          <w:sz w:val="18"/>
          <w:szCs w:val="18"/>
          <w:color w:val="auto"/>
        </w:rPr>
        <w:t xml:space="preserve"> hereof, and the Purchaser or Purchasers shall purchase from the Company, up to an aggregate maximum of 7,500,000 Forward Purchase Shares (the “</w:t>
      </w:r>
      <w:r>
        <w:rPr>
          <w:rFonts w:ascii="Times New Roman" w:cs="Times New Roman" w:eastAsia="Times New Roman" w:hAnsi="Times New Roman"/>
          <w:sz w:val="18"/>
          <w:szCs w:val="18"/>
          <w:u w:val="single" w:color="auto"/>
          <w:color w:val="auto"/>
        </w:rPr>
        <w:t>Maximum Shares</w:t>
      </w:r>
      <w:r>
        <w:rPr>
          <w:rFonts w:ascii="Times New Roman" w:cs="Times New Roman" w:eastAsia="Times New Roman" w:hAnsi="Times New Roman"/>
          <w:sz w:val="18"/>
          <w:szCs w:val="18"/>
          <w:color w:val="auto"/>
        </w:rPr>
        <w:t>”), for a purchase price of $10.00 per Forward Purchase Share (the “</w:t>
      </w:r>
      <w:r>
        <w:rPr>
          <w:rFonts w:ascii="Times New Roman" w:cs="Times New Roman" w:eastAsia="Times New Roman" w:hAnsi="Times New Roman"/>
          <w:sz w:val="18"/>
          <w:szCs w:val="18"/>
          <w:u w:val="single" w:color="auto"/>
          <w:color w:val="auto"/>
        </w:rPr>
        <w:t>Forward Purchase Price</w:t>
      </w:r>
      <w:r>
        <w:rPr>
          <w:rFonts w:ascii="Times New Roman" w:cs="Times New Roman" w:eastAsia="Times New Roman" w:hAnsi="Times New Roman"/>
          <w:sz w:val="18"/>
          <w:szCs w:val="18"/>
          <w:color w:val="auto"/>
        </w:rPr>
        <w:t>”), or up to a maximum of $75,000,000 in the aggregate.</w:t>
      </w:r>
    </w:p>
    <w:p>
      <w:pPr>
        <w:spacing w:after="0" w:line="179" w:lineRule="exact"/>
        <w:rPr>
          <w:rFonts w:ascii="Times New Roman" w:cs="Times New Roman" w:eastAsia="Times New Roman" w:hAnsi="Times New Roman"/>
          <w:sz w:val="18"/>
          <w:szCs w:val="18"/>
          <w:color w:val="auto"/>
        </w:rPr>
      </w:pPr>
    </w:p>
    <w:p>
      <w:pPr>
        <w:ind w:right="160" w:firstLine="1304"/>
        <w:spacing w:after="0" w:line="282" w:lineRule="auto"/>
        <w:tabs>
          <w:tab w:leader="none" w:pos="1561"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Forward Purchase Shares to be issued and sold by the Company and purchased by each Purchaser hereunder shall be determined as follows:</w:t>
      </w:r>
    </w:p>
    <w:p>
      <w:pPr>
        <w:spacing w:after="0" w:line="161" w:lineRule="exact"/>
        <w:rPr>
          <w:rFonts w:ascii="Times New Roman" w:cs="Times New Roman" w:eastAsia="Times New Roman" w:hAnsi="Times New Roman"/>
          <w:sz w:val="18"/>
          <w:szCs w:val="18"/>
          <w:color w:val="auto"/>
        </w:rPr>
      </w:pPr>
    </w:p>
    <w:p>
      <w:pPr>
        <w:ind w:right="40" w:firstLine="1547"/>
        <w:spacing w:after="0" w:line="255" w:lineRule="auto"/>
        <w:tabs>
          <w:tab w:leader="none" w:pos="1834" w:val="left"/>
        </w:tabs>
        <w:numPr>
          <w:ilvl w:val="3"/>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but in no event less than fifteen (15) Business Days prior to the Company’s entry into the Definitive Agreement, the Company shall provide the Advisor with notice (the “</w:t>
      </w:r>
      <w:r>
        <w:rPr>
          <w:rFonts w:ascii="Times New Roman" w:cs="Times New Roman" w:eastAsia="Times New Roman" w:hAnsi="Times New Roman"/>
          <w:sz w:val="18"/>
          <w:szCs w:val="18"/>
          <w:u w:val="single" w:color="auto"/>
          <w:color w:val="auto"/>
        </w:rPr>
        <w:t>Initial Company Notice</w:t>
      </w:r>
      <w:r>
        <w:rPr>
          <w:rFonts w:ascii="Times New Roman" w:cs="Times New Roman" w:eastAsia="Times New Roman" w:hAnsi="Times New Roman"/>
          <w:sz w:val="18"/>
          <w:szCs w:val="18"/>
          <w:color w:val="auto"/>
        </w:rPr>
        <w:t xml:space="preserve">”) of the number of Forward Purchase Shares desired to be issued and sold by the Company pursuant to this Agreement. Such number of Forward Purchase Shares shall be determined by the Company, in its sole discretion, based on, but not limited to, the Cash Requirements and the Available Cash;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such number shall in no event exceed the Maximum Shares. Following delivery of the Initial Company Notice, the Company shall provide the Advisor with such other information as the Advisor (or any applicable Transferee pursuant to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hereof) may reasonably request so that the Advisor may appropriately determine the allocation of the Forward Purchase Shares pursuant to </w:t>
      </w:r>
      <w:r>
        <w:rPr>
          <w:rFonts w:ascii="Times New Roman" w:cs="Times New Roman" w:eastAsia="Times New Roman" w:hAnsi="Times New Roman"/>
          <w:sz w:val="18"/>
          <w:szCs w:val="18"/>
          <w:u w:val="single" w:color="auto"/>
          <w:color w:val="auto"/>
        </w:rPr>
        <w:t>Section 1(a)(ii)(C)</w:t>
      </w:r>
      <w:r>
        <w:rPr>
          <w:rFonts w:ascii="Times New Roman" w:cs="Times New Roman" w:eastAsia="Times New Roman" w:hAnsi="Times New Roman"/>
          <w:sz w:val="18"/>
          <w:szCs w:val="18"/>
          <w:color w:val="auto"/>
        </w:rPr>
        <w:t xml:space="preserve"> hereof.</w:t>
      </w:r>
    </w:p>
    <w:p>
      <w:pPr>
        <w:spacing w:after="0" w:line="188" w:lineRule="exact"/>
        <w:rPr>
          <w:rFonts w:ascii="Times New Roman" w:cs="Times New Roman" w:eastAsia="Times New Roman" w:hAnsi="Times New Roman"/>
          <w:sz w:val="18"/>
          <w:szCs w:val="18"/>
          <w:color w:val="auto"/>
        </w:rPr>
      </w:pPr>
    </w:p>
    <w:p>
      <w:pPr>
        <w:ind w:left="1840" w:hanging="293"/>
        <w:spacing w:after="0"/>
        <w:tabs>
          <w:tab w:leader="none" w:pos="1840" w:val="left"/>
        </w:tabs>
        <w:numPr>
          <w:ilvl w:val="3"/>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1(a)(ii)(C) hereof, within ten (10) Business Days after receipt of the Initial Company Notice, the Advisor shall</w:t>
      </w:r>
    </w:p>
    <w:p>
      <w:pPr>
        <w:spacing w:after="0" w:line="27" w:lineRule="exact"/>
        <w:rPr>
          <w:rFonts w:ascii="Times New Roman" w:cs="Times New Roman" w:eastAsia="Times New Roman" w:hAnsi="Times New Roman"/>
          <w:sz w:val="18"/>
          <w:szCs w:val="18"/>
          <w:color w:val="auto"/>
        </w:rPr>
      </w:pPr>
    </w:p>
    <w:p>
      <w:pPr>
        <w:ind w:right="3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allocate to one or more Clients or, in lieu of allocating to a Client, assign to one or more third parties (together with the Clients,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 and individually,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in whole or in part, the obligation to purchase the Forward Purchase Shares set forth in the Initial Company Notice and (ii) provide the Company with notice (the “</w:t>
      </w:r>
      <w:r>
        <w:rPr>
          <w:rFonts w:ascii="Times New Roman" w:cs="Times New Roman" w:eastAsia="Times New Roman" w:hAnsi="Times New Roman"/>
          <w:sz w:val="18"/>
          <w:szCs w:val="18"/>
          <w:u w:val="single" w:color="auto"/>
          <w:color w:val="auto"/>
        </w:rPr>
        <w:t>Initial Purchaser Notice</w:t>
      </w:r>
      <w:r>
        <w:rPr>
          <w:rFonts w:ascii="Times New Roman" w:cs="Times New Roman" w:eastAsia="Times New Roman" w:hAnsi="Times New Roman"/>
          <w:sz w:val="18"/>
          <w:szCs w:val="18"/>
          <w:color w:val="auto"/>
        </w:rPr>
        <w:t>”) of the identity of each Purchaser and the number of Forward Purchase Shares it has allocated or assigned to each Purchaser pursuant to this Agreement, if any, which shall not exceed the Maximum Shares. Upon such allocation or assignment:</w:t>
      </w:r>
    </w:p>
    <w:p>
      <w:pPr>
        <w:spacing w:after="0" w:line="186" w:lineRule="exact"/>
        <w:rPr>
          <w:rFonts w:ascii="Times New Roman" w:cs="Times New Roman" w:eastAsia="Times New Roman" w:hAnsi="Times New Roman"/>
          <w:sz w:val="18"/>
          <w:szCs w:val="18"/>
          <w:color w:val="auto"/>
        </w:rPr>
      </w:pPr>
    </w:p>
    <w:p>
      <w:pPr>
        <w:ind w:firstLine="2276"/>
        <w:spacing w:after="0" w:line="253" w:lineRule="auto"/>
        <w:tabs>
          <w:tab w:leader="none" w:pos="2448" w:val="left"/>
        </w:tabs>
        <w:numPr>
          <w:ilvl w:val="4"/>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Purchaser shall execute a signature page to this Agreement, substantially in the form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 “</w:t>
      </w:r>
      <w:r>
        <w:rPr>
          <w:rFonts w:ascii="Times New Roman" w:cs="Times New Roman" w:eastAsia="Times New Roman" w:hAnsi="Times New Roman"/>
          <w:sz w:val="18"/>
          <w:szCs w:val="18"/>
          <w:u w:val="single" w:color="auto"/>
          <w:color w:val="auto"/>
        </w:rPr>
        <w:t>Purchaser Joinder</w:t>
      </w:r>
      <w:r>
        <w:rPr>
          <w:rFonts w:ascii="Times New Roman" w:cs="Times New Roman" w:eastAsia="Times New Roman" w:hAnsi="Times New Roman"/>
          <w:sz w:val="18"/>
          <w:szCs w:val="18"/>
          <w:color w:val="auto"/>
        </w:rPr>
        <w:t xml:space="preserve">”), which shall reflect the number of Forward Purchase Shares to be purchased by such Purchaser and shall constitute the binding obligation of such Purchaser to purchase such Forward Purchase Shares, subject to the terms and conditions of this Agreement, and, upon such execution, such Purchaser shall have all the rights and obligations of a Purchaser hereunder with respect to such Forward Purchase Shares and shall make all of the representations, warranties, covenants and agreements of a Purchaser hereunder, and references herein to the “Purchaser” shall be deemed to refer to such Purchaser and to its Forward Purchase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representations, warranties, covenants and agreements of such Purchaser and any other Purchaser shall be several and not joint and shall be made as to such Purchaser or any other Purchaser, as applicable, as to itself only;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notwithstanding anything to the contrary contained herein, to the extent the Company proposes to obtain alternative financing to fund the initial Business Combination in the form of an offering of New Equity Securities (“</w:t>
      </w:r>
      <w:r>
        <w:rPr>
          <w:rFonts w:ascii="Times New Roman" w:cs="Times New Roman" w:eastAsia="Times New Roman" w:hAnsi="Times New Roman"/>
          <w:sz w:val="18"/>
          <w:szCs w:val="18"/>
          <w:u w:val="single" w:color="auto"/>
          <w:color w:val="auto"/>
        </w:rPr>
        <w:t>Alternative Financing</w:t>
      </w:r>
      <w:r>
        <w:rPr>
          <w:rFonts w:ascii="Times New Roman" w:cs="Times New Roman" w:eastAsia="Times New Roman" w:hAnsi="Times New Roman"/>
          <w:sz w:val="18"/>
          <w:szCs w:val="18"/>
          <w:color w:val="auto"/>
        </w:rPr>
        <w:t xml:space="preserve">”) and a Purchaser participates in such Alternative Financing pursuant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 the aggregate commitment hereunder shall be reduced by the amount of such Purchaser’s participation in such Alternative Financing; and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3" w:name="page134"/>
    <w:bookmarkEnd w:id="133"/>
    <w:p>
      <w:pPr>
        <w:ind w:right="180" w:firstLine="2268"/>
        <w:spacing w:after="0" w:line="261" w:lineRule="auto"/>
        <w:rPr>
          <w:sz w:val="20"/>
          <w:szCs w:val="20"/>
          <w:color w:val="auto"/>
        </w:rPr>
      </w:pPr>
      <w:r>
        <w:rPr>
          <w:rFonts w:ascii="Times New Roman" w:cs="Times New Roman" w:eastAsia="Times New Roman" w:hAnsi="Times New Roman"/>
          <w:sz w:val="18"/>
          <w:szCs w:val="18"/>
          <w:color w:val="auto"/>
        </w:rPr>
        <w:t xml:space="preserve">2. upon a Purchaser’s execution and delivery of a Purchaser Joinder, the number of Forward Purchase Shares to be purchased by such Purchaser hereunder shall be reflected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to this Agreement. For the avoidance of doubt, this Agreement need not be amended and restated in its entirety, but only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need be completed by each of the Purchaser and the Company upon the occurrence of any such allocation of the Forward Purchase Shares.</w:t>
      </w:r>
    </w:p>
    <w:p>
      <w:pPr>
        <w:spacing w:after="0" w:line="179" w:lineRule="exact"/>
        <w:rPr>
          <w:sz w:val="20"/>
          <w:szCs w:val="20"/>
          <w:color w:val="auto"/>
        </w:rPr>
      </w:pPr>
    </w:p>
    <w:p>
      <w:pPr>
        <w:ind w:right="140" w:firstLine="1547"/>
        <w:spacing w:after="0" w:line="253" w:lineRule="auto"/>
        <w:tabs>
          <w:tab w:leader="none" w:pos="1824"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Advisor shall only be obligated to allocate the purchase of some or all of the number of Forward Purchase Shares set forth in the Initial Company Notice to any Client if and only if: (i) the initial Business Combination is proposed to be consummated with a company engaged in a business that is within the investment objectives of such Client; and (ii) the initial Business Combination, including the target assets or business, and the terms of the initial Business Combination, are reasonably acceptable to such Client, as determined by the Advisor in its sole discretion (it being understood that the Advisor may consider many of the same criteria as the Company will consider, but will also consider whether the investment is an appropriate investment for such Client, including whether the investment complies with any guidelines, restrictions or conflicts of interest provisions applicable to such Client), and if not all of the Forward Purchase Shares set forth in the Initial Company Notice are allocated to Clients, the Advisor may, but shall not be obligated to, assign the obligation to purchase such Forward Purchase Shares to one or more third parties. The Company acknowledges that this Agreement is neither a commitment nor an obligation of any Client to purchase any Forward Purchase Shares, unless otherwise expressly agreed in writing by such Client by execution and delivery of a Purchaser Joinder.</w:t>
      </w:r>
    </w:p>
    <w:p>
      <w:pPr>
        <w:spacing w:after="0" w:line="194" w:lineRule="exact"/>
        <w:rPr>
          <w:rFonts w:ascii="Times New Roman" w:cs="Times New Roman" w:eastAsia="Times New Roman" w:hAnsi="Times New Roman"/>
          <w:sz w:val="18"/>
          <w:szCs w:val="18"/>
          <w:color w:val="auto"/>
        </w:rPr>
      </w:pPr>
    </w:p>
    <w:p>
      <w:pPr>
        <w:ind w:right="580" w:firstLine="1304"/>
        <w:spacing w:after="0" w:line="282" w:lineRule="auto"/>
        <w:tabs>
          <w:tab w:leader="none" w:pos="1611"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two (2) Business Days before the Business Combination Closing, the Company shall provide each Purchaser with an updated notice (the “</w:t>
      </w:r>
      <w:r>
        <w:rPr>
          <w:rFonts w:ascii="Times New Roman" w:cs="Times New Roman" w:eastAsia="Times New Roman" w:hAnsi="Times New Roman"/>
          <w:sz w:val="18"/>
          <w:szCs w:val="18"/>
          <w:u w:val="single" w:color="auto"/>
          <w:color w:val="auto"/>
        </w:rPr>
        <w:t>Final Company Notice</w:t>
      </w:r>
      <w:r>
        <w:rPr>
          <w:rFonts w:ascii="Times New Roman" w:cs="Times New Roman" w:eastAsia="Times New Roman" w:hAnsi="Times New Roman"/>
          <w:sz w:val="18"/>
          <w:szCs w:val="18"/>
          <w:color w:val="auto"/>
        </w:rPr>
        <w:t>”) including:</w:t>
      </w:r>
    </w:p>
    <w:p>
      <w:pPr>
        <w:spacing w:after="0" w:line="161" w:lineRule="exact"/>
        <w:rPr>
          <w:rFonts w:ascii="Times New Roman" w:cs="Times New Roman" w:eastAsia="Times New Roman" w:hAnsi="Times New Roman"/>
          <w:sz w:val="18"/>
          <w:szCs w:val="18"/>
          <w:color w:val="auto"/>
        </w:rPr>
      </w:pPr>
    </w:p>
    <w:p>
      <w:pPr>
        <w:ind w:left="2280" w:hanging="289"/>
        <w:spacing w:after="0"/>
        <w:tabs>
          <w:tab w:leader="none" w:pos="2280" w:val="left"/>
        </w:tabs>
        <w:numPr>
          <w:ilvl w:val="2"/>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determination of the number of Forward Purchase Shares that it desires each Purchaser to purchase pursuant to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6" w:lineRule="exact"/>
        <w:rPr>
          <w:rFonts w:ascii="Times New Roman" w:cs="Times New Roman" w:eastAsia="Times New Roman" w:hAnsi="Times New Roman"/>
          <w:sz w:val="18"/>
          <w:szCs w:val="18"/>
          <w:color w:val="auto"/>
        </w:rPr>
      </w:pPr>
    </w:p>
    <w:p>
      <w:pPr>
        <w:ind w:left="2280" w:hanging="289"/>
        <w:spacing w:after="0"/>
        <w:tabs>
          <w:tab w:leader="none" w:pos="2280" w:val="left"/>
        </w:tabs>
        <w:numPr>
          <w:ilvl w:val="2"/>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date of the Business Combination Closing; and</w:t>
      </w:r>
    </w:p>
    <w:p>
      <w:pPr>
        <w:spacing w:after="0" w:line="225" w:lineRule="exact"/>
        <w:rPr>
          <w:rFonts w:ascii="Times New Roman" w:cs="Times New Roman" w:eastAsia="Times New Roman" w:hAnsi="Times New Roman"/>
          <w:sz w:val="18"/>
          <w:szCs w:val="18"/>
          <w:color w:val="auto"/>
        </w:rPr>
      </w:pPr>
    </w:p>
    <w:p>
      <w:pPr>
        <w:ind w:left="2280" w:hanging="289"/>
        <w:spacing w:after="0"/>
        <w:tabs>
          <w:tab w:leader="none" w:pos="2280" w:val="left"/>
        </w:tabs>
        <w:numPr>
          <w:ilvl w:val="2"/>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instructions for wiring the aggregate Forward Purchase Price for each such Purchaser’s Forward Purchase Shares.</w:t>
      </w:r>
    </w:p>
    <w:p>
      <w:pPr>
        <w:spacing w:after="0" w:line="225" w:lineRule="exact"/>
        <w:rPr>
          <w:rFonts w:ascii="Times New Roman" w:cs="Times New Roman" w:eastAsia="Times New Roman" w:hAnsi="Times New Roman"/>
          <w:sz w:val="18"/>
          <w:szCs w:val="18"/>
          <w:color w:val="auto"/>
        </w:rPr>
      </w:pPr>
    </w:p>
    <w:p>
      <w:pPr>
        <w:ind w:right="40" w:firstLine="1304"/>
        <w:spacing w:after="0" w:line="258" w:lineRule="auto"/>
        <w:tabs>
          <w:tab w:leader="none" w:pos="1601"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(1) Business Day before the Business Combination Closing, each Purchaser shall provide the Company with an updated notice (the “</w:t>
      </w:r>
      <w:r>
        <w:rPr>
          <w:rFonts w:ascii="Times New Roman" w:cs="Times New Roman" w:eastAsia="Times New Roman" w:hAnsi="Times New Roman"/>
          <w:sz w:val="18"/>
          <w:szCs w:val="18"/>
          <w:u w:val="single" w:color="auto"/>
          <w:color w:val="auto"/>
        </w:rPr>
        <w:t>Final Purchaser Notice</w:t>
      </w:r>
      <w:r>
        <w:rPr>
          <w:rFonts w:ascii="Times New Roman" w:cs="Times New Roman" w:eastAsia="Times New Roman" w:hAnsi="Times New Roman"/>
          <w:sz w:val="18"/>
          <w:szCs w:val="18"/>
          <w:color w:val="auto"/>
        </w:rPr>
        <w:t>”) of the number of Forward Purchase Shares it will be obligated to purchase pursuant to this Agreement, with no further notification or confirmation necessary from the Company, which number shall not be less than the lesser of (A) the number of Forward Purchase Shares that such Purchaser was obligated to purchase pursuant to such Purchaser’s Purchaser Joinder and (B) the number of Forward Purchase Shares that the Company desires the Purchaser to purchase as specified in the Final Company Notice.</w:t>
      </w:r>
    </w:p>
    <w:p>
      <w:pPr>
        <w:spacing w:after="0" w:line="183" w:lineRule="exact"/>
        <w:rPr>
          <w:rFonts w:ascii="Times New Roman" w:cs="Times New Roman" w:eastAsia="Times New Roman" w:hAnsi="Times New Roman"/>
          <w:sz w:val="18"/>
          <w:szCs w:val="18"/>
          <w:color w:val="auto"/>
        </w:rPr>
      </w:pPr>
    </w:p>
    <w:p>
      <w:pPr>
        <w:ind w:firstLine="1304"/>
        <w:spacing w:after="0" w:line="253" w:lineRule="auto"/>
        <w:tabs>
          <w:tab w:leader="none" w:pos="1551"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the sale of Forward Purchase Shares (the “</w:t>
      </w:r>
      <w:r>
        <w:rPr>
          <w:rFonts w:ascii="Times New Roman" w:cs="Times New Roman" w:eastAsia="Times New Roman" w:hAnsi="Times New Roman"/>
          <w:sz w:val="18"/>
          <w:szCs w:val="18"/>
          <w:u w:val="single" w:color="auto"/>
          <w:color w:val="auto"/>
        </w:rPr>
        <w:t>Forward Closing</w:t>
      </w:r>
      <w:r>
        <w:rPr>
          <w:rFonts w:ascii="Times New Roman" w:cs="Times New Roman" w:eastAsia="Times New Roman" w:hAnsi="Times New Roman"/>
          <w:sz w:val="18"/>
          <w:szCs w:val="18"/>
          <w:color w:val="auto"/>
        </w:rPr>
        <w:t>”) shall be held on the same date and concurrently with the Business Combination Closing (such date being referred to as the “</w:t>
      </w:r>
      <w:r>
        <w:rPr>
          <w:rFonts w:ascii="Times New Roman" w:cs="Times New Roman" w:eastAsia="Times New Roman" w:hAnsi="Times New Roman"/>
          <w:sz w:val="18"/>
          <w:szCs w:val="18"/>
          <w:u w:val="single" w:color="auto"/>
          <w:color w:val="auto"/>
        </w:rPr>
        <w:t>Forward Closing Date</w:t>
      </w:r>
      <w:r>
        <w:rPr>
          <w:rFonts w:ascii="Times New Roman" w:cs="Times New Roman" w:eastAsia="Times New Roman" w:hAnsi="Times New Roman"/>
          <w:sz w:val="18"/>
          <w:szCs w:val="18"/>
          <w:color w:val="auto"/>
        </w:rPr>
        <w:t>”). At least one (1) Business Day prior to the Forward Closing Date, the Purchaser shall deliver to the Company the aggregate Forward Purchase Price for the Forward Purchase Shares by wire transfer of U.S. dollars in immediately available funds to the account specified by the Company in such notice to be held in escrow until the Forward Closing. Immediately prior to the Forward Closing on the Forward Closing Date, (i) the aggregate Forward Purchase Price shall be released from escrow automatically and without further action by the Company or the Purchaser, and (ii) upon such release, the Company shall issue the Forward Purchase Shares to the Purchaser in book-entry form, free and clear of any liens or other restrictions whatsoever (other than those arising under state or federal securities laws), registered in the name of the Purchaser (or its nominee in accordance with its delivery instructions), or to a custodian designated by the Purchaser, as applicable. In the event the Business Combination Closing does not occur within five (5) Business Days of the date scheduled for closing, the Forward Closing shall not occur and the Company shall promptly (but not later than one (1) Business Day thereafter) return the aggregate Forward Purchase Price to the Purchaser. For purposes of this Agreement, “Business Day” means any day, other than a Saturday or a Sunday, that is neither a legal holiday nor a day on which banking institutions are generally authorized or required by law or regulation to close in the City of New York, New York.</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34" w:name="page135"/>
    <w:bookmarkEnd w:id="134"/>
    <w:p>
      <w:pPr>
        <w:ind w:right="260" w:firstLine="656"/>
        <w:spacing w:after="0" w:line="282" w:lineRule="auto"/>
        <w:tabs>
          <w:tab w:leader="none" w:pos="903"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Each register and book entry for the Forward Purchase Shares shall contain a notation, and each certificate (if any) evidencing the Forward Purchase Shares shall be stamped or otherwise imprinted with a legend, in substantially the following form:</w:t>
      </w:r>
    </w:p>
    <w:p>
      <w:pPr>
        <w:spacing w:after="0" w:line="162" w:lineRule="exact"/>
        <w:rPr>
          <w:sz w:val="20"/>
          <w:szCs w:val="20"/>
          <w:color w:val="auto"/>
        </w:rPr>
      </w:pPr>
    </w:p>
    <w:p>
      <w:pPr>
        <w:ind w:left="660" w:right="140"/>
        <w:spacing w:after="0" w:line="256" w:lineRule="auto"/>
        <w:rPr>
          <w:sz w:val="20"/>
          <w:szCs w:val="20"/>
          <w:color w:val="auto"/>
        </w:rPr>
      </w:pPr>
      <w:r>
        <w:rPr>
          <w:rFonts w:ascii="Times New Roman" w:cs="Times New Roman" w:eastAsia="Times New Roman" w:hAnsi="Times New Roman"/>
          <w:sz w:val="18"/>
          <w:szCs w:val="18"/>
          <w:color w:val="auto"/>
        </w:rPr>
        <w:t>“THE SECURITIES REPRESENTED HEREBY HAVE NOT BEEN REGISTERED UNDER THE SECURITIES ACT OF 1933, AS AMENDED, OR THE SECURITIES LAWS OF ANY STATE OR OTHER JURISDICTION, AND MAY NOT BE TRANSFERRED IN VIOLATION OF SUCH ACT AND LAWS. THE SALE, PLEDGE, HYPOTHECATION, OR TRANSFER OF THE SECURITIES REPRESENTED HEREBY ARE SUBJECT TO THE TERMS AND CONDITIONS OF A CERTAIN FORWARD PURCHASE AGREEMENT BY AND BETWEEN THE HOLDER AND THE COMPANY. COPIES OF SUCH AGREEMENT MAY BE OBTAINED UPON WRITTEN REQUEST TO THE SECRETARY OF THE COMPANY.”</w:t>
      </w:r>
    </w:p>
    <w:p>
      <w:pPr>
        <w:spacing w:after="0" w:line="183" w:lineRule="exact"/>
        <w:rPr>
          <w:sz w:val="20"/>
          <w:szCs w:val="20"/>
          <w:color w:val="auto"/>
        </w:rPr>
      </w:pPr>
    </w:p>
    <w:p>
      <w:pPr>
        <w:ind w:left="180" w:hanging="172"/>
        <w:spacing w:after="0"/>
        <w:tabs>
          <w:tab w:leader="none" w:pos="18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Representations and Warranties of the Advisor. </w:t>
      </w:r>
      <w:r>
        <w:rPr>
          <w:rFonts w:ascii="Times New Roman" w:cs="Times New Roman" w:eastAsia="Times New Roman" w:hAnsi="Times New Roman"/>
          <w:sz w:val="18"/>
          <w:szCs w:val="18"/>
          <w:color w:val="auto"/>
        </w:rPr>
        <w:t>The Advisor represents and warrants to the Company as follows, as of the date hereof:</w:t>
      </w:r>
    </w:p>
    <w:p>
      <w:pPr>
        <w:spacing w:after="0" w:line="229" w:lineRule="exact"/>
        <w:rPr>
          <w:rFonts w:ascii="Times New Roman" w:cs="Times New Roman" w:eastAsia="Times New Roman" w:hAnsi="Times New Roman"/>
          <w:sz w:val="18"/>
          <w:szCs w:val="18"/>
          <w:b w:val="1"/>
          <w:bCs w:val="1"/>
          <w:color w:val="auto"/>
        </w:rPr>
      </w:pPr>
    </w:p>
    <w:p>
      <w:pPr>
        <w:ind w:right="680" w:firstLine="656"/>
        <w:spacing w:after="0" w:line="282" w:lineRule="auto"/>
        <w:tabs>
          <w:tab w:leader="none" w:pos="892"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Power</w:t>
      </w:r>
      <w:r>
        <w:rPr>
          <w:rFonts w:ascii="Times New Roman" w:cs="Times New Roman" w:eastAsia="Times New Roman" w:hAnsi="Times New Roman"/>
          <w:sz w:val="18"/>
          <w:szCs w:val="18"/>
          <w:color w:val="auto"/>
        </w:rPr>
        <w:t>. The Advisor is duly organized, validly existing, and in good standing under the laws of the jurisdiction of its formation and has all requisite power and authority to carry on its business as presently conducted and as proposed to be conducted.</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The Advisor has full power and authority to enter into this Agreement.</w:t>
      </w:r>
    </w:p>
    <w:p>
      <w:pPr>
        <w:spacing w:after="0" w:line="225" w:lineRule="exact"/>
        <w:rPr>
          <w:rFonts w:ascii="Times New Roman" w:cs="Times New Roman" w:eastAsia="Times New Roman" w:hAnsi="Times New Roman"/>
          <w:sz w:val="18"/>
          <w:szCs w:val="18"/>
          <w:color w:val="auto"/>
        </w:rPr>
      </w:pPr>
    </w:p>
    <w:p>
      <w:pPr>
        <w:ind w:firstLine="656"/>
        <w:spacing w:after="0" w:line="258" w:lineRule="auto"/>
        <w:tabs>
          <w:tab w:leader="none" w:pos="892"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Other Instruments</w:t>
      </w:r>
      <w:r>
        <w:rPr>
          <w:rFonts w:ascii="Times New Roman" w:cs="Times New Roman" w:eastAsia="Times New Roman" w:hAnsi="Times New Roman"/>
          <w:sz w:val="18"/>
          <w:szCs w:val="18"/>
          <w:color w:val="auto"/>
        </w:rPr>
        <w:t>. The execution, delivery and performance by the Advisor of this Agreement will not result in any violation or default (i) of any provisions of its organizational documents, (ii) of any instrument, judgment, order, writ or decree to which it is a party or by which it is bound, (iii) under any note, indenture or mortgage to which it is a party or by which it is bound, (iv) under any lease, agreement, contract or purchase order to which it is a party or by which it is bound or (v) of any provision of federal or state statute, rule or regulation applicable to the Advisor, in each case (other than clause (i)), which would have a material adverse effect on the Advisor.</w:t>
      </w:r>
    </w:p>
    <w:p>
      <w:pPr>
        <w:spacing w:after="0" w:line="179" w:lineRule="exact"/>
        <w:rPr>
          <w:rFonts w:ascii="Times New Roman" w:cs="Times New Roman" w:eastAsia="Times New Roman" w:hAnsi="Times New Roman"/>
          <w:sz w:val="18"/>
          <w:szCs w:val="18"/>
          <w:color w:val="auto"/>
        </w:rPr>
      </w:pPr>
    </w:p>
    <w:p>
      <w:pPr>
        <w:ind w:right="500" w:firstLine="8"/>
        <w:spacing w:after="0" w:line="286" w:lineRule="auto"/>
        <w:tabs>
          <w:tab w:leader="none" w:pos="18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Representations and Warranties of the Purchaser. </w:t>
      </w:r>
      <w:r>
        <w:rPr>
          <w:rFonts w:ascii="Times New Roman" w:cs="Times New Roman" w:eastAsia="Times New Roman" w:hAnsi="Times New Roman"/>
          <w:sz w:val="18"/>
          <w:szCs w:val="18"/>
          <w:color w:val="auto"/>
        </w:rPr>
        <w:t>Each Purchaser that executes and delivers a Purchaser Joinder represents and warrants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as of the date of the Purchaser Joinder, as follows:</w:t>
      </w:r>
    </w:p>
    <w:p>
      <w:pPr>
        <w:spacing w:after="0" w:line="158" w:lineRule="exact"/>
        <w:rPr>
          <w:rFonts w:ascii="Times New Roman" w:cs="Times New Roman" w:eastAsia="Times New Roman" w:hAnsi="Times New Roman"/>
          <w:sz w:val="18"/>
          <w:szCs w:val="18"/>
          <w:b w:val="1"/>
          <w:bCs w:val="1"/>
          <w:color w:val="auto"/>
        </w:rPr>
      </w:pPr>
    </w:p>
    <w:p>
      <w:pPr>
        <w:ind w:right="540" w:firstLine="656"/>
        <w:spacing w:after="0" w:line="282" w:lineRule="auto"/>
        <w:tabs>
          <w:tab w:leader="none" w:pos="892"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Power</w:t>
      </w:r>
      <w:r>
        <w:rPr>
          <w:rFonts w:ascii="Times New Roman" w:cs="Times New Roman" w:eastAsia="Times New Roman" w:hAnsi="Times New Roman"/>
          <w:sz w:val="18"/>
          <w:szCs w:val="18"/>
          <w:color w:val="auto"/>
        </w:rPr>
        <w:t>. The Purchaser is duly organized, validly existing, and in good standing under the laws of the jurisdiction of its formation and has all requisite power and authority to carry on its business as presently conducted and as proposed to be conducted.</w:t>
      </w:r>
    </w:p>
    <w:p>
      <w:pPr>
        <w:spacing w:after="0" w:line="161" w:lineRule="exact"/>
        <w:rPr>
          <w:rFonts w:ascii="Times New Roman" w:cs="Times New Roman" w:eastAsia="Times New Roman" w:hAnsi="Times New Roman"/>
          <w:sz w:val="18"/>
          <w:szCs w:val="18"/>
          <w:color w:val="auto"/>
        </w:rPr>
      </w:pPr>
    </w:p>
    <w:p>
      <w:pPr>
        <w:jc w:val="both"/>
        <w:ind w:right="120" w:firstLine="656"/>
        <w:spacing w:after="0" w:line="261" w:lineRule="auto"/>
        <w:tabs>
          <w:tab w:leader="none" w:pos="903"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The Purchaser has full power and authority to enter into this Agreement. This Agreement, when executed and delivered by the Purchaser, will constitute the valid and legally binding obligation of the Purchaser, enforceable against the Purchaser in accordance with its terms, except</w:t>
      </w:r>
    </w:p>
    <w:p>
      <w:pPr>
        <w:ind w:right="1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as limited by applicable bankruptcy, insolvency, reorganization, moratorium, fraudulent conveyance and any other laws of general application affecting enforcement of creditors’ rights generally, (ii) as limited by laws relating to the availability of specific performance, injunctive relief or other equitable remedies, or (iii) to the extent the indemnification provisions contained in the Registration Rights (as defined below) may be limited by applicable federal or state securities laws.</w:t>
      </w:r>
    </w:p>
    <w:p>
      <w:pPr>
        <w:spacing w:after="0" w:line="188" w:lineRule="exact"/>
        <w:rPr>
          <w:rFonts w:ascii="Times New Roman" w:cs="Times New Roman" w:eastAsia="Times New Roman" w:hAnsi="Times New Roman"/>
          <w:sz w:val="18"/>
          <w:szCs w:val="18"/>
          <w:color w:val="auto"/>
        </w:rPr>
      </w:pPr>
    </w:p>
    <w:p>
      <w:pPr>
        <w:ind w:right="160" w:firstLine="656"/>
        <w:spacing w:after="0" w:line="266" w:lineRule="auto"/>
        <w:tabs>
          <w:tab w:leader="none" w:pos="892"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Governmental Consents and Filings</w:t>
      </w:r>
      <w:r>
        <w:rPr>
          <w:rFonts w:ascii="Times New Roman" w:cs="Times New Roman" w:eastAsia="Times New Roman" w:hAnsi="Times New Roman"/>
          <w:sz w:val="18"/>
          <w:szCs w:val="18"/>
          <w:color w:val="auto"/>
        </w:rPr>
        <w:t>. No consent, approval, order or authorization of, or registration, qualification, designation, declaration or filing with, any federal, state or local governmental authority is required on the part of the Purchaser in connection with the consummation of the transactions contemplated by this Agreement.</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35" w:name="page136"/>
    <w:bookmarkEnd w:id="135"/>
    <w:p>
      <w:pPr>
        <w:ind w:left="-8" w:right="80" w:firstLine="656"/>
        <w:spacing w:after="0" w:line="270" w:lineRule="auto"/>
        <w:tabs>
          <w:tab w:leader="none" w:pos="895" w:val="left"/>
        </w:tabs>
        <w:numPr>
          <w:ilvl w:val="1"/>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 with Other Instruments</w:t>
      </w:r>
      <w:r>
        <w:rPr>
          <w:rFonts w:ascii="Times New Roman" w:cs="Times New Roman" w:eastAsia="Times New Roman" w:hAnsi="Times New Roman"/>
          <w:sz w:val="17"/>
          <w:szCs w:val="17"/>
          <w:color w:val="auto"/>
        </w:rPr>
        <w:t>. The execution, delivery and performance by the Purchaser of this Agreement and the consummation by the Purchaser of the transactions contemplated by this Agreement will not result in any violation or default (i) of any provisions of its organizational documents, (ii) of any instrument, judgment, order, writ or decree to which it is a party or by which it is bound, (iii) under any note, indenture or mortgage to which it is a party or by which it is bound, (iv) under any lease, agreement, contract or purchase order to which it is a party or by which it is bound or</w:t>
      </w:r>
    </w:p>
    <w:p>
      <w:pPr>
        <w:spacing w:after="0" w:line="2" w:lineRule="exact"/>
        <w:rPr>
          <w:rFonts w:ascii="Times New Roman" w:cs="Times New Roman" w:eastAsia="Times New Roman" w:hAnsi="Times New Roman"/>
          <w:sz w:val="17"/>
          <w:szCs w:val="17"/>
          <w:color w:val="auto"/>
        </w:rPr>
      </w:pPr>
    </w:p>
    <w:p>
      <w:pPr>
        <w:ind w:left="-8" w:right="520" w:firstLine="8"/>
        <w:spacing w:after="0" w:line="260" w:lineRule="auto"/>
        <w:tabs>
          <w:tab w:leader="none" w:pos="247"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provision of federal or state statute, rule or regulation applicable to the Purchaser, in each case (other than clause (i)), which would have a material adverse effect on the Purchaser or its ability to consummate the transactions contemplated by this Agreement.</w:t>
      </w:r>
    </w:p>
    <w:p>
      <w:pPr>
        <w:spacing w:after="0" w:line="181" w:lineRule="exact"/>
        <w:rPr>
          <w:rFonts w:ascii="Times New Roman" w:cs="Times New Roman" w:eastAsia="Times New Roman" w:hAnsi="Times New Roman"/>
          <w:sz w:val="18"/>
          <w:szCs w:val="18"/>
          <w:color w:val="auto"/>
        </w:rPr>
      </w:pPr>
    </w:p>
    <w:p>
      <w:pPr>
        <w:ind w:left="-8" w:right="20" w:firstLine="656"/>
        <w:spacing w:after="0" w:line="272" w:lineRule="auto"/>
        <w:tabs>
          <w:tab w:leader="none" w:pos="884"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Purchase Entirely for Own Account</w:t>
      </w:r>
      <w:r>
        <w:rPr>
          <w:rFonts w:ascii="Times New Roman" w:cs="Times New Roman" w:eastAsia="Times New Roman" w:hAnsi="Times New Roman"/>
          <w:sz w:val="17"/>
          <w:szCs w:val="17"/>
          <w:color w:val="auto"/>
        </w:rPr>
        <w:t>. This Agreement is made with the Purchaser in reliance upon the Purchaser’s representation to the Company, which by the Purchaser’s execution of this Agreement, the Purchaser hereby confirms, that the Forward Purchase Shares to be acquired by the Purchaser will be acquired for investment for the Purchaser’s own account, not as a nominee or agent, and not with a view to the resale or distribution of any part thereof in violation of any state or federal securities laws, and that the Purchaser has no present intention of selling, granting any participation in, or otherwise distributing the same in violation of law. By executing this Agreement, the Purchaser further represents that the Purchaser does not presently have any contract, undertaking, agreement or arrangement with any Person to sell, transfer or grant participations to such Person or to any third Person, with respect to any of the Forward Purchase Shares. For purposes of this Agreement, “</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means an individual, a limited liability company, a partnership, a joint venture, a corporation, a trust, an unincorporated organization, any other entity or any government or any department or agency thereof.</w:t>
      </w:r>
    </w:p>
    <w:p>
      <w:pPr>
        <w:spacing w:after="0" w:line="171" w:lineRule="exact"/>
        <w:rPr>
          <w:rFonts w:ascii="Times New Roman" w:cs="Times New Roman" w:eastAsia="Times New Roman" w:hAnsi="Times New Roman"/>
          <w:sz w:val="17"/>
          <w:szCs w:val="17"/>
          <w:color w:val="auto"/>
        </w:rPr>
      </w:pPr>
    </w:p>
    <w:p>
      <w:pPr>
        <w:ind w:left="-8" w:right="300" w:firstLine="656"/>
        <w:spacing w:after="0" w:line="266" w:lineRule="auto"/>
        <w:tabs>
          <w:tab w:leader="none" w:pos="865"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of Information</w:t>
      </w:r>
      <w:r>
        <w:rPr>
          <w:rFonts w:ascii="Times New Roman" w:cs="Times New Roman" w:eastAsia="Times New Roman" w:hAnsi="Times New Roman"/>
          <w:sz w:val="18"/>
          <w:szCs w:val="18"/>
          <w:color w:val="auto"/>
        </w:rPr>
        <w:t>. The Purchaser has had an opportunity to discuss the Company’s business, management, financial affairs and the terms and conditions of the offering of the Forward Purchase Shares, as well as the terms of the Company’s proposed IPO, with the Company’s management.</w:t>
      </w:r>
    </w:p>
    <w:p>
      <w:pPr>
        <w:spacing w:after="0" w:line="175" w:lineRule="exact"/>
        <w:rPr>
          <w:rFonts w:ascii="Times New Roman" w:cs="Times New Roman" w:eastAsia="Times New Roman" w:hAnsi="Times New Roman"/>
          <w:sz w:val="18"/>
          <w:szCs w:val="18"/>
          <w:color w:val="auto"/>
        </w:rPr>
      </w:pPr>
    </w:p>
    <w:p>
      <w:pPr>
        <w:ind w:left="-8" w:firstLine="656"/>
        <w:spacing w:after="0" w:line="253" w:lineRule="auto"/>
        <w:tabs>
          <w:tab w:leader="none" w:pos="895"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Securities</w:t>
      </w:r>
      <w:r>
        <w:rPr>
          <w:rFonts w:ascii="Times New Roman" w:cs="Times New Roman" w:eastAsia="Times New Roman" w:hAnsi="Times New Roman"/>
          <w:sz w:val="18"/>
          <w:szCs w:val="18"/>
          <w:color w:val="auto"/>
        </w:rPr>
        <w:t>. The Purchaser understands that the offer and sale of the Forward Purchase Shares to the Purchaser has not been, and will not be, registered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by reason of a specific exemption from the registration provisions of the Securities Act which depends upon, among other things, the bona fide nature of the investment intent and the accuracy of the Purchaser’s representations as expressed herein. The Purchaser understands that the Forward Purchase Shares are “restricted securities” under applicable U.S. federal and state securities laws and that, pursuant to these laws, the Purchaser must hold the Forward Purchase Shares indefinitely unless they are registered with the SEC and qualified by state authorities, or an exemption from such registration and qualification requirements is available. The Purchaser acknowledges that the Company has no obligation to register or qualify the Forward Purchase Shares, or any Class A Shares into which the Forward Purchase Shares may be converted or exercised, for resale, except for the Registration Rights. The Purchaser further acknowledges that if an exemption from registration or qualification is available, it may be conditioned on various requirements including, but not limited to, the time and manner of sale, the holding period for the Forward Purchase Shares, and on requirements relating to the Company which are outside of the Purchaser’s control, and which the Company is under no obligation and may not be able to satisfy. The Purchaser acknowledges that the Company filed the Registration Statement for its proposed IPO. The Purchaser understands that the offering of the Forward Purchase Shares is not, and is not intended to be, part of the IPO, and that the Purchaser will not be able to rely on the protection of Section 11 of the Securities Act with respect to the Forward Purchase Shares.</w:t>
      </w:r>
    </w:p>
    <w:p>
      <w:pPr>
        <w:spacing w:after="0" w:line="187" w:lineRule="exact"/>
        <w:rPr>
          <w:rFonts w:ascii="Times New Roman" w:cs="Times New Roman" w:eastAsia="Times New Roman" w:hAnsi="Times New Roman"/>
          <w:sz w:val="18"/>
          <w:szCs w:val="18"/>
          <w:color w:val="auto"/>
        </w:rPr>
      </w:pPr>
    </w:p>
    <w:p>
      <w:pPr>
        <w:ind w:left="-8" w:right="240" w:firstLine="656"/>
        <w:spacing w:after="0" w:line="282" w:lineRule="auto"/>
        <w:tabs>
          <w:tab w:leader="none" w:pos="895"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Public Market</w:t>
      </w:r>
      <w:r>
        <w:rPr>
          <w:rFonts w:ascii="Times New Roman" w:cs="Times New Roman" w:eastAsia="Times New Roman" w:hAnsi="Times New Roman"/>
          <w:sz w:val="18"/>
          <w:szCs w:val="18"/>
          <w:color w:val="auto"/>
        </w:rPr>
        <w:t>. The Purchaser understands that no public market now exists for the Forward Purchase Shares, and that the Company has made no assurances that a public market will ever exist for the Forward Purchase Shares.</w:t>
      </w:r>
    </w:p>
    <w:p>
      <w:pPr>
        <w:spacing w:after="0" w:line="161" w:lineRule="exact"/>
        <w:rPr>
          <w:rFonts w:ascii="Times New Roman" w:cs="Times New Roman" w:eastAsia="Times New Roman" w:hAnsi="Times New Roman"/>
          <w:sz w:val="18"/>
          <w:szCs w:val="18"/>
          <w:color w:val="auto"/>
        </w:rPr>
      </w:pPr>
    </w:p>
    <w:p>
      <w:pPr>
        <w:ind w:left="-8" w:right="300" w:firstLine="656"/>
        <w:spacing w:after="0" w:line="282" w:lineRule="auto"/>
        <w:tabs>
          <w:tab w:leader="none" w:pos="855"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High Degree of Risk</w:t>
      </w:r>
      <w:r>
        <w:rPr>
          <w:rFonts w:ascii="Times New Roman" w:cs="Times New Roman" w:eastAsia="Times New Roman" w:hAnsi="Times New Roman"/>
          <w:sz w:val="18"/>
          <w:szCs w:val="18"/>
          <w:color w:val="auto"/>
        </w:rPr>
        <w:t>. The Purchaser understands that its agreement to purchase the Forward Purchase Shares involves a high degree of risk which could cause the Purchaser to lose all or part of its investment.</w:t>
      </w:r>
    </w:p>
    <w:p>
      <w:pPr>
        <w:spacing w:after="0" w:line="161" w:lineRule="exact"/>
        <w:rPr>
          <w:rFonts w:ascii="Times New Roman" w:cs="Times New Roman" w:eastAsia="Times New Roman" w:hAnsi="Times New Roman"/>
          <w:sz w:val="18"/>
          <w:szCs w:val="18"/>
          <w:color w:val="auto"/>
        </w:rPr>
      </w:pPr>
    </w:p>
    <w:p>
      <w:pPr>
        <w:ind w:left="872" w:hanging="224"/>
        <w:spacing w:after="0"/>
        <w:tabs>
          <w:tab w:leader="none" w:pos="872"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Purchaser is an accredited investor as defined in Rule 501(a) of Regulation D promulgated under the Securities Act.</w:t>
      </w:r>
    </w:p>
    <w:p>
      <w:pPr>
        <w:spacing w:after="0" w:line="225" w:lineRule="exact"/>
        <w:rPr>
          <w:rFonts w:ascii="Times New Roman" w:cs="Times New Roman" w:eastAsia="Times New Roman" w:hAnsi="Times New Roman"/>
          <w:sz w:val="18"/>
          <w:szCs w:val="18"/>
          <w:color w:val="auto"/>
        </w:rPr>
      </w:pPr>
    </w:p>
    <w:p>
      <w:pPr>
        <w:ind w:left="-8" w:right="20" w:firstLine="656"/>
        <w:spacing w:after="0" w:line="266" w:lineRule="auto"/>
        <w:tabs>
          <w:tab w:leader="none" w:pos="895"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Neither the Purchaser, nor any of its officers, directors, employees, agents, stockholders or partners has either directly or indirectly, including, through a broker or finder (i) engaged in any general solicitation, or (ii) published any advertisement in connection with the offer and sale of the Forward Purchase Shares.</w:t>
      </w:r>
    </w:p>
    <w:p>
      <w:pPr>
        <w:spacing w:after="0" w:line="392"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2"/>
          </w:cols>
          <w:pgMar w:left="328" w:top="337" w:right="379" w:bottom="1440" w:gutter="0" w:footer="0" w:header="0"/>
        </w:sectPr>
      </w:pPr>
    </w:p>
    <w:bookmarkStart w:id="136" w:name="page137"/>
    <w:bookmarkEnd w:id="136"/>
    <w:p>
      <w:pPr>
        <w:ind w:right="160" w:firstLine="656"/>
        <w:spacing w:after="0" w:line="282" w:lineRule="auto"/>
        <w:tabs>
          <w:tab w:leader="none" w:pos="863"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Residence</w:t>
      </w:r>
      <w:r>
        <w:rPr>
          <w:rFonts w:ascii="Times New Roman" w:cs="Times New Roman" w:eastAsia="Times New Roman" w:hAnsi="Times New Roman"/>
          <w:sz w:val="18"/>
          <w:szCs w:val="18"/>
          <w:color w:val="auto"/>
        </w:rPr>
        <w:t>. The Purchaser’s principal place of business is the office or offices located at the address of the Purchaser set forth on the signature page hereof.</w:t>
      </w:r>
    </w:p>
    <w:p>
      <w:pPr>
        <w:spacing w:after="0" w:line="161" w:lineRule="exact"/>
        <w:rPr>
          <w:rFonts w:ascii="Times New Roman" w:cs="Times New Roman" w:eastAsia="Times New Roman" w:hAnsi="Times New Roman"/>
          <w:sz w:val="18"/>
          <w:szCs w:val="18"/>
          <w:color w:val="auto"/>
        </w:rPr>
      </w:pPr>
    </w:p>
    <w:p>
      <w:pPr>
        <w:ind w:right="300" w:firstLine="656"/>
        <w:spacing w:after="0" w:line="282" w:lineRule="auto"/>
        <w:tabs>
          <w:tab w:leader="none" w:pos="953"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The Purchaser acknowledges its obligations under applicable securities laws with respect to the treatment of non-public information relating to the Company.</w:t>
      </w:r>
    </w:p>
    <w:p>
      <w:pPr>
        <w:spacing w:after="0" w:line="161" w:lineRule="exact"/>
        <w:rPr>
          <w:rFonts w:ascii="Times New Roman" w:cs="Times New Roman" w:eastAsia="Times New Roman" w:hAnsi="Times New Roman"/>
          <w:sz w:val="18"/>
          <w:szCs w:val="18"/>
          <w:color w:val="auto"/>
        </w:rPr>
      </w:pPr>
    </w:p>
    <w:p>
      <w:pPr>
        <w:ind w:right="300" w:firstLine="656"/>
        <w:spacing w:after="0" w:line="282" w:lineRule="auto"/>
        <w:tabs>
          <w:tab w:leader="none" w:pos="903"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Adequacy of Financing</w:t>
      </w:r>
      <w:r>
        <w:rPr>
          <w:rFonts w:ascii="Times New Roman" w:cs="Times New Roman" w:eastAsia="Times New Roman" w:hAnsi="Times New Roman"/>
          <w:sz w:val="18"/>
          <w:szCs w:val="18"/>
          <w:color w:val="auto"/>
        </w:rPr>
        <w:t>. At the time of the Forward Closing, the Purchaser will have available to it sufficient funds to satisfy its obligations under this Agreement.</w:t>
      </w:r>
    </w:p>
    <w:p>
      <w:pPr>
        <w:spacing w:after="0" w:line="161" w:lineRule="exact"/>
        <w:rPr>
          <w:rFonts w:ascii="Times New Roman" w:cs="Times New Roman" w:eastAsia="Times New Roman" w:hAnsi="Times New Roman"/>
          <w:sz w:val="18"/>
          <w:szCs w:val="18"/>
          <w:color w:val="auto"/>
        </w:rPr>
      </w:pPr>
    </w:p>
    <w:p>
      <w:pPr>
        <w:ind w:right="40" w:firstLine="656"/>
        <w:spacing w:after="0" w:line="255" w:lineRule="auto"/>
        <w:tabs>
          <w:tab w:leader="none" w:pos="903"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Other Representations and Warranties; Non-Reliance</w:t>
      </w:r>
      <w:r>
        <w:rPr>
          <w:rFonts w:ascii="Times New Roman" w:cs="Times New Roman" w:eastAsia="Times New Roman" w:hAnsi="Times New Roman"/>
          <w:sz w:val="18"/>
          <w:szCs w:val="18"/>
          <w:color w:val="auto"/>
        </w:rPr>
        <w:t xml:space="preserve">. Except for the specific representations and warranties contained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and in any certificate or agreement delivered pursuant hereto, none of the Purchaser nor any person acting on behalf of the Purchaser nor any of the Purchaser’s affiliates (the “</w:t>
      </w:r>
      <w:r>
        <w:rPr>
          <w:rFonts w:ascii="Times New Roman" w:cs="Times New Roman" w:eastAsia="Times New Roman" w:hAnsi="Times New Roman"/>
          <w:sz w:val="18"/>
          <w:szCs w:val="18"/>
          <w:u w:val="single" w:color="auto"/>
          <w:color w:val="auto"/>
        </w:rPr>
        <w:t>Purchaser Parties</w:t>
      </w:r>
      <w:r>
        <w:rPr>
          <w:rFonts w:ascii="Times New Roman" w:cs="Times New Roman" w:eastAsia="Times New Roman" w:hAnsi="Times New Roman"/>
          <w:sz w:val="18"/>
          <w:szCs w:val="18"/>
          <w:color w:val="auto"/>
        </w:rPr>
        <w:t xml:space="preserve">”) has made, makes or shall be deemed to make any other express or implied representation or warranty with respect to the Purchaser and this offering, and the Purchaser Parties disclaim any such representation or warranty. Except for the specific representations and warranties expressly made by the Company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Agreement and in any certificate or agreement delivered pursuant hereto, the Purchaser Parties specifically disclaim that they are relying upon any other representations or warranties that may have been made by the Company, any person on behalf of the Company or any of the Company’s affiliates (collectively, the “</w:t>
      </w:r>
      <w:r>
        <w:rPr>
          <w:rFonts w:ascii="Times New Roman" w:cs="Times New Roman" w:eastAsia="Times New Roman" w:hAnsi="Times New Roman"/>
          <w:sz w:val="18"/>
          <w:szCs w:val="18"/>
          <w:u w:val="single" w:color="auto"/>
          <w:color w:val="auto"/>
        </w:rPr>
        <w:t>Company Parties</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Representations and Warranties of the Company. </w:t>
      </w:r>
      <w:r>
        <w:rPr>
          <w:rFonts w:ascii="Times New Roman" w:cs="Times New Roman" w:eastAsia="Times New Roman" w:hAnsi="Times New Roman"/>
          <w:sz w:val="18"/>
          <w:szCs w:val="18"/>
          <w:color w:val="auto"/>
        </w:rPr>
        <w:t>The Company represents and warrants to the Advisor and the Purchaser as follows:</w:t>
      </w:r>
    </w:p>
    <w:p>
      <w:pPr>
        <w:spacing w:after="0" w:line="229" w:lineRule="exact"/>
        <w:rPr>
          <w:rFonts w:ascii="Times New Roman" w:cs="Times New Roman" w:eastAsia="Times New Roman" w:hAnsi="Times New Roman"/>
          <w:sz w:val="18"/>
          <w:szCs w:val="18"/>
          <w:b w:val="1"/>
          <w:bCs w:val="1"/>
          <w:color w:val="auto"/>
        </w:rPr>
      </w:pPr>
    </w:p>
    <w:p>
      <w:pPr>
        <w:ind w:right="140" w:firstLine="656"/>
        <w:spacing w:after="0" w:line="266" w:lineRule="auto"/>
        <w:tabs>
          <w:tab w:leader="none" w:pos="892"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and Corporate Power</w:t>
      </w:r>
      <w:r>
        <w:rPr>
          <w:rFonts w:ascii="Times New Roman" w:cs="Times New Roman" w:eastAsia="Times New Roman" w:hAnsi="Times New Roman"/>
          <w:sz w:val="18"/>
          <w:szCs w:val="18"/>
          <w:color w:val="auto"/>
        </w:rPr>
        <w:t>. The Company is a corporation duly incorporated and validly existing and in good standing as a corporation under the laws of the State of Delaware and has all requisite corporate power and authority to carry on its business as presently conducted and as proposed to be conducted. The Company has no subsidiaries.</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On the date hereof, the authorized share capital of the Company consists of:</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2"/>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380,000,000 Class A Shares, none of which are issued and outstanding.</w:t>
      </w:r>
    </w:p>
    <w:p>
      <w:pPr>
        <w:spacing w:after="0" w:line="225" w:lineRule="exact"/>
        <w:rPr>
          <w:rFonts w:ascii="Times New Roman" w:cs="Times New Roman" w:eastAsia="Times New Roman" w:hAnsi="Times New Roman"/>
          <w:sz w:val="18"/>
          <w:szCs w:val="18"/>
          <w:color w:val="auto"/>
        </w:rPr>
      </w:pPr>
    </w:p>
    <w:p>
      <w:pPr>
        <w:ind w:right="320" w:firstLine="1304"/>
        <w:spacing w:after="0" w:line="266" w:lineRule="auto"/>
        <w:tabs>
          <w:tab w:leader="none" w:pos="1561" w:val="left"/>
        </w:tabs>
        <w:numPr>
          <w:ilvl w:val="2"/>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 shares of the Company’s Class B common stock, par value $0.0001 per shares (the “</w:t>
      </w:r>
      <w:r>
        <w:rPr>
          <w:rFonts w:ascii="Times New Roman" w:cs="Times New Roman" w:eastAsia="Times New Roman" w:hAnsi="Times New Roman"/>
          <w:sz w:val="18"/>
          <w:szCs w:val="18"/>
          <w:u w:val="single" w:color="auto"/>
          <w:color w:val="auto"/>
        </w:rPr>
        <w:t>Class B Shares</w:t>
      </w:r>
      <w:r>
        <w:rPr>
          <w:rFonts w:ascii="Times New Roman" w:cs="Times New Roman" w:eastAsia="Times New Roman" w:hAnsi="Times New Roman"/>
          <w:sz w:val="18"/>
          <w:szCs w:val="18"/>
          <w:color w:val="auto"/>
        </w:rPr>
        <w:t>”), 11,068,750 of which are issued and outstanding. All of the outstanding Class B Shares have been duly authorized, are fully paid and nonassessable and were issued in compliance with all applicable federal and state securities laws.</w:t>
      </w:r>
    </w:p>
    <w:p>
      <w:pPr>
        <w:spacing w:after="0" w:line="17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2"/>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 preferred shares, none of which are issued and outstanding.</w:t>
      </w:r>
    </w:p>
    <w:p>
      <w:pPr>
        <w:spacing w:after="0" w:line="225" w:lineRule="exact"/>
        <w:rPr>
          <w:rFonts w:ascii="Times New Roman" w:cs="Times New Roman" w:eastAsia="Times New Roman" w:hAnsi="Times New Roman"/>
          <w:sz w:val="18"/>
          <w:szCs w:val="18"/>
          <w:color w:val="auto"/>
        </w:rPr>
      </w:pPr>
    </w:p>
    <w:p>
      <w:pPr>
        <w:ind w:firstLine="656"/>
        <w:spacing w:after="0" w:line="253" w:lineRule="auto"/>
        <w:tabs>
          <w:tab w:leader="none" w:pos="892"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All corporate action required to be taken by the Company’s Board of Directors and stockholders in order to authorize the Company to enter into this Agreement, and to issue the Forward Purchase Shares at the Forward Closing, has been taken or will be taken prior to the Forward Closing. All action on the part of the stockholders, directors and officers of the Company necessary for the execution and delivery of this Agreement, the performance of all obligations of the Company under this Agreement to be performed as of the Forward Closing, and the issuance and delivery of the Forward Purchase Shares has been taken or will be taken prior to the Forward Closing. This Agreement, when executed and delivered by the Company, shall constitute the valid and legally binding obligation of the Company, enforceable against the Company in accordance with its terms except</w:t>
      </w:r>
    </w:p>
    <w:p>
      <w:pPr>
        <w:spacing w:after="0" w:line="5" w:lineRule="exact"/>
        <w:rPr>
          <w:rFonts w:ascii="Times New Roman" w:cs="Times New Roman" w:eastAsia="Times New Roman" w:hAnsi="Times New Roman"/>
          <w:sz w:val="18"/>
          <w:szCs w:val="18"/>
          <w:color w:val="auto"/>
        </w:rPr>
      </w:pPr>
    </w:p>
    <w:p>
      <w:pPr>
        <w:ind w:right="1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as limited by applicable bankruptcy, insolvency, reorganization, moratorium, fraudulent conveyance, or other laws of general application relating to or affecting the enforcement of creditors’ rights generally, (ii) as limited by laws relating to the availability of specific performance, injunctive relief, or other equitable remedies, or (iii) to the extent the indemnification provisions contained in the Registration Rights may be limited by applicable federal or state securities laws.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7" w:name="page138"/>
    <w:bookmarkEnd w:id="137"/>
    <w:p>
      <w:pPr>
        <w:ind w:left="-8" w:right="40" w:firstLine="656"/>
        <w:spacing w:after="0" w:line="256" w:lineRule="auto"/>
        <w:tabs>
          <w:tab w:leader="none" w:pos="895"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 Issuance of Shares</w:t>
      </w:r>
      <w:r>
        <w:rPr>
          <w:rFonts w:ascii="Times New Roman" w:cs="Times New Roman" w:eastAsia="Times New Roman" w:hAnsi="Times New Roman"/>
          <w:sz w:val="18"/>
          <w:szCs w:val="18"/>
          <w:color w:val="auto"/>
        </w:rPr>
        <w:t xml:space="preserve">. The Forward Purchase Shares, when issued, sold and delivered in accordance with the terms and for the consideration set forth in this Agreement, will be validly issued, fully paid and nonassessable, and free of all preemptive or similar rights, taxes, liens, encumbrances and charges with respect to the issue thereof and restrictions on transfer other than restrictions on transfer specified under this Agreement, applicable state and federal securities laws and liens or encumbrances created by or imposed by the Purchaser. Assuming the accuracy of the representations of the Purchaser in this Agreement and subject to the filings described in </w:t>
      </w:r>
      <w:r>
        <w:rPr>
          <w:rFonts w:ascii="Times New Roman" w:cs="Times New Roman" w:eastAsia="Times New Roman" w:hAnsi="Times New Roman"/>
          <w:sz w:val="18"/>
          <w:szCs w:val="18"/>
          <w:u w:val="single" w:color="auto"/>
          <w:color w:val="auto"/>
        </w:rPr>
        <w:t>Section 4(e)</w:t>
      </w:r>
      <w:r>
        <w:rPr>
          <w:rFonts w:ascii="Times New Roman" w:cs="Times New Roman" w:eastAsia="Times New Roman" w:hAnsi="Times New Roman"/>
          <w:sz w:val="18"/>
          <w:szCs w:val="18"/>
          <w:color w:val="auto"/>
        </w:rPr>
        <w:t xml:space="preserve"> below, the Forward Purchase Shares will be issued in compliance with all applicable federal and state securities laws.</w:t>
      </w:r>
    </w:p>
    <w:p>
      <w:pPr>
        <w:spacing w:after="0" w:line="187" w:lineRule="exact"/>
        <w:rPr>
          <w:rFonts w:ascii="Times New Roman" w:cs="Times New Roman" w:eastAsia="Times New Roman" w:hAnsi="Times New Roman"/>
          <w:sz w:val="18"/>
          <w:szCs w:val="18"/>
          <w:color w:val="auto"/>
        </w:rPr>
      </w:pPr>
    </w:p>
    <w:p>
      <w:pPr>
        <w:ind w:left="-8" w:firstLine="656"/>
        <w:spacing w:after="0" w:line="261" w:lineRule="auto"/>
        <w:tabs>
          <w:tab w:leader="none" w:pos="884"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Governmental Consents and Filings</w:t>
      </w:r>
      <w:r>
        <w:rPr>
          <w:rFonts w:ascii="Times New Roman" w:cs="Times New Roman" w:eastAsia="Times New Roman" w:hAnsi="Times New Roman"/>
          <w:sz w:val="18"/>
          <w:szCs w:val="18"/>
          <w:color w:val="auto"/>
        </w:rPr>
        <w:t>. Assuming the accuracy of the representations and warranties made by the Purchaser in this Agreement, no consent, approval, order or authorization of, or registration, qualification, designation, declaration or filing with, any federal, state or local governmental authority is required on the part of the Company in connection with the consummation of the transactions contemplated by this Agreement, except for filings pursuant to Regulation D of the Securities Act, and applicable state securities laws, if any, and pursuant to the Registration Rights.</w:t>
      </w:r>
    </w:p>
    <w:p>
      <w:pPr>
        <w:spacing w:after="0" w:line="179" w:lineRule="exact"/>
        <w:rPr>
          <w:rFonts w:ascii="Times New Roman" w:cs="Times New Roman" w:eastAsia="Times New Roman" w:hAnsi="Times New Roman"/>
          <w:sz w:val="18"/>
          <w:szCs w:val="18"/>
          <w:color w:val="auto"/>
        </w:rPr>
      </w:pPr>
    </w:p>
    <w:p>
      <w:pPr>
        <w:ind w:left="-8" w:right="40" w:firstLine="656"/>
        <w:spacing w:after="0" w:line="254" w:lineRule="auto"/>
        <w:tabs>
          <w:tab w:leader="none" w:pos="865"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Other Instruments</w:t>
      </w:r>
      <w:r>
        <w:rPr>
          <w:rFonts w:ascii="Times New Roman" w:cs="Times New Roman" w:eastAsia="Times New Roman" w:hAnsi="Times New Roman"/>
          <w:sz w:val="18"/>
          <w:szCs w:val="18"/>
          <w:color w:val="auto"/>
        </w:rPr>
        <w:t>. The execution, delivery and performance of this Agreement and the consummation of the transactions contemplated by this Agreement will not result in any violation or default (i) of any provisions of the Company’s amended and restated certificate of incorporation, as it may be amended from time to time (the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bylaws or other governing documents of the Company, (ii) of any instrument, judgment, order, writ or decree to which the Company is a party or by which it is bound, (iii) under any note, indenture or mortgage to which the Company is a party or by which it is bound, (iv) under any lease, agreement, contract or purchase order to which the Company is a party or by which it is bound or</w:t>
      </w:r>
    </w:p>
    <w:p>
      <w:pPr>
        <w:spacing w:after="0" w:line="3" w:lineRule="exact"/>
        <w:rPr>
          <w:rFonts w:ascii="Times New Roman" w:cs="Times New Roman" w:eastAsia="Times New Roman" w:hAnsi="Times New Roman"/>
          <w:sz w:val="18"/>
          <w:szCs w:val="18"/>
          <w:color w:val="auto"/>
        </w:rPr>
      </w:pPr>
    </w:p>
    <w:p>
      <w:pPr>
        <w:ind w:left="-8" w:right="600" w:firstLine="8"/>
        <w:spacing w:after="0" w:line="260" w:lineRule="auto"/>
        <w:tabs>
          <w:tab w:leader="none" w:pos="247"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provision of federal or state statute, rule or regulation applicable to the Company, in each case (other than clause (i)) which would have a material adverse effect on the Company or its ability to consummate the transactions contemplated by this Agreement.</w:t>
      </w:r>
    </w:p>
    <w:p>
      <w:pPr>
        <w:spacing w:after="0" w:line="181" w:lineRule="exact"/>
        <w:rPr>
          <w:rFonts w:ascii="Times New Roman" w:cs="Times New Roman" w:eastAsia="Times New Roman" w:hAnsi="Times New Roman"/>
          <w:sz w:val="18"/>
          <w:szCs w:val="18"/>
          <w:color w:val="auto"/>
        </w:rPr>
      </w:pPr>
    </w:p>
    <w:p>
      <w:pPr>
        <w:ind w:left="-8" w:right="40" w:firstLine="656"/>
        <w:spacing w:after="0" w:line="282" w:lineRule="auto"/>
        <w:tabs>
          <w:tab w:leader="none" w:pos="895"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Operations</w:t>
      </w:r>
      <w:r>
        <w:rPr>
          <w:rFonts w:ascii="Times New Roman" w:cs="Times New Roman" w:eastAsia="Times New Roman" w:hAnsi="Times New Roman"/>
          <w:sz w:val="18"/>
          <w:szCs w:val="18"/>
          <w:color w:val="auto"/>
        </w:rPr>
        <w:t>. As of the date hereof, the Company has not conducted, and prior to the IPO Closing the Company will not conduct, any operations other than organizational activities and activities in connection with offerings of its securities.</w:t>
      </w:r>
    </w:p>
    <w:p>
      <w:pPr>
        <w:spacing w:after="0" w:line="161" w:lineRule="exact"/>
        <w:rPr>
          <w:rFonts w:ascii="Times New Roman" w:cs="Times New Roman" w:eastAsia="Times New Roman" w:hAnsi="Times New Roman"/>
          <w:sz w:val="18"/>
          <w:szCs w:val="18"/>
          <w:color w:val="auto"/>
        </w:rPr>
      </w:pPr>
    </w:p>
    <w:p>
      <w:pPr>
        <w:ind w:left="-8" w:right="80" w:firstLine="656"/>
        <w:spacing w:after="0" w:line="266" w:lineRule="auto"/>
        <w:tabs>
          <w:tab w:leader="none" w:pos="895"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Neither the Company, nor any of its officers, directors, employees, agents or stockholders has either directly or indirectly, including, through a broker or finder (i) engaged in any general solicitation, or (ii) published any advertisement in connection with the offer and sale of the Forward Purchase Shares.</w:t>
      </w:r>
    </w:p>
    <w:p>
      <w:pPr>
        <w:spacing w:after="0" w:line="175" w:lineRule="exact"/>
        <w:rPr>
          <w:rFonts w:ascii="Times New Roman" w:cs="Times New Roman" w:eastAsia="Times New Roman" w:hAnsi="Times New Roman"/>
          <w:sz w:val="18"/>
          <w:szCs w:val="18"/>
          <w:color w:val="auto"/>
        </w:rPr>
      </w:pPr>
    </w:p>
    <w:p>
      <w:pPr>
        <w:ind w:left="-8" w:right="60" w:firstLine="656"/>
        <w:spacing w:after="0" w:line="256" w:lineRule="auto"/>
        <w:tabs>
          <w:tab w:leader="none" w:pos="855"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Other Representations and Warranties; Non-Reliance</w:t>
      </w:r>
      <w:r>
        <w:rPr>
          <w:rFonts w:ascii="Times New Roman" w:cs="Times New Roman" w:eastAsia="Times New Roman" w:hAnsi="Times New Roman"/>
          <w:sz w:val="18"/>
          <w:szCs w:val="18"/>
          <w:color w:val="auto"/>
        </w:rPr>
        <w:t xml:space="preserve">. Except for the specific representations and warranties contained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and in any certificate or agreement delivered pursuant hereto, none of the Company Parties has made, makes or shall be deemed to make any other express or implied representation or warranty with respect to the Company, this offering, the proposed IPO or a potential Business Combination, and the Company Parties disclaim any such representation or warranty. Except for the specific representations and warranties expressly made by the Advisor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the Agreement and by the Purchaser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Agreement and in any certificate or agreement delivered pursuant hereto, the Company Parties specifically disclaim that they are relying upon any other representations or warranties that may have been made by the Purchaser Parties.</w:t>
      </w:r>
    </w:p>
    <w:p>
      <w:pPr>
        <w:spacing w:after="0" w:line="200" w:lineRule="exact"/>
        <w:rPr>
          <w:sz w:val="20"/>
          <w:szCs w:val="20"/>
          <w:color w:val="auto"/>
        </w:rPr>
      </w:pPr>
    </w:p>
    <w:p>
      <w:pPr>
        <w:spacing w:after="0" w:line="20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337" w:right="359" w:bottom="1440" w:gutter="0" w:footer="0" w:header="0"/>
        </w:sectPr>
      </w:pPr>
    </w:p>
    <w:bookmarkStart w:id="138" w:name="page139"/>
    <w:bookmarkEnd w:id="138"/>
    <w:p>
      <w:pPr>
        <w:ind w:left="-8" w:right="100" w:firstLine="8"/>
        <w:spacing w:after="0" w:line="259" w:lineRule="auto"/>
        <w:tabs>
          <w:tab w:leader="none" w:pos="172"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Right of First Offer. </w:t>
      </w:r>
      <w:r>
        <w:rPr>
          <w:rFonts w:ascii="Times New Roman" w:cs="Times New Roman" w:eastAsia="Times New Roman" w:hAnsi="Times New Roman"/>
          <w:sz w:val="18"/>
          <w:szCs w:val="18"/>
          <w:color w:val="auto"/>
        </w:rPr>
        <w:t>Subject to the terms and conditions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if, in connection with or prior to the Business Combination Closing,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proposes to issue any equity securities, or securities convertible into, exchangeable or exercisable for equity securities, other than the Public Units (and their component Public Shares and Public Warrants) and the Excluded Securities (as defined below) (“</w:t>
      </w:r>
      <w:r>
        <w:rPr>
          <w:rFonts w:ascii="Times New Roman" w:cs="Times New Roman" w:eastAsia="Times New Roman" w:hAnsi="Times New Roman"/>
          <w:sz w:val="18"/>
          <w:szCs w:val="18"/>
          <w:u w:val="single" w:color="auto"/>
          <w:color w:val="auto"/>
        </w:rPr>
        <w:t>New Equity Securities</w:t>
      </w:r>
      <w:r>
        <w:rPr>
          <w:rFonts w:ascii="Times New Roman" w:cs="Times New Roman" w:eastAsia="Times New Roman" w:hAnsi="Times New Roman"/>
          <w:sz w:val="18"/>
          <w:szCs w:val="18"/>
          <w:color w:val="auto"/>
        </w:rPr>
        <w:t xml:space="preserve">”), or offer or seek commitments for any New Equity Securities to backstop any such capital raise, the Company shall first make an offer of the New Equity Securities to the Advisors on behalf of their respective Clients or other Purchasers in accordance with the following provisions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b w:val="1"/>
          <w:bCs w:val="1"/>
          <w:color w:val="auto"/>
        </w:rPr>
      </w:pPr>
    </w:p>
    <w:p>
      <w:pPr>
        <w:ind w:left="892" w:hanging="244"/>
        <w:spacing w:after="0"/>
        <w:tabs>
          <w:tab w:leader="none" w:pos="892"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Offer Notice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 w:right="120" w:firstLine="1304"/>
        <w:spacing w:after="0" w:line="261" w:lineRule="auto"/>
        <w:tabs>
          <w:tab w:leader="none" w:pos="1503" w:val="left"/>
        </w:tabs>
        <w:numPr>
          <w:ilvl w:val="2"/>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give written notice (the “</w:t>
      </w:r>
      <w:r>
        <w:rPr>
          <w:rFonts w:ascii="Times New Roman" w:cs="Times New Roman" w:eastAsia="Times New Roman" w:hAnsi="Times New Roman"/>
          <w:sz w:val="18"/>
          <w:szCs w:val="18"/>
          <w:u w:val="single" w:color="auto"/>
          <w:color w:val="auto"/>
        </w:rPr>
        <w:t>Offering Notice</w:t>
      </w:r>
      <w:r>
        <w:rPr>
          <w:rFonts w:ascii="Times New Roman" w:cs="Times New Roman" w:eastAsia="Times New Roman" w:hAnsi="Times New Roman"/>
          <w:sz w:val="18"/>
          <w:szCs w:val="18"/>
          <w:color w:val="auto"/>
        </w:rPr>
        <w:t xml:space="preserve">”) to the Advisors stating its bona fide intention to offer the New Equity Securities and specifying the number of New Equity Securities and the material terms and conditions, including the price, pursuant to which the Company proposes to offer the New Equity Securities and the applicable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such New Equity Securities offered to each of the Advisors pursuant to such Offering Notice, which shall be 50% of such New Equity Securities.</w:t>
      </w:r>
    </w:p>
    <w:p>
      <w:pPr>
        <w:spacing w:after="0" w:line="179" w:lineRule="exact"/>
        <w:rPr>
          <w:rFonts w:ascii="Times New Roman" w:cs="Times New Roman" w:eastAsia="Times New Roman" w:hAnsi="Times New Roman"/>
          <w:sz w:val="18"/>
          <w:szCs w:val="18"/>
          <w:color w:val="auto"/>
        </w:rPr>
      </w:pPr>
    </w:p>
    <w:p>
      <w:pPr>
        <w:ind w:left="-8" w:right="340" w:firstLine="1304"/>
        <w:spacing w:after="0" w:line="282" w:lineRule="auto"/>
        <w:tabs>
          <w:tab w:leader="none" w:pos="1553" w:val="left"/>
        </w:tabs>
        <w:numPr>
          <w:ilvl w:val="2"/>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Notice shall constitute the Company’s offer to sell the New Equity Securities to Clients managed by the Advisors or other Purchasers, which offer shall be irrevocable for a period of ten (10) Business Days (the “</w:t>
      </w:r>
      <w:r>
        <w:rPr>
          <w:rFonts w:ascii="Times New Roman" w:cs="Times New Roman" w:eastAsia="Times New Roman" w:hAnsi="Times New Roman"/>
          <w:sz w:val="18"/>
          <w:szCs w:val="18"/>
          <w:u w:val="single" w:color="auto"/>
          <w:color w:val="auto"/>
        </w:rPr>
        <w:t>ROFO Notice Period</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912" w:hanging="264"/>
        <w:spacing w:after="0"/>
        <w:tabs>
          <w:tab w:leader="none" w:pos="912"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Right of First Offer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 w:firstLine="1304"/>
        <w:spacing w:after="0" w:line="258" w:lineRule="auto"/>
        <w:tabs>
          <w:tab w:leader="none" w:pos="1503" w:val="left"/>
        </w:tabs>
        <w:numPr>
          <w:ilvl w:val="2"/>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receipt of the Offering Notice, the Advisors shall have until the end of the ROFO Notice Period to accept the Company’s offer to purchase, in whole or in part, its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the New Equity Securities by delivering a written notice (a “</w:t>
      </w:r>
      <w:r>
        <w:rPr>
          <w:rFonts w:ascii="Times New Roman" w:cs="Times New Roman" w:eastAsia="Times New Roman" w:hAnsi="Times New Roman"/>
          <w:sz w:val="18"/>
          <w:szCs w:val="18"/>
          <w:u w:val="single" w:color="auto"/>
          <w:color w:val="auto"/>
        </w:rPr>
        <w:t>ROFO Notice</w:t>
      </w:r>
      <w:r>
        <w:rPr>
          <w:rFonts w:ascii="Times New Roman" w:cs="Times New Roman" w:eastAsia="Times New Roman" w:hAnsi="Times New Roman"/>
          <w:sz w:val="18"/>
          <w:szCs w:val="18"/>
          <w:color w:val="auto"/>
        </w:rPr>
        <w:t>”) to the Company stating that it accepts, on behalf of one or more specified Clients or other Purchasers, the Company’s offer to purchase such New Equity Securities on the terms specified in the Offering Notice and in the amounts specified in the ROFO Notice. Any ROFO Notice signed by the Clients or other Purchasers named therein and so delivered shall be binding upon delivery and irrevocable by such Clients or other Purchasers.</w:t>
      </w:r>
    </w:p>
    <w:p>
      <w:pPr>
        <w:spacing w:after="0" w:line="183" w:lineRule="exact"/>
        <w:rPr>
          <w:rFonts w:ascii="Times New Roman" w:cs="Times New Roman" w:eastAsia="Times New Roman" w:hAnsi="Times New Roman"/>
          <w:sz w:val="18"/>
          <w:szCs w:val="18"/>
          <w:color w:val="auto"/>
        </w:rPr>
      </w:pPr>
    </w:p>
    <w:p>
      <w:pPr>
        <w:ind w:left="-8" w:right="40" w:firstLine="1304"/>
        <w:spacing w:after="0" w:line="253" w:lineRule="auto"/>
        <w:tabs>
          <w:tab w:leader="none" w:pos="1553" w:val="left"/>
        </w:tabs>
        <w:numPr>
          <w:ilvl w:val="2"/>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one of the Advisors does not deliver a ROFO Notice during the ROFO Notice Period accepting all of the New Equity Securities offered to it, it shall be deemed to have waived on behalf of its Clients or other Purchasers all rights to purchase the New Equity Securities offered pursuant to the Offering Notice under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that were not included in the ROFO Notice (the “</w:t>
      </w:r>
      <w:r>
        <w:rPr>
          <w:rFonts w:ascii="Times New Roman" w:cs="Times New Roman" w:eastAsia="Times New Roman" w:hAnsi="Times New Roman"/>
          <w:sz w:val="18"/>
          <w:szCs w:val="18"/>
          <w:u w:val="single" w:color="auto"/>
          <w:color w:val="auto"/>
        </w:rPr>
        <w:t>Waived New Equity Securities</w:t>
      </w:r>
      <w:r>
        <w:rPr>
          <w:rFonts w:ascii="Times New Roman" w:cs="Times New Roman" w:eastAsia="Times New Roman" w:hAnsi="Times New Roman"/>
          <w:sz w:val="18"/>
          <w:szCs w:val="18"/>
          <w:color w:val="auto"/>
        </w:rPr>
        <w:t>”). Thereafter, to the extent the other Advisor has delivered a ROFO Notice to the Company during the ROFO Notice Period accepting the Company’s initial offer to purchase all of the New Equity Securities offered to it, the Company shall, within five (5) Business Days after the expiration of the ROFO Notice Period, give an Offering Notice to such Advisor, informing it that it has the right to increase the number of New Equity Securities that it accepted pursuant to the initial ROFO Notice by up to the number of Waived New Equity Securities. Such Advisor shall then have two (2) Business Days (the “</w:t>
      </w:r>
      <w:r>
        <w:rPr>
          <w:rFonts w:ascii="Times New Roman" w:cs="Times New Roman" w:eastAsia="Times New Roman" w:hAnsi="Times New Roman"/>
          <w:sz w:val="18"/>
          <w:szCs w:val="18"/>
          <w:u w:val="single" w:color="auto"/>
          <w:color w:val="auto"/>
        </w:rPr>
        <w:t>Subsequent Offering Period</w:t>
      </w:r>
      <w:r>
        <w:rPr>
          <w:rFonts w:ascii="Times New Roman" w:cs="Times New Roman" w:eastAsia="Times New Roman" w:hAnsi="Times New Roman"/>
          <w:sz w:val="18"/>
          <w:szCs w:val="18"/>
          <w:color w:val="auto"/>
        </w:rPr>
        <w:t>”) in which to accept such second offer, by giving notice of acceptance (the “</w:t>
      </w:r>
      <w:r>
        <w:rPr>
          <w:rFonts w:ascii="Times New Roman" w:cs="Times New Roman" w:eastAsia="Times New Roman" w:hAnsi="Times New Roman"/>
          <w:sz w:val="18"/>
          <w:szCs w:val="18"/>
          <w:u w:val="single" w:color="auto"/>
          <w:color w:val="auto"/>
        </w:rPr>
        <w:t>Subsequent ROFO Notice</w:t>
      </w:r>
      <w:r>
        <w:rPr>
          <w:rFonts w:ascii="Times New Roman" w:cs="Times New Roman" w:eastAsia="Times New Roman" w:hAnsi="Times New Roman"/>
          <w:sz w:val="18"/>
          <w:szCs w:val="18"/>
          <w:color w:val="auto"/>
        </w:rPr>
        <w:t>”) to the Company prior to the expiration of the Subsequent Offering Period, as to portion of the Waived New Equity Securities it accepts for purchase on behalf of one or more specified Clients or other Purchasers.</w:t>
      </w:r>
    </w:p>
    <w:p>
      <w:pPr>
        <w:spacing w:after="0" w:line="194" w:lineRule="exact"/>
        <w:rPr>
          <w:rFonts w:ascii="Times New Roman" w:cs="Times New Roman" w:eastAsia="Times New Roman" w:hAnsi="Times New Roman"/>
          <w:sz w:val="18"/>
          <w:szCs w:val="18"/>
          <w:color w:val="auto"/>
        </w:rPr>
      </w:pPr>
    </w:p>
    <w:p>
      <w:pPr>
        <w:ind w:left="-8" w:right="120" w:firstLine="1304"/>
        <w:spacing w:after="0" w:line="254" w:lineRule="auto"/>
        <w:tabs>
          <w:tab w:leader="none" w:pos="1603" w:val="left"/>
        </w:tabs>
        <w:numPr>
          <w:ilvl w:val="2"/>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Subsequent Offer Notice is not delivered to the Company prior to the expiration of the Subsequent Offering Period accepting for purchase all of the Waived New Equity Securities, the applicable Advisor shall be deemed to have waived on behalf of its Clients and other Purchasers all rights to purchase such Waived New Equity Securities in such second offer by the Company that it did not accept for purchase. The Company shall thereafter be free to sell or enter into an agreement to sell the unaccepted portion of such Waived New Equity Securities to any third party without any further obligation to the Advisors pursuant to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within the ninety (90) day period thereafter (and with respect to an agreement to sell, consummate such sale at any time thereafter) on terms and conditions not more favorable to the third party than those set forth in any Offering Notice. If the Company does not sell or enter into an agreement to sell the unaccepted portion of the New Equity Securities within such period, the rights provided hereunder shall be deemed to be revived and the New Equity Securities shall not be offered to any third party unless first re-offered to the Advisors in accordance with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8" w:right="80" w:firstLine="656"/>
        <w:spacing w:after="0" w:line="254" w:lineRule="auto"/>
        <w:tabs>
          <w:tab w:leader="none" w:pos="884"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Excluded Securities</w:t>
      </w:r>
      <w:r>
        <w:rPr>
          <w:rFonts w:ascii="Times New Roman" w:cs="Times New Roman" w:eastAsia="Times New Roman" w:hAnsi="Times New Roman"/>
          <w:sz w:val="18"/>
          <w:szCs w:val="18"/>
          <w:color w:val="auto"/>
        </w:rPr>
        <w:t>. For purposes hereof, the term “</w:t>
      </w:r>
      <w:r>
        <w:rPr>
          <w:rFonts w:ascii="Times New Roman" w:cs="Times New Roman" w:eastAsia="Times New Roman" w:hAnsi="Times New Roman"/>
          <w:sz w:val="18"/>
          <w:szCs w:val="18"/>
          <w:u w:val="single" w:color="auto"/>
          <w:color w:val="auto"/>
        </w:rPr>
        <w:t>Excluded Securities</w:t>
      </w:r>
      <w:r>
        <w:rPr>
          <w:rFonts w:ascii="Times New Roman" w:cs="Times New Roman" w:eastAsia="Times New Roman" w:hAnsi="Times New Roman"/>
          <w:sz w:val="18"/>
          <w:szCs w:val="18"/>
          <w:color w:val="auto"/>
        </w:rPr>
        <w:t>” means Class B Shares (and Class A Shares for which such Class B Shares are convertible) issued to the Sponsor prior to the IPO, private placement warrants issued by the Company in connection with the IPO for $1.50 per warrant for an aggregate of $9,700,000 (or $10,855,000 if the underwriters’ over-allotment option is exercised in full) and which have the same exercise price as the Warrants (“</w:t>
      </w:r>
      <w:r>
        <w:rPr>
          <w:rFonts w:ascii="Times New Roman" w:cs="Times New Roman" w:eastAsia="Times New Roman" w:hAnsi="Times New Roman"/>
          <w:sz w:val="18"/>
          <w:szCs w:val="18"/>
          <w:u w:val="single" w:color="auto"/>
          <w:color w:val="auto"/>
        </w:rPr>
        <w:t>Private Placement Warrants</w:t>
      </w:r>
      <w:r>
        <w:rPr>
          <w:rFonts w:ascii="Times New Roman" w:cs="Times New Roman" w:eastAsia="Times New Roman" w:hAnsi="Times New Roman"/>
          <w:sz w:val="18"/>
          <w:szCs w:val="18"/>
          <w:color w:val="auto"/>
        </w:rPr>
        <w:t>”) issued pursuant to a private placement agreement by and among the Company and the parties thereto (the “</w:t>
      </w:r>
      <w:r>
        <w:rPr>
          <w:rFonts w:ascii="Times New Roman" w:cs="Times New Roman" w:eastAsia="Times New Roman" w:hAnsi="Times New Roman"/>
          <w:sz w:val="18"/>
          <w:szCs w:val="18"/>
          <w:u w:val="single" w:color="auto"/>
          <w:color w:val="auto"/>
        </w:rPr>
        <w:t>Private Placement Warrant Agreement</w:t>
      </w:r>
      <w:r>
        <w:rPr>
          <w:rFonts w:ascii="Times New Roman" w:cs="Times New Roman" w:eastAsia="Times New Roman" w:hAnsi="Times New Roman"/>
          <w:sz w:val="18"/>
          <w:szCs w:val="18"/>
          <w:color w:val="auto"/>
        </w:rPr>
        <w:t>”), working capital loans to the Company to finance transaction costs in connection with an intended initial Business Combination to the extent they may be convertible at the option of the lender into warrants of the post- initial Business Combination entity (“</w:t>
      </w:r>
      <w:r>
        <w:rPr>
          <w:rFonts w:ascii="Times New Roman" w:cs="Times New Roman" w:eastAsia="Times New Roman" w:hAnsi="Times New Roman"/>
          <w:sz w:val="18"/>
          <w:szCs w:val="18"/>
          <w:u w:val="single" w:color="auto"/>
          <w:color w:val="auto"/>
        </w:rPr>
        <w:t>Working Capital Loans</w:t>
      </w:r>
      <w:r>
        <w:rPr>
          <w:rFonts w:ascii="Times New Roman" w:cs="Times New Roman" w:eastAsia="Times New Roman" w:hAnsi="Times New Roman"/>
          <w:sz w:val="18"/>
          <w:szCs w:val="18"/>
          <w:color w:val="auto"/>
        </w:rPr>
        <w:t>”)), warrants issued upon the conversion of Working Capital Loans, any securities issued by the Company as consideration to any seller in the initial Business Combination and any Class A Shares issued pursuant to this Agreement or the Other Forward Contract.</w:t>
      </w:r>
    </w:p>
    <w:p>
      <w:pPr>
        <w:spacing w:after="0" w:line="200" w:lineRule="exact"/>
        <w:rPr>
          <w:sz w:val="20"/>
          <w:szCs w:val="20"/>
          <w:color w:val="auto"/>
        </w:rPr>
      </w:pPr>
    </w:p>
    <w:p>
      <w:pPr>
        <w:spacing w:after="0" w:line="20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333" w:right="339" w:bottom="1440" w:gutter="0" w:footer="0" w:header="0"/>
        </w:sectPr>
      </w:pPr>
    </w:p>
    <w:bookmarkStart w:id="139" w:name="page140"/>
    <w:bookmarkEnd w:id="139"/>
    <w:p>
      <w:pPr>
        <w:jc w:val="both"/>
        <w:ind w:left="-8" w:right="340" w:firstLine="656"/>
        <w:spacing w:after="0" w:line="266" w:lineRule="auto"/>
        <w:tabs>
          <w:tab w:leader="none" w:pos="895"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Private Placements</w:t>
      </w:r>
      <w:r>
        <w:rPr>
          <w:rFonts w:ascii="Times New Roman" w:cs="Times New Roman" w:eastAsia="Times New Roman" w:hAnsi="Times New Roman"/>
          <w:sz w:val="18"/>
          <w:szCs w:val="18"/>
          <w:color w:val="auto"/>
        </w:rPr>
        <w:t>. Notwithstanding anything to the contrary contained herein, prior to the IPO, the Company will not issue or agree to issue any securities (other than Forward Purchase Shares contemplated by this Agreement, the Other Forward Contract, the Private Placement Warrants and the Public Units) without the Advisors’ prior written consent.</w:t>
      </w:r>
    </w:p>
    <w:p>
      <w:pPr>
        <w:spacing w:after="0" w:line="171" w:lineRule="exact"/>
        <w:rPr>
          <w:rFonts w:ascii="Times New Roman" w:cs="Times New Roman" w:eastAsia="Times New Roman" w:hAnsi="Times New Roman"/>
          <w:sz w:val="18"/>
          <w:szCs w:val="18"/>
          <w:color w:val="auto"/>
        </w:rPr>
      </w:pPr>
    </w:p>
    <w:p>
      <w:pPr>
        <w:ind w:left="172" w:hanging="172"/>
        <w:spacing w:after="0"/>
        <w:tabs>
          <w:tab w:leader="none" w:pos="172"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Registration Rights; Transfer</w:t>
      </w:r>
    </w:p>
    <w:p>
      <w:pPr>
        <w:spacing w:after="0" w:line="229" w:lineRule="exact"/>
        <w:rPr>
          <w:rFonts w:ascii="Times New Roman" w:cs="Times New Roman" w:eastAsia="Times New Roman" w:hAnsi="Times New Roman"/>
          <w:sz w:val="18"/>
          <w:szCs w:val="18"/>
          <w:b w:val="1"/>
          <w:bCs w:val="1"/>
          <w:color w:val="auto"/>
        </w:rPr>
      </w:pPr>
    </w:p>
    <w:p>
      <w:pPr>
        <w:ind w:left="-8" w:right="20" w:firstLine="656"/>
        <w:spacing w:after="0" w:line="261" w:lineRule="auto"/>
        <w:tabs>
          <w:tab w:leader="none" w:pos="884"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Each Purchaser shall be granted registration rights by the Company with respect to the Forward Purchase Shares pursuant to the registration rights agreement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to be entered into by the Company in connection with its IPO, a form of which has been filed with the registration statement relating to the Company’s IPO (the “</w:t>
      </w: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Upon a Purchaser’s entry into a Purchaser Joinder, such Purchaser shall execute a joinder to the Registration Rights Agreement.</w:t>
      </w:r>
    </w:p>
    <w:p>
      <w:pPr>
        <w:spacing w:after="0" w:line="179" w:lineRule="exact"/>
        <w:rPr>
          <w:rFonts w:ascii="Times New Roman" w:cs="Times New Roman" w:eastAsia="Times New Roman" w:hAnsi="Times New Roman"/>
          <w:sz w:val="18"/>
          <w:szCs w:val="18"/>
          <w:color w:val="auto"/>
        </w:rPr>
      </w:pPr>
    </w:p>
    <w:p>
      <w:pPr>
        <w:jc w:val="both"/>
        <w:ind w:left="-8" w:right="360" w:firstLine="656"/>
        <w:spacing w:after="0" w:line="266" w:lineRule="auto"/>
        <w:tabs>
          <w:tab w:leader="none" w:pos="895"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This Agreement and all of the Purchaser’s rights and obligations hereunder (including the Purchaser’s obligation to purchase the Forward Purchase Shares) may be transferred or assigned, at any time and from time to time, in whole or in part, to a Forward Contract Party or one or more third parties (each such transferee, a “</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Upon any such assignment:</w:t>
      </w:r>
    </w:p>
    <w:p>
      <w:pPr>
        <w:spacing w:after="0" w:line="175" w:lineRule="exact"/>
        <w:rPr>
          <w:rFonts w:ascii="Times New Roman" w:cs="Times New Roman" w:eastAsia="Times New Roman" w:hAnsi="Times New Roman"/>
          <w:sz w:val="18"/>
          <w:szCs w:val="18"/>
          <w:color w:val="auto"/>
        </w:rPr>
      </w:pPr>
    </w:p>
    <w:p>
      <w:pPr>
        <w:ind w:left="-8" w:right="80" w:firstLine="1304"/>
        <w:spacing w:after="0" w:line="256" w:lineRule="auto"/>
        <w:tabs>
          <w:tab w:leader="none" w:pos="1503" w:val="left"/>
        </w:tabs>
        <w:numPr>
          <w:ilvl w:val="2"/>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Transferee shall execute a signature page to this Agreement, substantially in the form of the Purchaser’s signature page hereto (the “</w:t>
      </w:r>
      <w:r>
        <w:rPr>
          <w:rFonts w:ascii="Times New Roman" w:cs="Times New Roman" w:eastAsia="Times New Roman" w:hAnsi="Times New Roman"/>
          <w:sz w:val="18"/>
          <w:szCs w:val="18"/>
          <w:u w:val="single" w:color="auto"/>
          <w:color w:val="auto"/>
        </w:rPr>
        <w:t>Transferee Joinder Agreement</w:t>
      </w:r>
      <w:r>
        <w:rPr>
          <w:rFonts w:ascii="Times New Roman" w:cs="Times New Roman" w:eastAsia="Times New Roman" w:hAnsi="Times New Roman"/>
          <w:sz w:val="18"/>
          <w:szCs w:val="18"/>
          <w:color w:val="auto"/>
        </w:rPr>
        <w:t>”), which shall reflect the number of Forward Purchase Shares to be purchased by such Transferee (the “</w:t>
      </w:r>
      <w:r>
        <w:rPr>
          <w:rFonts w:ascii="Times New Roman" w:cs="Times New Roman" w:eastAsia="Times New Roman" w:hAnsi="Times New Roman"/>
          <w:sz w:val="18"/>
          <w:szCs w:val="18"/>
          <w:u w:val="single" w:color="auto"/>
          <w:color w:val="auto"/>
        </w:rPr>
        <w:t>Transferee Securities</w:t>
      </w:r>
      <w:r>
        <w:rPr>
          <w:rFonts w:ascii="Times New Roman" w:cs="Times New Roman" w:eastAsia="Times New Roman" w:hAnsi="Times New Roman"/>
          <w:sz w:val="18"/>
          <w:szCs w:val="18"/>
          <w:color w:val="auto"/>
        </w:rPr>
        <w:t>”), and, upon such execution, such Transferee shall have all the same rights and obligations of the Purchaser hereunder with respect to the Transferee Securities, and references herein to the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xml:space="preserve">” shall be deemed to refer to and include any such Transferee with respect to such Transferee and to its Transferee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any representations, warranties, covenants and agreements of the Purchaser and any such Transferee shall be several and not joint and shall be made as to the Purchaser or any such Transferee, as applicable, as to itself only; and</w:t>
      </w:r>
    </w:p>
    <w:p>
      <w:pPr>
        <w:spacing w:after="0" w:line="187" w:lineRule="exact"/>
        <w:rPr>
          <w:rFonts w:ascii="Times New Roman" w:cs="Times New Roman" w:eastAsia="Times New Roman" w:hAnsi="Times New Roman"/>
          <w:sz w:val="18"/>
          <w:szCs w:val="18"/>
          <w:color w:val="auto"/>
        </w:rPr>
      </w:pPr>
    </w:p>
    <w:p>
      <w:pPr>
        <w:ind w:left="-8" w:firstLine="1304"/>
        <w:spacing w:after="0" w:line="254" w:lineRule="auto"/>
        <w:tabs>
          <w:tab w:leader="none" w:pos="1553" w:val="left"/>
        </w:tabs>
        <w:numPr>
          <w:ilvl w:val="2"/>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a Transferee’s execution and delivery of a Transferee Joinder Agreement, the number of Forward Purchase Shares to be purchased by the Purchaser hereunder shall be reduced by the total number of Forward Purchase Shares to be purchased by the applicable Transferee pursuant to the applicable Transferee Joinder Agreement, which reduction shall be evidenced by the Purchaser and the Company amending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to this Agreement to reflect each transfer and updating the “Number of Forward Purchase Shares” and “Aggregate Purchase Price for Forward Purchase Shares” on the Purchaser’s signature page hereto to reflect such reduced number of Forward Purchase Shares, and the Purchaser shall be fully and unconditionally released from its obligation to purchase such Transferee Securities hereunder. For the avoidance of doubt, this Agreement need not be amended and restated in its entirety, but only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and the Purchaser’s signature page hereto need be so amended and updated and executed by each of the Purchaser and the Company upon the occurrence of any such transfer of Transferee Securities.</w:t>
      </w:r>
    </w:p>
    <w:p>
      <w:pPr>
        <w:spacing w:after="0" w:line="200" w:lineRule="exact"/>
        <w:rPr>
          <w:sz w:val="20"/>
          <w:szCs w:val="20"/>
          <w:color w:val="auto"/>
        </w:rPr>
      </w:pPr>
    </w:p>
    <w:p>
      <w:pPr>
        <w:spacing w:after="0" w:line="208"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337" w:right="359" w:bottom="1440" w:gutter="0" w:footer="0" w:header="0"/>
        </w:sectPr>
      </w:pPr>
    </w:p>
    <w:bookmarkStart w:id="140" w:name="page141"/>
    <w:bookmarkEnd w:id="140"/>
    <w:p>
      <w:pPr>
        <w:ind w:left="172" w:hanging="172"/>
        <w:spacing w:after="0"/>
        <w:tabs>
          <w:tab w:leader="none" w:pos="172"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Agreements, Acknowledgements and Waivers of the Purchaser.</w:t>
      </w:r>
    </w:p>
    <w:p>
      <w:pPr>
        <w:spacing w:after="0" w:line="229" w:lineRule="exact"/>
        <w:rPr>
          <w:rFonts w:ascii="Times New Roman" w:cs="Times New Roman" w:eastAsia="Times New Roman" w:hAnsi="Times New Roman"/>
          <w:sz w:val="18"/>
          <w:szCs w:val="18"/>
          <w:b w:val="1"/>
          <w:bCs w:val="1"/>
          <w:color w:val="auto"/>
        </w:rPr>
      </w:pPr>
    </w:p>
    <w:p>
      <w:pPr>
        <w:ind w:left="-8" w:right="40" w:firstLine="656"/>
        <w:spacing w:after="0" w:line="251" w:lineRule="auto"/>
        <w:tabs>
          <w:tab w:leader="none" w:pos="884"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Lock-up; Transfer Restrictions</w:t>
      </w:r>
      <w:r>
        <w:rPr>
          <w:rFonts w:ascii="Times New Roman" w:cs="Times New Roman" w:eastAsia="Times New Roman" w:hAnsi="Times New Roman"/>
          <w:sz w:val="18"/>
          <w:szCs w:val="18"/>
          <w:color w:val="auto"/>
        </w:rPr>
        <w:t>. The Purchaser agrees that it shall not Transfer any Forward Purchase Shares until 30 days after the completion of the initial Business Combination. Notwithstanding the foregoing, Transfers of the Forward Purchase Shares are permitted (any such transferees, the “</w:t>
      </w:r>
      <w:r>
        <w:rPr>
          <w:rFonts w:ascii="Times New Roman" w:cs="Times New Roman" w:eastAsia="Times New Roman" w:hAnsi="Times New Roman"/>
          <w:sz w:val="18"/>
          <w:szCs w:val="18"/>
          <w:u w:val="single" w:color="auto"/>
          <w:color w:val="auto"/>
        </w:rPr>
        <w:t>Permitted Transferees</w:t>
      </w:r>
      <w:r>
        <w:rPr>
          <w:rFonts w:ascii="Times New Roman" w:cs="Times New Roman" w:eastAsia="Times New Roman" w:hAnsi="Times New Roman"/>
          <w:sz w:val="18"/>
          <w:szCs w:val="18"/>
          <w:color w:val="auto"/>
        </w:rPr>
        <w:t xml:space="preserve">”): (A) to the Company’s officers or directors, any affiliates or family members of any of the Company’s officers or directors, any members of the Purchaser, or any affiliates of the Purchaser; (B) in the case of an individual, by gift to a member of the individual’s immediate family, to a trust, the beneficiary of which is a member of individual’s immediate family or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the consummation of a Business Combination at prices no greater than the price at which the securities were originally purchased; (F) in the event of the Company’s liquidation prior to the completion of a Business Combination; (G) in the event of the Company’s liquidation, merger, capital stock exchange, reorganization or other similar transaction which results in all of the Company’s stockholders having the right to exchange their Class A Shares for cash, securities or other property subsequent to the completion of the initial Business Combination; (H) as a distribution to limited partners, members or stockholders of the Purchaser; (I) to the Purchaser’s affiliates, to any investment fund or other entity controlled or managed by the Purchaser or any of its affiliates, or to any investment manager or investment advisor of the Purchaser or an affiliate of any such investment manager or investment advisor; (J) to a nominee or custodian of a person or entity to whom a disposition or transfer would be permissible under clauses (A) through (I) above; (K) to the Purchaser or any Transferee hereunder; (L) by virtue of the laws of the Purchaser’s jurisdiction of formation or its organizational documents upon dissolution of the Purchaser; and (M) pursuant to an order of a court or regulatory agency;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in the case of clauses (A) through (E) and (H) through (L), these Permitted Transferees must enter into a written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agreeing to be bound by these transfer restrictions.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shall mean the (x) sale or assignment of, offer to sell, contract or agreement to sell, hypothecation,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and the rules and regulations of the SEC promulgated thereunder) with respect to, any of the Forward Purchase Shares (excluding any pledges in the ordinary course of business for bona fide financing purposes or as part of prime brokerage arrangements), (y) entry into any swap or other arrangement that transfers to another, in whole or in part, any of the economic consequences of ownership of any of the Forward Purchase Shares, whether any such transaction is to be settled by delivery of such Forward Purchase Shares, in cash or otherwise, or (z) public announcement of any intention to effect any transaction specified in clause (x) or (y).</w:t>
      </w:r>
    </w:p>
    <w:p>
      <w:pPr>
        <w:spacing w:after="0" w:line="204" w:lineRule="exact"/>
        <w:rPr>
          <w:rFonts w:ascii="Times New Roman" w:cs="Times New Roman" w:eastAsia="Times New Roman" w:hAnsi="Times New Roman"/>
          <w:sz w:val="18"/>
          <w:szCs w:val="18"/>
          <w:color w:val="auto"/>
        </w:rPr>
      </w:pPr>
    </w:p>
    <w:p>
      <w:pPr>
        <w:ind w:left="912" w:hanging="264"/>
        <w:spacing w:after="0"/>
        <w:tabs>
          <w:tab w:leader="none" w:pos="912"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 w:right="200" w:firstLine="1304"/>
        <w:spacing w:after="0" w:line="261" w:lineRule="auto"/>
        <w:tabs>
          <w:tab w:leader="none" w:pos="1503" w:val="left"/>
        </w:tabs>
        <w:numPr>
          <w:ilvl w:val="2"/>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hereby acknowledges that it is aware that the Company will establish the Trust Account for the benefit of its public stockholders upon the IPO Closing. The Purchaser, for itself and its affiliates, hereby agrees that it has no right, title, interest or claim of any kind in or to any monies held in the Trust Account, or any other asset of the Company as a result of any liquidation of the Company, except for redemption and liquidation rights, if any, the Purchaser may have in respect of any Public Shares held by it.</w:t>
      </w:r>
    </w:p>
    <w:p>
      <w:pPr>
        <w:spacing w:after="0" w:line="179" w:lineRule="exact"/>
        <w:rPr>
          <w:rFonts w:ascii="Times New Roman" w:cs="Times New Roman" w:eastAsia="Times New Roman" w:hAnsi="Times New Roman"/>
          <w:sz w:val="18"/>
          <w:szCs w:val="18"/>
          <w:color w:val="auto"/>
        </w:rPr>
      </w:pPr>
    </w:p>
    <w:p>
      <w:pPr>
        <w:ind w:left="-8" w:firstLine="1304"/>
        <w:spacing w:after="0" w:line="256" w:lineRule="auto"/>
        <w:tabs>
          <w:tab w:leader="none" w:pos="1553" w:val="left"/>
        </w:tabs>
        <w:numPr>
          <w:ilvl w:val="2"/>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hereby agrees that it shall have no right of set-off or any right, title, interest or claim of any kind (“</w:t>
      </w:r>
      <w:r>
        <w:rPr>
          <w:rFonts w:ascii="Times New Roman" w:cs="Times New Roman" w:eastAsia="Times New Roman" w:hAnsi="Times New Roman"/>
          <w:sz w:val="18"/>
          <w:szCs w:val="18"/>
          <w:u w:val="single" w:color="auto"/>
          <w:color w:val="auto"/>
        </w:rPr>
        <w:t>Claim</w:t>
      </w:r>
      <w:r>
        <w:rPr>
          <w:rFonts w:ascii="Times New Roman" w:cs="Times New Roman" w:eastAsia="Times New Roman" w:hAnsi="Times New Roman"/>
          <w:sz w:val="18"/>
          <w:szCs w:val="18"/>
          <w:color w:val="auto"/>
        </w:rPr>
        <w:t>”) to, or to any monies in, the Trust Account, and hereby irrevocably waives any Claim to, or to any monies in, the Trust Account that it may have now or in the future, except for redemption and liquidation rights, if any, the Purchaser may have in respect of any Public Shares held by it. In the event the Purchaser has any Claim against the Company under this Agreement, the Purchaser shall pursue such Claim solely against the Company and its assets outside the Trust Account and not against the property or any monies in the Trust Account, except for redemption and liquidation rights, if any, the Purchaser may have in respect of any Public Shares held by it.</w:t>
      </w:r>
    </w:p>
    <w:p>
      <w:pPr>
        <w:spacing w:after="0" w:line="183" w:lineRule="exact"/>
        <w:rPr>
          <w:rFonts w:ascii="Times New Roman" w:cs="Times New Roman" w:eastAsia="Times New Roman" w:hAnsi="Times New Roman"/>
          <w:sz w:val="18"/>
          <w:szCs w:val="18"/>
          <w:color w:val="auto"/>
        </w:rPr>
      </w:pPr>
    </w:p>
    <w:p>
      <w:pPr>
        <w:ind w:left="-8" w:right="300" w:firstLine="8"/>
        <w:spacing w:after="0" w:line="286" w:lineRule="auto"/>
        <w:tabs>
          <w:tab w:leader="none" w:pos="172"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Nasdaq Listing. </w:t>
      </w:r>
      <w:r>
        <w:rPr>
          <w:rFonts w:ascii="Times New Roman" w:cs="Times New Roman" w:eastAsia="Times New Roman" w:hAnsi="Times New Roman"/>
          <w:sz w:val="18"/>
          <w:szCs w:val="18"/>
          <w:color w:val="auto"/>
        </w:rPr>
        <w:t>The Company will use commercially reasonable efforts to effect the listing of the Units, Class A Shares and Public Warrants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Capital Market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(or another national securities exchange) at the time of the Business Combination Closing.</w:t>
      </w:r>
    </w:p>
    <w:p>
      <w:pPr>
        <w:spacing w:after="0" w:line="154" w:lineRule="exact"/>
        <w:rPr>
          <w:rFonts w:ascii="Times New Roman" w:cs="Times New Roman" w:eastAsia="Times New Roman" w:hAnsi="Times New Roman"/>
          <w:sz w:val="18"/>
          <w:szCs w:val="18"/>
          <w:b w:val="1"/>
          <w:bCs w:val="1"/>
          <w:color w:val="auto"/>
        </w:rPr>
      </w:pPr>
    </w:p>
    <w:p>
      <w:pPr>
        <w:ind w:left="172" w:hanging="172"/>
        <w:spacing w:after="0"/>
        <w:tabs>
          <w:tab w:leader="none" w:pos="172"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Forward Closing Conditions.</w:t>
      </w:r>
    </w:p>
    <w:p>
      <w:pPr>
        <w:spacing w:after="0" w:line="229" w:lineRule="exact"/>
        <w:rPr>
          <w:rFonts w:ascii="Times New Roman" w:cs="Times New Roman" w:eastAsia="Times New Roman" w:hAnsi="Times New Roman"/>
          <w:sz w:val="18"/>
          <w:szCs w:val="18"/>
          <w:b w:val="1"/>
          <w:bCs w:val="1"/>
          <w:color w:val="auto"/>
        </w:rPr>
      </w:pPr>
    </w:p>
    <w:p>
      <w:pPr>
        <w:ind w:left="-8" w:right="360" w:firstLine="656"/>
        <w:spacing w:after="0" w:line="266" w:lineRule="auto"/>
        <w:tabs>
          <w:tab w:leader="none" w:pos="885"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such Purchaser has signed a Purchaser Joinder, the obligation of the Purchaser to purchase the Forward Purchase Shares at the Forward Closing under this Agreement shall be subject to the fulfillment, at or prior to the Forward Closing of each of the following conditions, any of which, to the extent permitted by applicable laws, may be waived by the Purchaser:</w:t>
      </w:r>
    </w:p>
    <w:p>
      <w:pPr>
        <w:spacing w:after="0" w:line="175" w:lineRule="exact"/>
        <w:rPr>
          <w:rFonts w:ascii="Times New Roman" w:cs="Times New Roman" w:eastAsia="Times New Roman" w:hAnsi="Times New Roman"/>
          <w:sz w:val="18"/>
          <w:szCs w:val="18"/>
          <w:color w:val="auto"/>
        </w:rPr>
      </w:pPr>
    </w:p>
    <w:p>
      <w:pPr>
        <w:ind w:left="1512" w:hanging="216"/>
        <w:spacing w:after="0"/>
        <w:tabs>
          <w:tab w:leader="none" w:pos="1512" w:val="left"/>
        </w:tabs>
        <w:numPr>
          <w:ilvl w:val="2"/>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Business Combination shall be consummated concurrently with the purchase of the Forward Purchase Shares;</w:t>
      </w:r>
    </w:p>
    <w:p>
      <w:pPr>
        <w:spacing w:after="0" w:line="225" w:lineRule="exact"/>
        <w:rPr>
          <w:rFonts w:ascii="Times New Roman" w:cs="Times New Roman" w:eastAsia="Times New Roman" w:hAnsi="Times New Roman"/>
          <w:sz w:val="18"/>
          <w:szCs w:val="18"/>
          <w:color w:val="auto"/>
        </w:rPr>
      </w:pPr>
    </w:p>
    <w:p>
      <w:pPr>
        <w:ind w:left="-8" w:right="80" w:firstLine="1304"/>
        <w:spacing w:after="0" w:line="261" w:lineRule="auto"/>
        <w:tabs>
          <w:tab w:leader="none" w:pos="1553" w:val="left"/>
        </w:tabs>
        <w:numPr>
          <w:ilvl w:val="2"/>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amendment or modification of the terms of the initial Business Combination provided by the Company to the Advisor prior to the execution by the Purchaser of a Purchaser Joinder shall have occurred that would reasonably be expected to materially and adversely affect the economic benefits that the Purchaser would reasonably expect to receive under this Agreement without having received Purchaser’s prior written consent (not to be unreasonably withheld, conditioned or delayed);</w:t>
      </w:r>
    </w:p>
    <w:p>
      <w:pPr>
        <w:spacing w:after="0" w:line="39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333" w:right="339" w:bottom="1440" w:gutter="0" w:footer="0" w:header="0"/>
        </w:sectPr>
      </w:pPr>
    </w:p>
    <w:bookmarkStart w:id="141" w:name="page142"/>
    <w:bookmarkEnd w:id="141"/>
    <w:p>
      <w:pPr>
        <w:ind w:left="1612" w:hanging="316"/>
        <w:spacing w:after="0"/>
        <w:tabs>
          <w:tab w:leader="none" w:pos="1612" w:val="left"/>
        </w:tabs>
        <w:numPr>
          <w:ilvl w:val="2"/>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have delivered to the Purchaser a certificate evidencing the Company’s good standing as a Delaware corporation;</w:t>
      </w:r>
    </w:p>
    <w:p>
      <w:pPr>
        <w:spacing w:after="0" w:line="236" w:lineRule="exact"/>
        <w:rPr>
          <w:rFonts w:ascii="Times New Roman" w:cs="Times New Roman" w:eastAsia="Times New Roman" w:hAnsi="Times New Roman"/>
          <w:sz w:val="17"/>
          <w:szCs w:val="17"/>
          <w:color w:val="auto"/>
        </w:rPr>
      </w:pPr>
    </w:p>
    <w:p>
      <w:pPr>
        <w:ind w:left="-8" w:right="20" w:firstLine="1304"/>
        <w:spacing w:after="0" w:line="258" w:lineRule="auto"/>
        <w:tabs>
          <w:tab w:leader="none" w:pos="1593" w:val="left"/>
        </w:tabs>
        <w:numPr>
          <w:ilvl w:val="2"/>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the Company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Agreement shall have been true and correct as of the date hereof and shall be true and correct as of the Forward Closing Date, as applicable, with the same effect as though such representations and warranties had been made on and as of such date (other than any such representation or warranty that is made by its terms as of a specified date, which shall be true and correct as of such specified date), except where the failure to be so true and correct would not have a material adverse effect on the Company or its ability to consummate the transactions contemplated by this Agreement;</w:t>
      </w:r>
    </w:p>
    <w:p>
      <w:pPr>
        <w:spacing w:after="0" w:line="183" w:lineRule="exact"/>
        <w:rPr>
          <w:rFonts w:ascii="Times New Roman" w:cs="Times New Roman" w:eastAsia="Times New Roman" w:hAnsi="Times New Roman"/>
          <w:sz w:val="18"/>
          <w:szCs w:val="18"/>
          <w:color w:val="auto"/>
        </w:rPr>
      </w:pPr>
    </w:p>
    <w:p>
      <w:pPr>
        <w:ind w:left="-8" w:right="300" w:firstLine="1304"/>
        <w:spacing w:after="0" w:line="282" w:lineRule="auto"/>
        <w:tabs>
          <w:tab w:leader="none" w:pos="1543" w:val="left"/>
        </w:tabs>
        <w:numPr>
          <w:ilvl w:val="2"/>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performed, satisfied and complied in all material respects with the covenants, agreements and conditions required by this Agreement to be performed, satisfied or complied with by the Company at or prior to the Forward Closing; and</w:t>
      </w:r>
    </w:p>
    <w:p>
      <w:pPr>
        <w:spacing w:after="0" w:line="161" w:lineRule="exact"/>
        <w:rPr>
          <w:rFonts w:ascii="Times New Roman" w:cs="Times New Roman" w:eastAsia="Times New Roman" w:hAnsi="Times New Roman"/>
          <w:sz w:val="18"/>
          <w:szCs w:val="18"/>
          <w:color w:val="auto"/>
        </w:rPr>
      </w:pPr>
    </w:p>
    <w:p>
      <w:pPr>
        <w:ind w:left="-8" w:right="560" w:firstLine="1304"/>
        <w:spacing w:after="0" w:line="266" w:lineRule="auto"/>
        <w:tabs>
          <w:tab w:leader="none" w:pos="1593" w:val="left"/>
        </w:tabs>
        <w:numPr>
          <w:ilvl w:val="2"/>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order, writ, judgment, injunction, decree, determination, or award shall have been entered by or with any governmental, regulatory, or administrative authority or any court, tribunal, or judicial, or arbitral body, and no other legal restraint or prohibition shall be in effect, preventing the purchase by the Purchaser of the Forward Purchase Shares.</w:t>
      </w:r>
    </w:p>
    <w:p>
      <w:pPr>
        <w:spacing w:after="0" w:line="175" w:lineRule="exact"/>
        <w:rPr>
          <w:rFonts w:ascii="Times New Roman" w:cs="Times New Roman" w:eastAsia="Times New Roman" w:hAnsi="Times New Roman"/>
          <w:sz w:val="18"/>
          <w:szCs w:val="18"/>
          <w:color w:val="auto"/>
        </w:rPr>
      </w:pPr>
    </w:p>
    <w:p>
      <w:pPr>
        <w:ind w:left="-8" w:right="40" w:firstLine="656"/>
        <w:spacing w:after="0" w:line="266" w:lineRule="auto"/>
        <w:tabs>
          <w:tab w:leader="none" w:pos="895"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Company to sell the Forward Purchase Shares at the Forward Closing under this Agreement shall be subject to the fulfillment, at or prior to the Forward Closing of each of the following conditions, any of which, to the extent permitted by applicable laws, may be waived by the Company:</w:t>
      </w:r>
    </w:p>
    <w:p>
      <w:pPr>
        <w:spacing w:after="0" w:line="175" w:lineRule="exact"/>
        <w:rPr>
          <w:rFonts w:ascii="Times New Roman" w:cs="Times New Roman" w:eastAsia="Times New Roman" w:hAnsi="Times New Roman"/>
          <w:sz w:val="18"/>
          <w:szCs w:val="18"/>
          <w:color w:val="auto"/>
        </w:rPr>
      </w:pPr>
    </w:p>
    <w:p>
      <w:pPr>
        <w:ind w:left="1512" w:hanging="216"/>
        <w:spacing w:after="0"/>
        <w:tabs>
          <w:tab w:leader="none" w:pos="1512" w:val="left"/>
        </w:tabs>
        <w:numPr>
          <w:ilvl w:val="2"/>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Business Combination shall be consummated concurrently with the purchase of Forward Purchase Shares;</w:t>
      </w:r>
    </w:p>
    <w:p>
      <w:pPr>
        <w:spacing w:after="0" w:line="225" w:lineRule="exact"/>
        <w:rPr>
          <w:rFonts w:ascii="Times New Roman" w:cs="Times New Roman" w:eastAsia="Times New Roman" w:hAnsi="Times New Roman"/>
          <w:sz w:val="18"/>
          <w:szCs w:val="18"/>
          <w:color w:val="auto"/>
        </w:rPr>
      </w:pPr>
    </w:p>
    <w:p>
      <w:pPr>
        <w:ind w:left="-8" w:right="60" w:firstLine="1304"/>
        <w:spacing w:after="0" w:line="258" w:lineRule="auto"/>
        <w:tabs>
          <w:tab w:leader="none" w:pos="1553" w:val="left"/>
        </w:tabs>
        <w:numPr>
          <w:ilvl w:val="2"/>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the Purchaser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Agreement shall have been true and correct as of the date hereof and shall be true and correct as of the Forward Closing Date, as applicable, with the same effect as though such representations and warranties had been made on and as of such date (other than any such representation or warranty that is made by its terms as of a specified date, which shall be true and correct as of such specified date), except where the failure to be so true and correct would not have a material adverse effect on the Purchaser or its ability to consummate the transactions contemplated by this Agreement;</w:t>
      </w:r>
    </w:p>
    <w:p>
      <w:pPr>
        <w:spacing w:after="0" w:line="183" w:lineRule="exact"/>
        <w:rPr>
          <w:rFonts w:ascii="Times New Roman" w:cs="Times New Roman" w:eastAsia="Times New Roman" w:hAnsi="Times New Roman"/>
          <w:sz w:val="18"/>
          <w:szCs w:val="18"/>
          <w:color w:val="auto"/>
        </w:rPr>
      </w:pPr>
    </w:p>
    <w:p>
      <w:pPr>
        <w:ind w:left="-8" w:right="220" w:firstLine="1304"/>
        <w:spacing w:after="0" w:line="282" w:lineRule="auto"/>
        <w:tabs>
          <w:tab w:leader="none" w:pos="1603" w:val="left"/>
        </w:tabs>
        <w:numPr>
          <w:ilvl w:val="2"/>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have performed, satisfied and complied in all material respects with the covenants, agreements and conditions required by this Agreement to be performed, satisfied or complied with by the Purchaser at or prior to the Forward Closing; and</w:t>
      </w:r>
    </w:p>
    <w:p>
      <w:pPr>
        <w:spacing w:after="0" w:line="161" w:lineRule="exact"/>
        <w:rPr>
          <w:rFonts w:ascii="Times New Roman" w:cs="Times New Roman" w:eastAsia="Times New Roman" w:hAnsi="Times New Roman"/>
          <w:sz w:val="18"/>
          <w:szCs w:val="18"/>
          <w:color w:val="auto"/>
        </w:rPr>
      </w:pPr>
    </w:p>
    <w:p>
      <w:pPr>
        <w:ind w:left="-8" w:right="560" w:firstLine="1304"/>
        <w:spacing w:after="0" w:line="266" w:lineRule="auto"/>
        <w:tabs>
          <w:tab w:leader="none" w:pos="1593" w:val="left"/>
        </w:tabs>
        <w:numPr>
          <w:ilvl w:val="2"/>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order, writ, judgment, injunction, decree, determination, or award shall have been entered by or with any governmental, regulatory, or administrative authority or any court, tribunal, or judicial, or arbitral body, and no other legal restraint or prohibition shall be in effect, preventing the purchase by the Purchaser of the Forward Purchase Shares.</w:t>
      </w:r>
    </w:p>
    <w:p>
      <w:pPr>
        <w:spacing w:after="0" w:line="171" w:lineRule="exact"/>
        <w:rPr>
          <w:rFonts w:ascii="Times New Roman" w:cs="Times New Roman" w:eastAsia="Times New Roman" w:hAnsi="Times New Roman"/>
          <w:sz w:val="18"/>
          <w:szCs w:val="18"/>
          <w:color w:val="auto"/>
        </w:rPr>
      </w:pPr>
    </w:p>
    <w:p>
      <w:pPr>
        <w:ind w:left="272" w:hanging="272"/>
        <w:spacing w:after="0"/>
        <w:tabs>
          <w:tab w:leader="none" w:pos="272"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w:t>
      </w:r>
      <w:r>
        <w:rPr>
          <w:rFonts w:ascii="Times New Roman" w:cs="Times New Roman" w:eastAsia="Times New Roman" w:hAnsi="Times New Roman"/>
          <w:sz w:val="18"/>
          <w:szCs w:val="18"/>
          <w:color w:val="auto"/>
        </w:rPr>
        <w:t>This Agreement may be terminated at any time prior to the Forward Closing:</w:t>
      </w:r>
    </w:p>
    <w:p>
      <w:pPr>
        <w:spacing w:after="0" w:line="229" w:lineRule="exact"/>
        <w:rPr>
          <w:rFonts w:ascii="Times New Roman" w:cs="Times New Roman" w:eastAsia="Times New Roman" w:hAnsi="Times New Roman"/>
          <w:sz w:val="18"/>
          <w:szCs w:val="18"/>
          <w:b w:val="1"/>
          <w:bCs w:val="1"/>
          <w:color w:val="auto"/>
        </w:rPr>
      </w:pPr>
    </w:p>
    <w:p>
      <w:pPr>
        <w:ind w:left="892" w:hanging="244"/>
        <w:spacing w:after="0"/>
        <w:tabs>
          <w:tab w:leader="none" w:pos="892"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the Company and the Purchaser;</w:t>
      </w:r>
    </w:p>
    <w:p>
      <w:pPr>
        <w:spacing w:after="0" w:line="225" w:lineRule="exact"/>
        <w:rPr>
          <w:rFonts w:ascii="Times New Roman" w:cs="Times New Roman" w:eastAsia="Times New Roman" w:hAnsi="Times New Roman"/>
          <w:sz w:val="18"/>
          <w:szCs w:val="18"/>
          <w:color w:val="auto"/>
        </w:rPr>
      </w:pPr>
    </w:p>
    <w:p>
      <w:pPr>
        <w:ind w:left="912" w:hanging="264"/>
        <w:spacing w:after="0"/>
        <w:tabs>
          <w:tab w:leader="none" w:pos="912"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w:t>
      </w:r>
    </w:p>
    <w:p>
      <w:pPr>
        <w:spacing w:after="0" w:line="225" w:lineRule="exact"/>
        <w:rPr>
          <w:rFonts w:ascii="Times New Roman" w:cs="Times New Roman" w:eastAsia="Times New Roman" w:hAnsi="Times New Roman"/>
          <w:sz w:val="18"/>
          <w:szCs w:val="18"/>
          <w:color w:val="auto"/>
        </w:rPr>
      </w:pPr>
    </w:p>
    <w:p>
      <w:pPr>
        <w:ind w:left="1512" w:hanging="216"/>
        <w:spacing w:after="0"/>
        <w:tabs>
          <w:tab w:leader="none" w:pos="1512" w:val="left"/>
        </w:tabs>
        <w:numPr>
          <w:ilvl w:val="2"/>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IPO is not consummated on or prior to twelve months from the date of this Agreement; or</w:t>
      </w: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337" w:right="359" w:bottom="1440" w:gutter="0" w:footer="0" w:header="0"/>
        </w:sectPr>
      </w:pPr>
    </w:p>
    <w:bookmarkStart w:id="142" w:name="page143"/>
    <w:bookmarkEnd w:id="142"/>
    <w:p>
      <w:pPr>
        <w:ind w:right="160" w:firstLine="1304"/>
        <w:spacing w:after="0" w:line="282" w:lineRule="auto"/>
        <w:tabs>
          <w:tab w:leader="none" w:pos="1561"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Business Combination is not consummated within 24 months from the closing of the IPO, or such later date as may be approved by the Company’s stockholders.</w:t>
      </w:r>
    </w:p>
    <w:p>
      <w:pPr>
        <w:spacing w:after="0" w:line="16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 xml:space="preserve">In the event of any termination of this Agreement pursuant to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the Forward Purchase Price (and interest thereon, if any), if previously paid with respect to any Forward Purchase Shares, and all Purchaser’s funds paid in connection herewith shall be promptly returned to the Purchaser, and thereafter this Agreement shall forthwith become null and void and have no effect, without any liability on the part of the Purchaser or the Company and their respective directors, officers, employees, partners, managers, members, or stockholders and all rights and obligations of each party shall cease;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nothing contained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relieve either party from liabilities or damages arising out of any fraud or willful breach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such party of any of its representations, warranties, covenants or agreements contained in this Agreement.</w:t>
      </w:r>
    </w:p>
    <w:p>
      <w:pPr>
        <w:spacing w:after="0" w:line="183" w:lineRule="exact"/>
        <w:rPr>
          <w:sz w:val="20"/>
          <w:szCs w:val="20"/>
          <w:color w:val="auto"/>
        </w:rPr>
      </w:pPr>
    </w:p>
    <w:p>
      <w:pPr>
        <w:ind w:left="340" w:hanging="332"/>
        <w:spacing w:after="0"/>
        <w:tabs>
          <w:tab w:leader="none" w:pos="34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Provisions.</w:t>
      </w:r>
    </w:p>
    <w:p>
      <w:pPr>
        <w:spacing w:after="0" w:line="229" w:lineRule="exact"/>
        <w:rPr>
          <w:rFonts w:ascii="Times New Roman" w:cs="Times New Roman" w:eastAsia="Times New Roman" w:hAnsi="Times New Roman"/>
          <w:sz w:val="18"/>
          <w:szCs w:val="18"/>
          <w:b w:val="1"/>
          <w:bCs w:val="1"/>
          <w:color w:val="auto"/>
        </w:rPr>
      </w:pPr>
    </w:p>
    <w:p>
      <w:pPr>
        <w:ind w:firstLine="656"/>
        <w:spacing w:after="0" w:line="254" w:lineRule="auto"/>
        <w:tabs>
          <w:tab w:leader="none" w:pos="892"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given or made pursuant to this Agreement shall be in writing and shall be deemed effectively given upon the earlier of actual receipt, or (i) personal delivery to the party to be notified, (ii) when sent, if sent by electronic mail or facsimile (if any) during normal business hours of the recipient, and if not sent during normal business hours, then on the recipient’s next Business Day, (iii) five (5) Business Days after having been sent by registered or certified mail, return receipt requested, postage prepaid, or (iv) one (1) Business Day after deposit with a nationally recognized overnight courier, freight prepaid, specifying next Business Day delivery, with written verification of receipt. All communications sent to the Company shall be sent to: CM Life Sciences, Inc., c/o Corvex Capital Management, 667 Madison Avenue, New York, New York 10065, Attn: Brian Emes, Chief Financial Officer, email: bemes@corvexcap.com, with a copy to the Company’s counsel at: White &amp; Case LLP, 1221 Avenue of the Americas, New York, New York 10022, Attn: Joel L. Rubinstein, Esq., email: jrubinstein@winston.com.</w:t>
      </w:r>
    </w:p>
    <w:p>
      <w:pPr>
        <w:spacing w:after="0" w:line="19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All communications to the Purchaser shall be sent to the Purchaser’s address as set forth on the signature page hereof, or to such e-mail address, facsimile number (if any) or address as subsequently modified by written notice given in accordance with this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0" w:firstLine="656"/>
        <w:spacing w:after="0" w:line="256" w:lineRule="auto"/>
        <w:tabs>
          <w:tab w:leader="none" w:pos="90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Finder’s Fees</w:t>
      </w:r>
      <w:r>
        <w:rPr>
          <w:rFonts w:ascii="Times New Roman" w:cs="Times New Roman" w:eastAsia="Times New Roman" w:hAnsi="Times New Roman"/>
          <w:sz w:val="18"/>
          <w:szCs w:val="18"/>
          <w:color w:val="auto"/>
        </w:rPr>
        <w:t>. Each party represents that it neither is nor will be obligated for any finder’s fee or commission in connection with this transaction. The Purchaser agrees to indemnify and to hold harmless the Company from any liability for any commission or compensation in the nature of a finder’s or broker’s fee arising out of this transaction (and the costs and expenses of defending against such liability or asserted liability) for which the Purchaser or any of its officers, employees or representatives is responsible. The Company agrees to indemnify and hold harmless the Purchaser from any liability for any commission or compensation in the nature of a finder’s or broker’s fee arising out of this transaction (and the costs and expenses of defending against such liability or asserted liability) for which the Company or any of its officers, employees or representatives is responsible.</w:t>
      </w:r>
    </w:p>
    <w:p>
      <w:pPr>
        <w:spacing w:after="0" w:line="187"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Representations and Warranties</w:t>
      </w:r>
      <w:r>
        <w:rPr>
          <w:rFonts w:ascii="Times New Roman" w:cs="Times New Roman" w:eastAsia="Times New Roman" w:hAnsi="Times New Roman"/>
          <w:sz w:val="18"/>
          <w:szCs w:val="18"/>
          <w:color w:val="auto"/>
        </w:rPr>
        <w:t>. All of the representations and warranties contained herein shall survive the Forward Closing.</w:t>
      </w:r>
    </w:p>
    <w:p>
      <w:pPr>
        <w:spacing w:after="0" w:line="225" w:lineRule="exact"/>
        <w:rPr>
          <w:rFonts w:ascii="Times New Roman" w:cs="Times New Roman" w:eastAsia="Times New Roman" w:hAnsi="Times New Roman"/>
          <w:sz w:val="18"/>
          <w:szCs w:val="18"/>
          <w:color w:val="auto"/>
        </w:rPr>
      </w:pPr>
    </w:p>
    <w:p>
      <w:pPr>
        <w:ind w:right="300" w:firstLine="656"/>
        <w:spacing w:after="0" w:line="261" w:lineRule="auto"/>
        <w:tabs>
          <w:tab w:leader="none" w:pos="90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any documents, instruments and writings that are delivered pursuant hereto or referenced herein, constitutes the entire agreement and understanding of the parties hereto in respect of its subject matter and supersedes all prior understandings, agreements, or representations by or among the parties hereto, written or oral, to the extent they relate in any way to the subject matter hereof or the transactions contemplated hereby.</w:t>
      </w:r>
    </w:p>
    <w:p>
      <w:pPr>
        <w:spacing w:after="0" w:line="179" w:lineRule="exact"/>
        <w:rPr>
          <w:rFonts w:ascii="Times New Roman" w:cs="Times New Roman" w:eastAsia="Times New Roman" w:hAnsi="Times New Roman"/>
          <w:sz w:val="18"/>
          <w:szCs w:val="18"/>
          <w:color w:val="auto"/>
        </w:rPr>
      </w:pPr>
    </w:p>
    <w:p>
      <w:pPr>
        <w:ind w:right="80" w:firstLine="656"/>
        <w:spacing w:after="0" w:line="261" w:lineRule="auto"/>
        <w:tabs>
          <w:tab w:leader="none" w:pos="892"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All of the terms, agreements, covenants, representations, warranties, and conditions of this Agreement are binding upon, and inure to the benefit of and are enforceable by, the parties hereto and their respective successors.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3" w:name="page144"/>
    <w:bookmarkEnd w:id="143"/>
    <w:p>
      <w:pPr>
        <w:ind w:left="-20" w:right="120" w:firstLine="656"/>
        <w:spacing w:after="0" w:line="282" w:lineRule="auto"/>
        <w:tabs>
          <w:tab w:leader="none" w:pos="85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Assignments</w:t>
      </w:r>
      <w:r>
        <w:rPr>
          <w:rFonts w:ascii="Times New Roman" w:cs="Times New Roman" w:eastAsia="Times New Roman" w:hAnsi="Times New Roman"/>
          <w:sz w:val="18"/>
          <w:szCs w:val="18"/>
          <w:color w:val="auto"/>
        </w:rPr>
        <w:t>. Except as otherwise specifically provided herein, no party hereto may assign either this Agreement or any of its rights, interests, or obligations hereunder without the prior written approval of the other party.</w:t>
      </w:r>
    </w:p>
    <w:p>
      <w:pPr>
        <w:spacing w:after="0" w:line="161" w:lineRule="exact"/>
        <w:rPr>
          <w:rFonts w:ascii="Times New Roman" w:cs="Times New Roman" w:eastAsia="Times New Roman" w:hAnsi="Times New Roman"/>
          <w:sz w:val="18"/>
          <w:szCs w:val="18"/>
          <w:color w:val="auto"/>
        </w:rPr>
      </w:pPr>
    </w:p>
    <w:p>
      <w:pPr>
        <w:ind w:left="-20" w:right="600" w:firstLine="656"/>
        <w:spacing w:after="0" w:line="282" w:lineRule="auto"/>
        <w:tabs>
          <w:tab w:leader="none" w:pos="88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each of which will be deemed an original but all of which together will constitute one and the same instrument.</w:t>
      </w:r>
    </w:p>
    <w:p>
      <w:pPr>
        <w:spacing w:after="0" w:line="161" w:lineRule="exact"/>
        <w:rPr>
          <w:rFonts w:ascii="Times New Roman" w:cs="Times New Roman" w:eastAsia="Times New Roman" w:hAnsi="Times New Roman"/>
          <w:sz w:val="18"/>
          <w:szCs w:val="18"/>
          <w:color w:val="auto"/>
        </w:rPr>
      </w:pPr>
    </w:p>
    <w:p>
      <w:pPr>
        <w:ind w:left="-20" w:right="200" w:firstLine="656"/>
        <w:spacing w:after="0" w:line="282" w:lineRule="auto"/>
        <w:tabs>
          <w:tab w:leader="none" w:pos="88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section headings contained in this Agreement are inserted for convenience only and will not affect in any way the meaning or interpretation of this Agreement.</w:t>
      </w:r>
    </w:p>
    <w:p>
      <w:pPr>
        <w:spacing w:after="0" w:line="161" w:lineRule="exact"/>
        <w:rPr>
          <w:rFonts w:ascii="Times New Roman" w:cs="Times New Roman" w:eastAsia="Times New Roman" w:hAnsi="Times New Roman"/>
          <w:sz w:val="18"/>
          <w:szCs w:val="18"/>
          <w:color w:val="auto"/>
        </w:rPr>
      </w:pPr>
    </w:p>
    <w:p>
      <w:pPr>
        <w:ind w:left="-20" w:right="380" w:firstLine="656"/>
        <w:spacing w:after="0" w:line="266" w:lineRule="auto"/>
        <w:tabs>
          <w:tab w:leader="none" w:pos="84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the entire relationship of the parties hereto, and any dispute between the parties (whether grounded in contract, tort, statute, law or equity) shall be governed by, construed in accordance with, and interpreted pursuant to the laws of the State of New York, without giving effect to its choice of laws principles.</w:t>
      </w:r>
    </w:p>
    <w:p>
      <w:pPr>
        <w:spacing w:after="0" w:line="175" w:lineRule="exact"/>
        <w:rPr>
          <w:rFonts w:ascii="Times New Roman" w:cs="Times New Roman" w:eastAsia="Times New Roman" w:hAnsi="Times New Roman"/>
          <w:sz w:val="18"/>
          <w:szCs w:val="18"/>
          <w:color w:val="auto"/>
        </w:rPr>
      </w:pPr>
    </w:p>
    <w:p>
      <w:pPr>
        <w:ind w:left="-20" w:firstLine="656"/>
        <w:spacing w:after="0" w:line="255" w:lineRule="auto"/>
        <w:tabs>
          <w:tab w:leader="none" w:pos="84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The parties (i) hereby irrevocably and unconditionally submit to the jurisdiction of the state courts of New York and to the jurisdiction of the United States District Court for the Southern District of New York for the purpose of any suit, action or other proceeding arising out of or based upon this Agreement, (ii) agree not to commence any suit, action or other proceeding arising out of or based upon this Agreement except in state courts of New York or the United States District Court for the Southern District of New York, and (iii)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w:t>
      </w:r>
    </w:p>
    <w:p>
      <w:pPr>
        <w:spacing w:after="0" w:line="188" w:lineRule="exact"/>
        <w:rPr>
          <w:rFonts w:ascii="Times New Roman" w:cs="Times New Roman" w:eastAsia="Times New Roman" w:hAnsi="Times New Roman"/>
          <w:sz w:val="18"/>
          <w:szCs w:val="18"/>
          <w:color w:val="auto"/>
        </w:rPr>
      </w:pPr>
    </w:p>
    <w:p>
      <w:pPr>
        <w:ind w:left="-20" w:right="140" w:firstLine="656"/>
        <w:spacing w:after="0" w:line="282" w:lineRule="auto"/>
        <w:tabs>
          <w:tab w:leader="none" w:pos="88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The parties hereto hereby waive any right to a jury trial in connection with any litigation pursuant to this Agreement and the transactions contemplated hereby.</w:t>
      </w:r>
    </w:p>
    <w:p>
      <w:pPr>
        <w:spacing w:after="0" w:line="161" w:lineRule="exact"/>
        <w:rPr>
          <w:rFonts w:ascii="Times New Roman" w:cs="Times New Roman" w:eastAsia="Times New Roman" w:hAnsi="Times New Roman"/>
          <w:sz w:val="18"/>
          <w:szCs w:val="18"/>
          <w:color w:val="auto"/>
        </w:rPr>
      </w:pPr>
    </w:p>
    <w:p>
      <w:pPr>
        <w:ind w:left="-20" w:right="100" w:firstLine="656"/>
        <w:spacing w:after="0" w:line="282" w:lineRule="auto"/>
        <w:tabs>
          <w:tab w:leader="none" w:pos="84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This Agreement may not be amended, modified or waived as to any particular provision except with the prior written consent of the Company and the Purchaser.</w:t>
      </w:r>
    </w:p>
    <w:p>
      <w:pPr>
        <w:spacing w:after="0" w:line="161" w:lineRule="exact"/>
        <w:rPr>
          <w:rFonts w:ascii="Times New Roman" w:cs="Times New Roman" w:eastAsia="Times New Roman" w:hAnsi="Times New Roman"/>
          <w:sz w:val="18"/>
          <w:szCs w:val="18"/>
          <w:color w:val="auto"/>
        </w:rPr>
      </w:pPr>
    </w:p>
    <w:p>
      <w:pPr>
        <w:ind w:left="-20" w:right="20" w:firstLine="656"/>
        <w:spacing w:after="0" w:line="256" w:lineRule="auto"/>
        <w:tabs>
          <w:tab w:leader="none" w:pos="93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The provisions of this Agreement will be deemed severable and the invalidity or unenforceability of any provision will not affect the validity or enforceability of the other provisions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any provision of this Agreement, as applied to any party hereto or to any circumstance, is adjudged by a governmental authority, arbitrator, or mediator not to be enforceable in accordance with its terms, the parties hereto agree that the governmental authority, arbitrator, or mediator making such determination will have the power to modify the provision in a manner consistent with its objectives such that it is enforceable, and/or to delete specific words or phrases, and in its reduced form, such provision will then be enforceable and will be enforced.</w:t>
      </w:r>
    </w:p>
    <w:p>
      <w:pPr>
        <w:spacing w:after="0" w:line="187" w:lineRule="exact"/>
        <w:rPr>
          <w:rFonts w:ascii="Times New Roman" w:cs="Times New Roman" w:eastAsia="Times New Roman" w:hAnsi="Times New Roman"/>
          <w:sz w:val="18"/>
          <w:szCs w:val="18"/>
          <w:color w:val="auto"/>
        </w:rPr>
      </w:pPr>
    </w:p>
    <w:p>
      <w:pPr>
        <w:ind w:left="-20" w:right="20" w:firstLine="656"/>
        <w:spacing w:after="0" w:line="261" w:lineRule="auto"/>
        <w:tabs>
          <w:tab w:leader="none" w:pos="88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Each of the Company and the Purchaser will bear its own costs and expenses incurred in connection with the preparation, execution and performance of this Agreement and the consummation of the transactions contemplated hereby, including all fees and expenses of agents, representatives, financial advisors, legal counsel and accountants. The Company shall be responsible for the fees of its transfer agent; stamp taxes and all of The Depository Trust Company’s fees associated with the issuance of the Forward Purchase Shares.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144" w:name="page145"/>
    <w:bookmarkEnd w:id="144"/>
    <w:p>
      <w:pPr>
        <w:ind w:left="-20" w:firstLine="656"/>
        <w:spacing w:after="0" w:line="253" w:lineRule="auto"/>
        <w:tabs>
          <w:tab w:leader="none" w:pos="883"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hereto have participated jointly in the negotiation and drafting of this Agreement. If an ambiguity or question of intent or interpretation arises, this Agreement will be construed as if drafted jointly by the parties hereto and no presumption or burden of proof will arise favoring or disfavoring any party hereto because of the authorship of any provision of this Agreement. Any reference to any federal, state, local, or foreign law will be deemed also to refer to law as amended and all rules and regulations promulgated thereunder, unless the context requires otherwise. The words “</w:t>
      </w:r>
      <w:r>
        <w:rPr>
          <w:rFonts w:ascii="Times New Roman" w:cs="Times New Roman" w:eastAsia="Times New Roman" w:hAnsi="Times New Roman"/>
          <w:sz w:val="18"/>
          <w:szCs w:val="18"/>
          <w:i w:val="1"/>
          <w:iCs w:val="1"/>
          <w:color w:val="auto"/>
        </w:rPr>
        <w:t>include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includes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including</w:t>
      </w:r>
      <w:r>
        <w:rPr>
          <w:rFonts w:ascii="Times New Roman" w:cs="Times New Roman" w:eastAsia="Times New Roman" w:hAnsi="Times New Roman"/>
          <w:sz w:val="18"/>
          <w:szCs w:val="18"/>
          <w:color w:val="auto"/>
        </w:rPr>
        <w:t>” will be deemed to be followed by “</w:t>
      </w:r>
      <w:r>
        <w:rPr>
          <w:rFonts w:ascii="Times New Roman" w:cs="Times New Roman" w:eastAsia="Times New Roman" w:hAnsi="Times New Roman"/>
          <w:sz w:val="18"/>
          <w:szCs w:val="18"/>
          <w:i w:val="1"/>
          <w:iCs w:val="1"/>
          <w:color w:val="auto"/>
        </w:rPr>
        <w:t>without limitation</w:t>
      </w:r>
      <w:r>
        <w:rPr>
          <w:rFonts w:ascii="Times New Roman" w:cs="Times New Roman" w:eastAsia="Times New Roman" w:hAnsi="Times New Roman"/>
          <w:sz w:val="18"/>
          <w:szCs w:val="18"/>
          <w:color w:val="auto"/>
        </w:rPr>
        <w:t>.” Pronouns in masculine, feminine, and neuter genders will be construed to include any other gender, and words in the singular form will be construed to include the plural and vice versa, unless the context otherwise requires. The words “</w:t>
      </w:r>
      <w:r>
        <w:rPr>
          <w:rFonts w:ascii="Times New Roman" w:cs="Times New Roman" w:eastAsia="Times New Roman" w:hAnsi="Times New Roman"/>
          <w:sz w:val="18"/>
          <w:szCs w:val="18"/>
          <w:i w:val="1"/>
          <w:iCs w:val="1"/>
          <w:color w:val="auto"/>
        </w:rPr>
        <w:t>this Agreement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hereof</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hereby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hereunder</w:t>
      </w:r>
      <w:r>
        <w:rPr>
          <w:rFonts w:ascii="Times New Roman" w:cs="Times New Roman" w:eastAsia="Times New Roman" w:hAnsi="Times New Roman"/>
          <w:sz w:val="18"/>
          <w:szCs w:val="18"/>
          <w:color w:val="auto"/>
        </w:rPr>
        <w:t>,” and words of similar import refer to this Agreement as a whole and not to any particular subdivision unless expressly so limited. The parties hereto intend that each representation, warranty, and covenant contained herein will have independent significance. If any party hereto has breached any representation, warranty, or covenant contained herein in any respect, the fact that there exists another representation, warranty or covenant relating to the same subject matter (regardless of the relative levels of specificity) which such party hereto has not breached will not detract from or mitigate the fact that such party hereto is in breach of the first representation, warranty, or covenant.</w:t>
      </w:r>
    </w:p>
    <w:p>
      <w:pPr>
        <w:spacing w:after="0" w:line="191" w:lineRule="exact"/>
        <w:rPr>
          <w:rFonts w:ascii="Times New Roman" w:cs="Times New Roman" w:eastAsia="Times New Roman" w:hAnsi="Times New Roman"/>
          <w:sz w:val="18"/>
          <w:szCs w:val="18"/>
          <w:color w:val="auto"/>
        </w:rPr>
      </w:pPr>
    </w:p>
    <w:p>
      <w:pPr>
        <w:jc w:val="both"/>
        <w:ind w:left="-20" w:right="140" w:firstLine="656"/>
        <w:spacing w:after="0" w:line="266" w:lineRule="auto"/>
        <w:tabs>
          <w:tab w:leader="none" w:pos="883"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by any party hereto of any default, misrepresentation, or breach of warranty or covenant hereunder, whether intentional or not, may be deemed to extend to any prior or subsequent default, misrepresentation, or breach of warranty or covenant hereunder or affect in any way any rights arising because of any prior or subsequent occurrence.</w:t>
      </w:r>
    </w:p>
    <w:p>
      <w:pPr>
        <w:spacing w:after="0" w:line="175" w:lineRule="exact"/>
        <w:rPr>
          <w:rFonts w:ascii="Times New Roman" w:cs="Times New Roman" w:eastAsia="Times New Roman" w:hAnsi="Times New Roman"/>
          <w:sz w:val="18"/>
          <w:szCs w:val="18"/>
          <w:color w:val="auto"/>
        </w:rPr>
      </w:pPr>
    </w:p>
    <w:p>
      <w:pPr>
        <w:ind w:left="-20" w:right="420" w:firstLine="656"/>
        <w:spacing w:after="0" w:line="266" w:lineRule="auto"/>
        <w:tabs>
          <w:tab w:leader="none" w:pos="883"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The Purchaser agrees that irreparable damage may occur in the event any provision of this Agreement was not performed by the Purchaser in accordance with the terms hereof and that the Company shall be entitled to specific performance of the terms hereof, in addition to any other remedy at law or equity.</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undersigned have executed this Agreement to be effective as of the date first set forth above.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CASDIN CAPITAL,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Eli Casdin</w:t>
            </w:r>
          </w:p>
        </w:tc>
      </w:tr>
      <w:tr>
        <w:trPr>
          <w:trHeight w:val="198"/>
        </w:trPr>
        <w:tc>
          <w:tcPr>
            <w:tcW w:w="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Eli Casdin</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CM LIFE SCIENCES, INC.</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Brian Emes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Brian Emes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-127635</wp:posOffset>
            </wp:positionV>
            <wp:extent cx="249428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Chief Financial Officer and Secretary</w:t>
      </w:r>
    </w:p>
    <w:p>
      <w:pPr>
        <w:spacing w:after="0" w:line="20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Forward Purchase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7120" w:type="dxa"/>
            <w:vAlign w:val="bottom"/>
            <w:gridSpan w:val="3"/>
          </w:tcPr>
          <w:p>
            <w:pPr>
              <w:jc w:val="center"/>
              <w:ind w:right="4100"/>
              <w:spacing w:after="0"/>
              <w:rPr>
                <w:sz w:val="20"/>
                <w:szCs w:val="20"/>
                <w:color w:val="auto"/>
              </w:rPr>
            </w:pPr>
            <w:r>
              <w:rPr>
                <w:rFonts w:ascii="Times New Roman" w:cs="Times New Roman" w:eastAsia="Times New Roman" w:hAnsi="Times New Roman"/>
                <w:sz w:val="18"/>
                <w:szCs w:val="18"/>
                <w:b w:val="1"/>
                <w:bCs w:val="1"/>
                <w:color w:val="auto"/>
                <w:w w:val="99"/>
              </w:rPr>
              <w:t>EXHIBIT A</w:t>
            </w:r>
          </w:p>
        </w:tc>
      </w:tr>
      <w:tr>
        <w:trPr>
          <w:trHeight w:val="432"/>
        </w:trPr>
        <w:tc>
          <w:tcPr>
            <w:tcW w:w="4120" w:type="dxa"/>
            <w:vAlign w:val="bottom"/>
          </w:tcPr>
          <w:p>
            <w:pPr>
              <w:spacing w:after="0"/>
              <w:rPr>
                <w:sz w:val="24"/>
                <w:szCs w:val="24"/>
                <w:color w:val="auto"/>
              </w:rPr>
            </w:pPr>
          </w:p>
        </w:tc>
        <w:tc>
          <w:tcPr>
            <w:tcW w:w="7120" w:type="dxa"/>
            <w:vAlign w:val="bottom"/>
            <w:gridSpan w:val="3"/>
          </w:tcPr>
          <w:p>
            <w:pPr>
              <w:jc w:val="center"/>
              <w:ind w:right="4100"/>
              <w:spacing w:after="0"/>
              <w:rPr>
                <w:sz w:val="20"/>
                <w:szCs w:val="20"/>
                <w:color w:val="auto"/>
              </w:rPr>
            </w:pPr>
            <w:r>
              <w:rPr>
                <w:rFonts w:ascii="Times New Roman" w:cs="Times New Roman" w:eastAsia="Times New Roman" w:hAnsi="Times New Roman"/>
                <w:sz w:val="18"/>
                <w:szCs w:val="18"/>
                <w:b w:val="1"/>
                <w:bCs w:val="1"/>
                <w:color w:val="auto"/>
                <w:w w:val="99"/>
              </w:rPr>
              <w:t>FORM OF PURCHASER JOINDER</w:t>
            </w:r>
          </w:p>
        </w:tc>
      </w:tr>
      <w:tr>
        <w:trPr>
          <w:trHeight w:val="432"/>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Number of Forward Purchase Shares:</w:t>
            </w:r>
          </w:p>
        </w:tc>
        <w:tc>
          <w:tcPr>
            <w:tcW w:w="5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4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Purchase Price for Forward Purchase Shares:</w:t>
            </w:r>
          </w:p>
        </w:tc>
        <w:tc>
          <w:tcPr>
            <w:tcW w:w="59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94" w:lineRule="exact"/>
        <w:rPr>
          <w:sz w:val="20"/>
          <w:szCs w:val="20"/>
          <w:color w:val="auto"/>
        </w:rPr>
      </w:pPr>
    </w:p>
    <w:p>
      <w:pPr>
        <w:jc w:val="both"/>
        <w:ind w:right="340"/>
        <w:spacing w:after="0" w:line="268" w:lineRule="auto"/>
        <w:rPr>
          <w:sz w:val="20"/>
          <w:szCs w:val="20"/>
          <w:color w:val="auto"/>
        </w:rPr>
      </w:pPr>
      <w:r>
        <w:rPr>
          <w:rFonts w:ascii="Times New Roman" w:cs="Times New Roman" w:eastAsia="Times New Roman" w:hAnsi="Times New Roman"/>
          <w:sz w:val="18"/>
          <w:szCs w:val="18"/>
          <w:b w:val="1"/>
          <w:bCs w:val="1"/>
          <w:color w:val="auto"/>
        </w:rPr>
        <w:t>TO BE EXECUTED UPON ANY ALLOCATION AND/OR REVISION IN ACCORDANCE WITH THIS AGREEMENT TO “NUMBER OF FORWARD PURCHASE SHARES” AND “AGGREGATE PURCHASE PRICE FOR FORWARD PURCHASE SECURITIES” SET FORTH ABOVE:</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Number of Forward Purchase Shares and Aggregate Purchase Price for Forward Purchase Shares as of , 20[ ], accepted and agreed to as of this day of , 20[ ].</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___________________</w:t>
      </w:r>
      <w:r>
        <w:rPr>
          <w:rFonts w:ascii="Times New Roman" w:cs="Times New Roman" w:eastAsia="Times New Roman" w:hAnsi="Times New Roman"/>
          <w:sz w:val="18"/>
          <w:szCs w:val="18"/>
          <w:b w:val="1"/>
          <w:bCs w:val="1"/>
          <w:color w:val="auto"/>
        </w:rPr>
        <w:t xml:space="preserve">  ]</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1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-127635</wp:posOffset>
            </wp:positionV>
            <wp:extent cx="249428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CM LIFE SCIENCES, INC.</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1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-127635</wp:posOffset>
            </wp:positionV>
            <wp:extent cx="249428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38"/>
        </w:trPr>
        <w:tc>
          <w:tcPr>
            <w:tcW w:w="8700" w:type="dxa"/>
            <w:vAlign w:val="bottom"/>
            <w:gridSpan w:val="2"/>
          </w:tcPr>
          <w:p>
            <w:pPr>
              <w:ind w:left="5040"/>
              <w:spacing w:after="0"/>
              <w:rPr>
                <w:sz w:val="20"/>
                <w:szCs w:val="20"/>
                <w:color w:val="auto"/>
              </w:rPr>
            </w:pPr>
            <w:r>
              <w:rPr>
                <w:rFonts w:ascii="Times New Roman" w:cs="Times New Roman" w:eastAsia="Times New Roman" w:hAnsi="Times New Roman"/>
                <w:sz w:val="18"/>
                <w:szCs w:val="18"/>
                <w:b w:val="1"/>
                <w:bCs w:val="1"/>
                <w:color w:val="auto"/>
              </w:rPr>
              <w:t>SCHEDULE A</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700" w:type="dxa"/>
            <w:vAlign w:val="bottom"/>
            <w:gridSpan w:val="2"/>
          </w:tcPr>
          <w:p>
            <w:pPr>
              <w:ind w:left="3480"/>
              <w:spacing w:after="0"/>
              <w:rPr>
                <w:sz w:val="20"/>
                <w:szCs w:val="20"/>
                <w:color w:val="auto"/>
              </w:rPr>
            </w:pPr>
            <w:r>
              <w:rPr>
                <w:rFonts w:ascii="Times New Roman" w:cs="Times New Roman" w:eastAsia="Times New Roman" w:hAnsi="Times New Roman"/>
                <w:sz w:val="18"/>
                <w:szCs w:val="18"/>
                <w:b w:val="1"/>
                <w:bCs w:val="1"/>
                <w:color w:val="auto"/>
              </w:rPr>
              <w:t>ALLOCATION OF FORWARD PURCHASE SHARES</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The following allocation of Forward Purchase Shares has been made:</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68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68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Forward</w:t>
            </w:r>
          </w:p>
        </w:tc>
      </w:tr>
      <w:tr>
        <w:trPr>
          <w:trHeight w:val="216"/>
        </w:trPr>
        <w:tc>
          <w:tcPr>
            <w:tcW w:w="68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Purchase</w:t>
            </w:r>
          </w:p>
        </w:tc>
      </w:tr>
      <w:tr>
        <w:trPr>
          <w:trHeight w:val="216"/>
        </w:trPr>
        <w:tc>
          <w:tcPr>
            <w:tcW w:w="68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Shares to be</w:t>
            </w:r>
          </w:p>
        </w:tc>
      </w:tr>
      <w:tr>
        <w:trPr>
          <w:trHeight w:val="245"/>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Purchaser(s)</w:t>
            </w: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Purchased</w:t>
            </w:r>
          </w:p>
        </w:tc>
      </w:tr>
      <w:tr>
        <w:trPr>
          <w:trHeight w:val="216"/>
        </w:trPr>
        <w:tc>
          <w:tcPr>
            <w:tcW w:w="682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right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 BE EXECUTED UPON ALLOCATION OF FORWARD PURCHASE SECURITIES:</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A as of   , 20[  ], accepted and agreed to as of this   day of   , 20[  ] by:</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700" w:type="dxa"/>
            <w:vAlign w:val="bottom"/>
            <w:gridSpan w:val="2"/>
          </w:tcPr>
          <w:p>
            <w:pPr>
              <w:ind w:left="6760"/>
              <w:spacing w:after="0"/>
              <w:rPr>
                <w:sz w:val="20"/>
                <w:szCs w:val="20"/>
                <w:color w:val="auto"/>
              </w:rPr>
            </w:pPr>
            <w:r>
              <w:rPr>
                <w:rFonts w:ascii="Times New Roman" w:cs="Times New Roman" w:eastAsia="Times New Roman" w:hAnsi="Times New Roman"/>
                <w:sz w:val="18"/>
                <w:szCs w:val="18"/>
                <w:b w:val="1"/>
                <w:bCs w:val="1"/>
                <w:color w:val="auto"/>
              </w:rPr>
              <w:t>PURCHASER:</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8700" w:type="dxa"/>
            <w:vAlign w:val="bottom"/>
            <w:gridSpan w:val="2"/>
          </w:tcPr>
          <w:p>
            <w:pPr>
              <w:ind w:left="6760"/>
              <w:spacing w:after="0" w:line="198" w:lineRule="exact"/>
              <w:rPr>
                <w:sz w:val="20"/>
                <w:szCs w:val="20"/>
                <w:color w:val="auto"/>
              </w:rPr>
            </w:pPr>
            <w:r>
              <w:rPr>
                <w:rFonts w:ascii="Times New Roman" w:cs="Times New Roman" w:eastAsia="Times New Roman" w:hAnsi="Times New Roman"/>
                <w:sz w:val="18"/>
                <w:szCs w:val="18"/>
                <w:b w:val="1"/>
                <w:bCs w:val="1"/>
                <w:color w:val="auto"/>
              </w:rPr>
              <w:t>[ ___________________</w:t>
            </w:r>
          </w:p>
        </w:tc>
        <w:tc>
          <w:tcPr>
            <w:tcW w:w="1200" w:type="dxa"/>
            <w:vAlign w:val="bottom"/>
          </w:tcPr>
          <w:p>
            <w:pPr>
              <w:jc w:val="right"/>
              <w:ind w:right="10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6820" w:type="dxa"/>
            <w:vAlign w:val="bottom"/>
          </w:tcPr>
          <w:p>
            <w:pPr>
              <w:spacing w:after="0" w:line="20" w:lineRule="exact"/>
              <w:rPr>
                <w:sz w:val="1"/>
                <w:szCs w:val="1"/>
                <w:color w:val="auto"/>
              </w:rPr>
            </w:pPr>
          </w:p>
        </w:tc>
        <w:tc>
          <w:tcPr>
            <w:tcW w:w="1880" w:type="dxa"/>
            <w:vAlign w:val="bottom"/>
            <w:tcBorders>
              <w:right w:val="single" w:sz="8" w:color="auto"/>
            </w:tcBorders>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700" w:type="dxa"/>
            <w:vAlign w:val="bottom"/>
            <w:gridSpan w:val="2"/>
          </w:tcPr>
          <w:p>
            <w:pPr>
              <w:ind w:left="6760"/>
              <w:spacing w:after="0"/>
              <w:rPr>
                <w:sz w:val="20"/>
                <w:szCs w:val="20"/>
                <w:color w:val="auto"/>
              </w:rPr>
            </w:pPr>
            <w:r>
              <w:rPr>
                <w:rFonts w:ascii="Times New Roman" w:cs="Times New Roman" w:eastAsia="Times New Roman" w:hAnsi="Times New Roman"/>
                <w:sz w:val="18"/>
                <w:szCs w:val="18"/>
                <w:color w:val="auto"/>
              </w:rPr>
              <w:t>By:</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-127635</wp:posOffset>
            </wp:positionV>
            <wp:extent cx="249428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CM LIFE SCIENCES, INC.</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1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-127635</wp:posOffset>
            </wp:positionV>
            <wp:extent cx="249428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TRANSFEREE JOINDER</w:t>
      </w:r>
    </w:p>
    <w:p>
      <w:pPr>
        <w:spacing w:after="0" w:line="225"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color w:val="auto"/>
        </w:rPr>
        <w:t>TO BE EXECUTED UPON ANY ASSIGNMENT AND/OR REVISION IN ACCORDANCE WITH THIS AGREEMENT TO “NUMBER OF FORWARD PURCHASE SHARES” AND “AGGREGATE PURCHASE PRICE FOR FORWARD PURCHASE SHARES” SET FORTH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Forward Purchase Shares:</w:t>
            </w:r>
          </w:p>
        </w:tc>
        <w:tc>
          <w:tcPr>
            <w:tcW w:w="25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20" w:type="dxa"/>
            <w:vAlign w:val="bottom"/>
            <w:gridSpan w:val="2"/>
          </w:tcPr>
          <w:p>
            <w:pPr>
              <w:spacing w:after="0"/>
              <w:rPr>
                <w:sz w:val="18"/>
                <w:szCs w:val="18"/>
                <w:color w:val="auto"/>
              </w:rPr>
            </w:pPr>
          </w:p>
        </w:tc>
        <w:tc>
          <w:tcPr>
            <w:tcW w:w="2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Purchase Price for Forward Purchase Shares:</w:t>
            </w:r>
          </w:p>
        </w:tc>
        <w:tc>
          <w:tcPr>
            <w:tcW w:w="25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414"/>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Forward Purchase Shares and Aggregate Purchase Price for Forward Purchase Shares as of</w:t>
            </w:r>
          </w:p>
        </w:tc>
        <w:tc>
          <w:tcPr>
            <w:tcW w:w="37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 202[  ], accepted and agreed to as of this</w:t>
            </w:r>
          </w:p>
        </w:tc>
      </w:t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day of</w:t>
            </w:r>
          </w:p>
        </w:tc>
        <w:tc>
          <w:tcPr>
            <w:tcW w:w="6920" w:type="dxa"/>
            <w:vAlign w:val="bottom"/>
          </w:tcPr>
          <w:p>
            <w:pPr>
              <w:jc w:val="right"/>
              <w:ind w:right="5990"/>
              <w:spacing w:after="0"/>
              <w:rPr>
                <w:sz w:val="20"/>
                <w:szCs w:val="20"/>
                <w:color w:val="auto"/>
              </w:rPr>
            </w:pPr>
            <w:r>
              <w:rPr>
                <w:rFonts w:ascii="Times New Roman" w:cs="Times New Roman" w:eastAsia="Times New Roman" w:hAnsi="Times New Roman"/>
                <w:sz w:val="18"/>
                <w:szCs w:val="18"/>
                <w:color w:val="auto"/>
              </w:rPr>
              <w:t>, 202[  ].</w:t>
            </w:r>
          </w:p>
        </w:tc>
        <w:tc>
          <w:tcPr>
            <w:tcW w:w="2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00" w:type="dxa"/>
            <w:vAlign w:val="bottom"/>
          </w:tcPr>
          <w:p>
            <w:pPr>
              <w:spacing w:after="0"/>
              <w:rPr>
                <w:sz w:val="24"/>
                <w:szCs w:val="24"/>
                <w:color w:val="auto"/>
              </w:rPr>
            </w:pPr>
          </w:p>
        </w:tc>
        <w:tc>
          <w:tcPr>
            <w:tcW w:w="6920" w:type="dxa"/>
            <w:vAlign w:val="bottom"/>
          </w:tcPr>
          <w:p>
            <w:pPr>
              <w:ind w:left="6160"/>
              <w:spacing w:after="0"/>
              <w:rPr>
                <w:sz w:val="20"/>
                <w:szCs w:val="20"/>
                <w:color w:val="auto"/>
              </w:rPr>
            </w:pPr>
            <w:r>
              <w:rPr>
                <w:rFonts w:ascii="Times New Roman" w:cs="Times New Roman" w:eastAsia="Times New Roman" w:hAnsi="Times New Roman"/>
                <w:sz w:val="18"/>
                <w:szCs w:val="18"/>
                <w:b w:val="1"/>
                <w:bCs w:val="1"/>
                <w:color w:val="auto"/>
              </w:rPr>
              <w:t>[</w:t>
            </w:r>
          </w:p>
        </w:tc>
        <w:tc>
          <w:tcPr>
            <w:tcW w:w="2500" w:type="dxa"/>
            <w:vAlign w:val="bottom"/>
          </w:tcPr>
          <w:p>
            <w:pPr>
              <w:jc w:val="right"/>
              <w:ind w:right="20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00" w:type="dxa"/>
            <w:vAlign w:val="bottom"/>
          </w:tcPr>
          <w:p>
            <w:pPr>
              <w:spacing w:after="0"/>
              <w:rPr>
                <w:sz w:val="24"/>
                <w:szCs w:val="24"/>
                <w:color w:val="auto"/>
              </w:rPr>
            </w:pPr>
          </w:p>
        </w:tc>
        <w:tc>
          <w:tcPr>
            <w:tcW w:w="6920" w:type="dxa"/>
            <w:vAlign w:val="bottom"/>
          </w:tcPr>
          <w:p>
            <w:pPr>
              <w:ind w:left="6160"/>
              <w:spacing w:after="0"/>
              <w:rPr>
                <w:sz w:val="20"/>
                <w:szCs w:val="20"/>
                <w:color w:val="auto"/>
              </w:rPr>
            </w:pPr>
            <w:r>
              <w:rPr>
                <w:rFonts w:ascii="Times New Roman" w:cs="Times New Roman" w:eastAsia="Times New Roman" w:hAnsi="Times New Roman"/>
                <w:sz w:val="18"/>
                <w:szCs w:val="18"/>
                <w:color w:val="auto"/>
              </w:rPr>
              <w:t>By:</w:t>
            </w: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-127635</wp:posOffset>
            </wp:positionV>
            <wp:extent cx="249428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CM LIFE SCIENCES, INC.</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-127635</wp:posOffset>
            </wp:positionV>
            <wp:extent cx="249428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9" w:name="page150"/>
    <w:bookmarkEnd w:id="149"/>
    <w:p>
      <w:pPr>
        <w:jc w:val="center"/>
        <w:spacing w:after="0"/>
        <w:rPr>
          <w:sz w:val="20"/>
          <w:szCs w:val="20"/>
          <w:color w:val="auto"/>
        </w:rPr>
      </w:pPr>
      <w:r>
        <w:rPr>
          <w:rFonts w:ascii="Times New Roman" w:cs="Times New Roman" w:eastAsia="Times New Roman" w:hAnsi="Times New Roman"/>
          <w:sz w:val="18"/>
          <w:szCs w:val="18"/>
          <w:b w:val="1"/>
          <w:bCs w:val="1"/>
          <w:color w:val="auto"/>
        </w:rPr>
        <w:t>SCHEDULE B</w:t>
      </w:r>
    </w:p>
    <w:p>
      <w:pPr>
        <w:spacing w:after="0" w:line="225"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SCHEDULE OF TRANSFERS OF FORWARD PURCHASE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transfers of a portion of the original number of Forward Purchase Shares have been made: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Purchaser Revised</w:t>
            </w:r>
          </w:p>
        </w:tc>
      </w:tr>
      <w:tr>
        <w:trPr>
          <w:trHeight w:val="216"/>
        </w:trPr>
        <w:tc>
          <w:tcPr>
            <w:tcW w:w="7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Forward Purchase Shares</w:t>
            </w:r>
          </w:p>
        </w:tc>
        <w:tc>
          <w:tcPr>
            <w:tcW w:w="22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Forward Purchase Shares</w:t>
            </w:r>
          </w:p>
        </w:tc>
      </w:tr>
      <w:tr>
        <w:trPr>
          <w:trHeight w:val="245"/>
        </w:trPr>
        <w:tc>
          <w:tcPr>
            <w:tcW w:w="5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Date of Transfer</w:t>
            </w:r>
          </w:p>
        </w:tc>
        <w:tc>
          <w:tcPr>
            <w:tcW w:w="120" w:type="dxa"/>
            <w:vAlign w:val="bottom"/>
          </w:tcPr>
          <w:p>
            <w:pPr>
              <w:spacing w:after="0"/>
              <w:rPr>
                <w:sz w:val="21"/>
                <w:szCs w:val="21"/>
                <w:color w:val="auto"/>
              </w:rPr>
            </w:pPr>
          </w:p>
        </w:tc>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Transferee</w:t>
            </w: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7"/>
              </w:rPr>
              <w:t>Transferred</w:t>
            </w:r>
          </w:p>
        </w:tc>
        <w:tc>
          <w:tcPr>
            <w:tcW w:w="100" w:type="dxa"/>
            <w:vAlign w:val="bottom"/>
          </w:tcPr>
          <w:p>
            <w:pPr>
              <w:spacing w:after="0"/>
              <w:rPr>
                <w:sz w:val="21"/>
                <w:szCs w:val="21"/>
                <w:color w:val="auto"/>
              </w:rPr>
            </w:pP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700" w:type="dxa"/>
            <w:vAlign w:val="bottom"/>
            <w:tcBorders>
              <w:top w:val="single" w:sz="8" w:color="auto"/>
            </w:tcBorders>
            <w:shd w:val="clear" w:color="auto" w:fill="CCEEFF"/>
          </w:tcPr>
          <w:p>
            <w:pPr>
              <w:spacing w:after="0"/>
              <w:rPr>
                <w:sz w:val="18"/>
                <w:szCs w:val="18"/>
                <w:color w:val="auto"/>
              </w:rPr>
            </w:pPr>
          </w:p>
        </w:tc>
        <w:tc>
          <w:tcPr>
            <w:tcW w:w="38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700" w:type="dxa"/>
            <w:vAlign w:val="bottom"/>
          </w:tcPr>
          <w:p>
            <w:pPr>
              <w:spacing w:after="0"/>
              <w:rPr>
                <w:sz w:val="24"/>
                <w:szCs w:val="24"/>
                <w:color w:val="auto"/>
              </w:rPr>
            </w:pPr>
          </w:p>
        </w:tc>
        <w:tc>
          <w:tcPr>
            <w:tcW w:w="10540" w:type="dxa"/>
            <w:vAlign w:val="bottom"/>
            <w:gridSpan w:val="11"/>
          </w:tcPr>
          <w:p>
            <w:pPr>
              <w:ind w:left="180"/>
              <w:spacing w:after="0"/>
              <w:rPr>
                <w:sz w:val="20"/>
                <w:szCs w:val="20"/>
                <w:color w:val="auto"/>
              </w:rPr>
            </w:pPr>
            <w:r>
              <w:rPr>
                <w:rFonts w:ascii="Times New Roman" w:cs="Times New Roman" w:eastAsia="Times New Roman" w:hAnsi="Times New Roman"/>
                <w:sz w:val="18"/>
                <w:szCs w:val="18"/>
                <w:b w:val="1"/>
                <w:bCs w:val="1"/>
                <w:color w:val="auto"/>
              </w:rPr>
              <w:t>TO BE EXECUTED UPON ANY ASSIGNMENT OR FINAL DETERMINATION OF FORWARD PURCHASE SHARES:</w:t>
            </w:r>
          </w:p>
        </w:tc>
      </w:tr>
      <w:tr>
        <w:trPr>
          <w:trHeight w:val="432"/>
        </w:trPr>
        <w:tc>
          <w:tcPr>
            <w:tcW w:w="5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A as of   , 202[  ], accepted and agreed to as of this   day of</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202[  ] by:</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3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CM LIFE SCIENCES, INC.</w:t>
            </w: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5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3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By:</w:t>
            </w: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20" w:type="dxa"/>
            <w:vAlign w:val="bottom"/>
            <w:tcBorders>
              <w:top w:val="single" w:sz="8" w:color="auto"/>
              <w:bottom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Name:</w:t>
            </w:r>
          </w:p>
        </w:tc>
        <w:tc>
          <w:tcPr>
            <w:tcW w:w="1600" w:type="dxa"/>
            <w:vAlign w:val="bottom"/>
            <w:tcBorders>
              <w:top w:val="single" w:sz="8" w:color="auto"/>
              <w:bottom w:val="single" w:sz="8" w:color="auto"/>
            </w:tcBorders>
            <w:gridSpan w:val="2"/>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0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r>
      <w:tr>
        <w:trPr>
          <w:trHeight w:val="223"/>
        </w:trPr>
        <w:tc>
          <w:tcPr>
            <w:tcW w:w="7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Title:</w:t>
            </w:r>
          </w:p>
        </w:tc>
        <w:tc>
          <w:tcPr>
            <w:tcW w:w="3820" w:type="dxa"/>
            <w:vAlign w:val="bottom"/>
            <w:tcBorders>
              <w:bottom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Title:</w:t>
            </w:r>
          </w:p>
        </w:tc>
        <w:tc>
          <w:tcPr>
            <w:tcW w:w="1600" w:type="dxa"/>
            <w:vAlign w:val="bottom"/>
            <w:tcBorders>
              <w:bottom w:val="single" w:sz="8" w:color="auto"/>
            </w:tcBorders>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r>
      <w:tr>
        <w:trPr>
          <w:trHeight w:val="1559"/>
        </w:trPr>
        <w:tc>
          <w:tcPr>
            <w:tcW w:w="7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-864870</wp:posOffset>
            </wp:positionV>
            <wp:extent cx="882650" cy="5746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82650" cy="57467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FORWARD PURCHASE AGREEMENT</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This Forward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September 1, 2020, by and between CM Life Sciences,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Corvex Management LP, a Delaware limited partnership, acting solely in its capacity as investment advisor (in such capacity, the “</w:t>
      </w:r>
      <w:r>
        <w:rPr>
          <w:rFonts w:ascii="Times New Roman" w:cs="Times New Roman" w:eastAsia="Times New Roman" w:hAnsi="Times New Roman"/>
          <w:sz w:val="18"/>
          <w:szCs w:val="18"/>
          <w:u w:val="single" w:color="auto"/>
          <w:color w:val="auto"/>
        </w:rPr>
        <w:t>Advisor</w:t>
      </w:r>
      <w:r>
        <w:rPr>
          <w:rFonts w:ascii="Times New Roman" w:cs="Times New Roman" w:eastAsia="Times New Roman" w:hAnsi="Times New Roman"/>
          <w:sz w:val="18"/>
          <w:szCs w:val="18"/>
          <w:color w:val="auto"/>
        </w:rPr>
        <w:t>”) to one or more investment funds, clients or accounts (collectively, “</w:t>
      </w:r>
      <w:r>
        <w:rPr>
          <w:rFonts w:ascii="Times New Roman" w:cs="Times New Roman" w:eastAsia="Times New Roman" w:hAnsi="Times New Roman"/>
          <w:sz w:val="18"/>
          <w:szCs w:val="18"/>
          <w:u w:val="single" w:color="auto"/>
          <w:color w:val="auto"/>
        </w:rPr>
        <w:t>Clients</w:t>
      </w:r>
      <w:r>
        <w:rPr>
          <w:rFonts w:ascii="Times New Roman" w:cs="Times New Roman" w:eastAsia="Times New Roman" w:hAnsi="Times New Roman"/>
          <w:sz w:val="18"/>
          <w:szCs w:val="18"/>
          <w:color w:val="auto"/>
        </w:rPr>
        <w:t>”) managed from time to time by the Advisor.</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9"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was incorporated for the purpose of effecting a merger, capital stock exchange, asset acquisition, stock purchase, reorganization or similar business combination with one or more businesses (a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WHEREAS, the Company has filed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 registration statement on Form S-1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for its initial public offering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of 38,500,000 units (or 44,275,000 units if the underwriters’ over-allotment option (the “</w:t>
      </w:r>
      <w:r>
        <w:rPr>
          <w:rFonts w:ascii="Times New Roman" w:cs="Times New Roman" w:eastAsia="Times New Roman" w:hAnsi="Times New Roman"/>
          <w:sz w:val="18"/>
          <w:szCs w:val="18"/>
          <w:u w:val="single" w:color="auto"/>
          <w:color w:val="auto"/>
        </w:rPr>
        <w:t>IPO Option</w:t>
      </w:r>
      <w:r>
        <w:rPr>
          <w:rFonts w:ascii="Times New Roman" w:cs="Times New Roman" w:eastAsia="Times New Roman" w:hAnsi="Times New Roman"/>
          <w:sz w:val="18"/>
          <w:szCs w:val="18"/>
          <w:color w:val="auto"/>
        </w:rPr>
        <w:t>”) is exercised in full) (the “</w:t>
      </w:r>
      <w:r>
        <w:rPr>
          <w:rFonts w:ascii="Times New Roman" w:cs="Times New Roman" w:eastAsia="Times New Roman" w:hAnsi="Times New Roman"/>
          <w:sz w:val="18"/>
          <w:szCs w:val="18"/>
          <w:u w:val="single" w:color="auto"/>
          <w:color w:val="auto"/>
        </w:rPr>
        <w:t>Public Units</w:t>
      </w:r>
      <w:r>
        <w:rPr>
          <w:rFonts w:ascii="Times New Roman" w:cs="Times New Roman" w:eastAsia="Times New Roman" w:hAnsi="Times New Roman"/>
          <w:sz w:val="18"/>
          <w:szCs w:val="18"/>
          <w:color w:val="auto"/>
        </w:rPr>
        <w:t>”) at a price of $10.00 per Public Unit, each Public Unit comprised of one share of the Company’s Class A common stock, par value $0.0001 per share (the “</w:t>
      </w:r>
      <w:r>
        <w:rPr>
          <w:rFonts w:ascii="Times New Roman" w:cs="Times New Roman" w:eastAsia="Times New Roman" w:hAnsi="Times New Roman"/>
          <w:sz w:val="18"/>
          <w:szCs w:val="18"/>
          <w:u w:val="single" w:color="auto"/>
          <w:color w:val="auto"/>
        </w:rPr>
        <w:t>Class A Shares</w:t>
      </w:r>
      <w:r>
        <w:rPr>
          <w:rFonts w:ascii="Times New Roman" w:cs="Times New Roman" w:eastAsia="Times New Roman" w:hAnsi="Times New Roman"/>
          <w:sz w:val="18"/>
          <w:szCs w:val="18"/>
          <w:color w:val="auto"/>
        </w:rPr>
        <w:t>,” and the Class A Shares included in the Public Units, the “</w:t>
      </w:r>
      <w:r>
        <w:rPr>
          <w:rFonts w:ascii="Times New Roman" w:cs="Times New Roman" w:eastAsia="Times New Roman" w:hAnsi="Times New Roman"/>
          <w:sz w:val="18"/>
          <w:szCs w:val="18"/>
          <w:u w:val="single" w:color="auto"/>
          <w:color w:val="auto"/>
        </w:rPr>
        <w:t>Public Shares</w:t>
      </w:r>
      <w:r>
        <w:rPr>
          <w:rFonts w:ascii="Times New Roman" w:cs="Times New Roman" w:eastAsia="Times New Roman" w:hAnsi="Times New Roman"/>
          <w:sz w:val="18"/>
          <w:szCs w:val="18"/>
          <w:color w:val="auto"/>
        </w:rPr>
        <w:t>”), and one-third of one redeemable warrant, where each whole redeemable warrant is exercisable to purchase one Class A Share at an exercise price of $11.50 per share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and the Warrants included in the Public Units, the “</w:t>
      </w:r>
      <w:r>
        <w:rPr>
          <w:rFonts w:ascii="Times New Roman" w:cs="Times New Roman" w:eastAsia="Times New Roman" w:hAnsi="Times New Roman"/>
          <w:sz w:val="18"/>
          <w:szCs w:val="18"/>
          <w:u w:val="single" w:color="auto"/>
          <w:color w:val="auto"/>
        </w:rPr>
        <w:t>Public Warrants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WHEREAS, the Company’s sponsor, CMLS Holdings, LLC, and certain of the Company’s independent director nominees have severally agreed to purchase an aggregate of 6,466,667 warrants (or 7,236,667 warrants if the IPO Option is exercised in full) at a price of $1.50 per warrant in a private placement that will close simultaneously with the closing of the IPO (the “</w:t>
      </w:r>
      <w:r>
        <w:rPr>
          <w:rFonts w:ascii="Times New Roman" w:cs="Times New Roman" w:eastAsia="Times New Roman" w:hAnsi="Times New Roman"/>
          <w:sz w:val="18"/>
          <w:szCs w:val="18"/>
          <w:u w:val="single" w:color="auto"/>
          <w:color w:val="auto"/>
        </w:rPr>
        <w:t>Private Placement Warrants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following the closing of the IPO (the “</w:t>
      </w:r>
      <w:r>
        <w:rPr>
          <w:rFonts w:ascii="Times New Roman" w:cs="Times New Roman" w:eastAsia="Times New Roman" w:hAnsi="Times New Roman"/>
          <w:sz w:val="18"/>
          <w:szCs w:val="18"/>
          <w:u w:val="single" w:color="auto"/>
          <w:color w:val="auto"/>
        </w:rPr>
        <w:t>IPO Closing</w:t>
      </w:r>
      <w:r>
        <w:rPr>
          <w:rFonts w:ascii="Times New Roman" w:cs="Times New Roman" w:eastAsia="Times New Roman" w:hAnsi="Times New Roman"/>
          <w:sz w:val="18"/>
          <w:szCs w:val="18"/>
          <w:color w:val="auto"/>
        </w:rPr>
        <w:t>”), the Company will seek to identify and consummate a Business Combination;</w:t>
      </w:r>
    </w:p>
    <w:p>
      <w:pPr>
        <w:spacing w:after="0" w:line="225"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WHEREAS, the parties wish to enter into this Agreement, pursuant to which, concurrently with the closing of the Company’s initial Business Combination (the “</w:t>
      </w:r>
      <w:r>
        <w:rPr>
          <w:rFonts w:ascii="Times New Roman" w:cs="Times New Roman" w:eastAsia="Times New Roman" w:hAnsi="Times New Roman"/>
          <w:sz w:val="18"/>
          <w:szCs w:val="18"/>
          <w:u w:val="single" w:color="auto"/>
          <w:color w:val="auto"/>
        </w:rPr>
        <w:t>Business Combination Closing</w:t>
      </w:r>
      <w:r>
        <w:rPr>
          <w:rFonts w:ascii="Times New Roman" w:cs="Times New Roman" w:eastAsia="Times New Roman" w:hAnsi="Times New Roman"/>
          <w:sz w:val="18"/>
          <w:szCs w:val="18"/>
          <w:color w:val="auto"/>
        </w:rPr>
        <w:t>”), the Company shall issue and sell to each Purchaser (as defined below), and each Purchaser shall purchase from the Company, on a private placement basis, the number of Class A Shares (the “</w:t>
      </w:r>
      <w:r>
        <w:rPr>
          <w:rFonts w:ascii="Times New Roman" w:cs="Times New Roman" w:eastAsia="Times New Roman" w:hAnsi="Times New Roman"/>
          <w:sz w:val="18"/>
          <w:szCs w:val="18"/>
          <w:u w:val="single" w:color="auto"/>
          <w:color w:val="auto"/>
        </w:rPr>
        <w:t>Forward Purchase Shares</w:t>
      </w:r>
      <w:r>
        <w:rPr>
          <w:rFonts w:ascii="Times New Roman" w:cs="Times New Roman" w:eastAsia="Times New Roman" w:hAnsi="Times New Roman"/>
          <w:sz w:val="18"/>
          <w:szCs w:val="18"/>
          <w:color w:val="auto"/>
        </w:rPr>
        <w:t xml:space="preserve">”) determined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xml:space="preserve"> hereof, subject to the terms and conditions set forth herein;</w:t>
      </w:r>
    </w:p>
    <w:p>
      <w:pPr>
        <w:spacing w:after="0" w:line="180"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WHEREAS, concurrently with this Agreement, the Company has entered into an agreement in the form of this Agreement (the “</w:t>
      </w:r>
      <w:r>
        <w:rPr>
          <w:rFonts w:ascii="Times New Roman" w:cs="Times New Roman" w:eastAsia="Times New Roman" w:hAnsi="Times New Roman"/>
          <w:sz w:val="18"/>
          <w:szCs w:val="18"/>
          <w:u w:val="single" w:color="auto"/>
          <w:color w:val="auto"/>
        </w:rPr>
        <w:t>Other Forward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with Casdin Capital, LLC, acting solely in its capacity as investment advisor to one or more Clients managed from time to time by such advisor pursuant to which such advisor may allocate to one or more of such Clients or assign to one or more third parties the obligation to purchase forward purchase shares (the advisor under the Other Forward Contract together with the Advisor, the “</w:t>
      </w:r>
      <w:r>
        <w:rPr>
          <w:rFonts w:ascii="Times New Roman" w:cs="Times New Roman" w:eastAsia="Times New Roman" w:hAnsi="Times New Roman"/>
          <w:sz w:val="18"/>
          <w:szCs w:val="18"/>
          <w:u w:val="single" w:color="auto"/>
          <w:color w:val="auto"/>
        </w:rPr>
        <w:t>Advisors</w:t>
      </w:r>
      <w:r>
        <w:rPr>
          <w:rFonts w:ascii="Times New Roman" w:cs="Times New Roman" w:eastAsia="Times New Roman" w:hAnsi="Times New Roman"/>
          <w:sz w:val="18"/>
          <w:szCs w:val="18"/>
          <w:color w:val="auto"/>
        </w:rPr>
        <w:t>,” and the purchasers under the Other Forward Contract together with the Purchasers, the “</w:t>
      </w:r>
      <w:r>
        <w:rPr>
          <w:rFonts w:ascii="Times New Roman" w:cs="Times New Roman" w:eastAsia="Times New Roman" w:hAnsi="Times New Roman"/>
          <w:sz w:val="18"/>
          <w:szCs w:val="18"/>
          <w:u w:val="single" w:color="auto"/>
          <w:color w:val="auto"/>
        </w:rPr>
        <w:t>Forward Contract Parties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Forward Contract Party</w:t>
      </w:r>
      <w:r>
        <w:rPr>
          <w:rFonts w:ascii="Times New Roman" w:cs="Times New Roman" w:eastAsia="Times New Roman" w:hAnsi="Times New Roman"/>
          <w:sz w:val="18"/>
          <w:szCs w:val="18"/>
          <w:color w:val="auto"/>
        </w:rPr>
        <w:t>”) for the purchase of up to an aggregate of 7,500,000 Class A Shares, for a purchase price of $10.00 per share, upon the Business Combination Closing for an aggregate purchase price of $75,000,000;</w:t>
      </w:r>
    </w:p>
    <w:p>
      <w:pPr>
        <w:spacing w:after="0" w:line="18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WHEREAS, proceeds from the IPO and the sale of the Private Placement Warrants in an aggregate amount equal to the gross proceeds from the IPO will be deposited into a trust account for the benefit of the holders of the Public Shares (the “</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as described in the Registration Statement;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1" w:name="page152"/>
    <w:bookmarkEnd w:id="151"/>
    <w:p>
      <w:pPr>
        <w:ind w:firstLine="648"/>
        <w:spacing w:after="0" w:line="258" w:lineRule="auto"/>
        <w:rPr>
          <w:sz w:val="20"/>
          <w:szCs w:val="20"/>
          <w:color w:val="auto"/>
        </w:rPr>
      </w:pPr>
      <w:r>
        <w:rPr>
          <w:rFonts w:ascii="Times New Roman" w:cs="Times New Roman" w:eastAsia="Times New Roman" w:hAnsi="Times New Roman"/>
          <w:sz w:val="18"/>
          <w:szCs w:val="18"/>
          <w:color w:val="auto"/>
        </w:rPr>
        <w:t>WHEREAS, the amounts available to the Company from the Trust Account (after giving effect to any redemptions of Public Shares) and any other equity or debt financing obtained by the Company in connection with the initial Business Combination (the “</w:t>
      </w:r>
      <w:r>
        <w:rPr>
          <w:rFonts w:ascii="Times New Roman" w:cs="Times New Roman" w:eastAsia="Times New Roman" w:hAnsi="Times New Roman"/>
          <w:sz w:val="18"/>
          <w:szCs w:val="18"/>
          <w:u w:val="single" w:color="auto"/>
          <w:color w:val="auto"/>
        </w:rPr>
        <w:t>Available Cash</w:t>
      </w:r>
      <w:r>
        <w:rPr>
          <w:rFonts w:ascii="Times New Roman" w:cs="Times New Roman" w:eastAsia="Times New Roman" w:hAnsi="Times New Roman"/>
          <w:sz w:val="18"/>
          <w:szCs w:val="18"/>
          <w:color w:val="auto"/>
        </w:rPr>
        <w:t>”), together with the proceeds from the sale of the Forward Purchase Shares, will be used to satisfy the cash requirements of the initial Business Combination, including funding the purchase price and paying expenses and retaining amounts specified in the definitive agreement for the initial Business Combination (the “</w:t>
      </w:r>
      <w:r>
        <w:rPr>
          <w:rFonts w:ascii="Times New Roman" w:cs="Times New Roman" w:eastAsia="Times New Roman" w:hAnsi="Times New Roman"/>
          <w:sz w:val="18"/>
          <w:szCs w:val="18"/>
          <w:u w:val="single" w:color="auto"/>
          <w:color w:val="auto"/>
        </w:rPr>
        <w:t>Definitive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to be retained for use by the post-initial Business Combination company for working capital or other purposes (the “</w:t>
      </w:r>
      <w:r>
        <w:rPr>
          <w:rFonts w:ascii="Times New Roman" w:cs="Times New Roman" w:eastAsia="Times New Roman" w:hAnsi="Times New Roman"/>
          <w:sz w:val="18"/>
          <w:szCs w:val="18"/>
          <w:u w:val="single" w:color="auto"/>
          <w:color w:val="auto"/>
        </w:rPr>
        <w:t>Cash Requirements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representations, warranties and the mutual covenants contained in this Agreement, and for other good and valuable consideration, the receipt, sufficiency and adequacy of which are hereby acknowledged, the parties hereto agree as follows: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5" w:lineRule="exact"/>
        <w:rPr>
          <w:sz w:val="20"/>
          <w:szCs w:val="20"/>
          <w:color w:val="auto"/>
        </w:rPr>
      </w:pPr>
    </w:p>
    <w:p>
      <w:pPr>
        <w:ind w:left="340" w:hanging="332"/>
        <w:spacing w:after="0"/>
        <w:tabs>
          <w:tab w:leader="none" w:pos="34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 and Purchase.</w:t>
      </w:r>
    </w:p>
    <w:p>
      <w:pPr>
        <w:spacing w:after="0" w:line="229" w:lineRule="exact"/>
        <w:rPr>
          <w:rFonts w:ascii="Times New Roman" w:cs="Times New Roman" w:eastAsia="Times New Roman" w:hAnsi="Times New Roman"/>
          <w:sz w:val="18"/>
          <w:szCs w:val="18"/>
          <w:b w:val="1"/>
          <w:bCs w:val="1"/>
          <w:color w:val="auto"/>
        </w:rPr>
      </w:pPr>
    </w:p>
    <w:p>
      <w:pPr>
        <w:ind w:left="900" w:hanging="244"/>
        <w:spacing w:after="0"/>
        <w:tabs>
          <w:tab w:leader="none" w:pos="90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Forward Purchase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1304"/>
        <w:spacing w:after="0" w:line="261" w:lineRule="auto"/>
        <w:tabs>
          <w:tab w:leader="none" w:pos="1511" w:val="left"/>
        </w:tabs>
        <w:numPr>
          <w:ilvl w:val="2"/>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Sections 1(a)(ii)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hereof, the Company shall issue and sell to the Purchaser or Purchasers, determined as set forth in </w:t>
      </w:r>
      <w:r>
        <w:rPr>
          <w:rFonts w:ascii="Times New Roman" w:cs="Times New Roman" w:eastAsia="Times New Roman" w:hAnsi="Times New Roman"/>
          <w:sz w:val="18"/>
          <w:szCs w:val="18"/>
          <w:u w:val="single" w:color="auto"/>
          <w:color w:val="auto"/>
        </w:rPr>
        <w:t>Section 1(a)(ii)(B)</w:t>
      </w:r>
      <w:r>
        <w:rPr>
          <w:rFonts w:ascii="Times New Roman" w:cs="Times New Roman" w:eastAsia="Times New Roman" w:hAnsi="Times New Roman"/>
          <w:sz w:val="18"/>
          <w:szCs w:val="18"/>
          <w:color w:val="auto"/>
        </w:rPr>
        <w:t xml:space="preserve"> hereof, and the Purchaser or Purchasers shall purchase from the Company, up to an aggregate maximum of 7,500,000 Forward Purchase Shares (the “</w:t>
      </w:r>
      <w:r>
        <w:rPr>
          <w:rFonts w:ascii="Times New Roman" w:cs="Times New Roman" w:eastAsia="Times New Roman" w:hAnsi="Times New Roman"/>
          <w:sz w:val="18"/>
          <w:szCs w:val="18"/>
          <w:u w:val="single" w:color="auto"/>
          <w:color w:val="auto"/>
        </w:rPr>
        <w:t>Maximum Shares</w:t>
      </w:r>
      <w:r>
        <w:rPr>
          <w:rFonts w:ascii="Times New Roman" w:cs="Times New Roman" w:eastAsia="Times New Roman" w:hAnsi="Times New Roman"/>
          <w:sz w:val="18"/>
          <w:szCs w:val="18"/>
          <w:color w:val="auto"/>
        </w:rPr>
        <w:t>”), for a purchase price of $10.00 per Forward Purchase Share (the “</w:t>
      </w:r>
      <w:r>
        <w:rPr>
          <w:rFonts w:ascii="Times New Roman" w:cs="Times New Roman" w:eastAsia="Times New Roman" w:hAnsi="Times New Roman"/>
          <w:sz w:val="18"/>
          <w:szCs w:val="18"/>
          <w:u w:val="single" w:color="auto"/>
          <w:color w:val="auto"/>
        </w:rPr>
        <w:t>Forward Purchase Price</w:t>
      </w:r>
      <w:r>
        <w:rPr>
          <w:rFonts w:ascii="Times New Roman" w:cs="Times New Roman" w:eastAsia="Times New Roman" w:hAnsi="Times New Roman"/>
          <w:sz w:val="18"/>
          <w:szCs w:val="18"/>
          <w:color w:val="auto"/>
        </w:rPr>
        <w:t>”), or up to a maximum of $75,000,000 in the aggregate.</w:t>
      </w:r>
    </w:p>
    <w:p>
      <w:pPr>
        <w:spacing w:after="0" w:line="179" w:lineRule="exact"/>
        <w:rPr>
          <w:rFonts w:ascii="Times New Roman" w:cs="Times New Roman" w:eastAsia="Times New Roman" w:hAnsi="Times New Roman"/>
          <w:sz w:val="18"/>
          <w:szCs w:val="18"/>
          <w:color w:val="auto"/>
        </w:rPr>
      </w:pPr>
    </w:p>
    <w:p>
      <w:pPr>
        <w:ind w:right="160" w:firstLine="1304"/>
        <w:spacing w:after="0" w:line="282" w:lineRule="auto"/>
        <w:tabs>
          <w:tab w:leader="none" w:pos="1561" w:val="left"/>
        </w:tabs>
        <w:numPr>
          <w:ilvl w:val="2"/>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Forward Purchase Shares to be issued and sold by the Company and purchased by each Purchaser hereunder shall be determined as follows:</w:t>
      </w:r>
    </w:p>
    <w:p>
      <w:pPr>
        <w:spacing w:after="0" w:line="161" w:lineRule="exact"/>
        <w:rPr>
          <w:rFonts w:ascii="Times New Roman" w:cs="Times New Roman" w:eastAsia="Times New Roman" w:hAnsi="Times New Roman"/>
          <w:sz w:val="18"/>
          <w:szCs w:val="18"/>
          <w:color w:val="auto"/>
        </w:rPr>
      </w:pPr>
    </w:p>
    <w:p>
      <w:pPr>
        <w:ind w:right="40" w:firstLine="1547"/>
        <w:spacing w:after="0" w:line="255" w:lineRule="auto"/>
        <w:tabs>
          <w:tab w:leader="none" w:pos="1824" w:val="left"/>
        </w:tabs>
        <w:numPr>
          <w:ilvl w:val="3"/>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but in no event less than fifteen (15) Business Days prior to the Company’s entry into the Definitive Agreement, the Company shall provide the Advisor with notice (the “</w:t>
      </w:r>
      <w:r>
        <w:rPr>
          <w:rFonts w:ascii="Times New Roman" w:cs="Times New Roman" w:eastAsia="Times New Roman" w:hAnsi="Times New Roman"/>
          <w:sz w:val="18"/>
          <w:szCs w:val="18"/>
          <w:u w:val="single" w:color="auto"/>
          <w:color w:val="auto"/>
        </w:rPr>
        <w:t>Initial Company Notice</w:t>
      </w:r>
      <w:r>
        <w:rPr>
          <w:rFonts w:ascii="Times New Roman" w:cs="Times New Roman" w:eastAsia="Times New Roman" w:hAnsi="Times New Roman"/>
          <w:sz w:val="18"/>
          <w:szCs w:val="18"/>
          <w:color w:val="auto"/>
        </w:rPr>
        <w:t xml:space="preserve">”) of the number of Forward Purchase Shares desired to be issued and sold by the Company pursuant to this Agreement. Such number of Forward Purchase Shares shall be determined by the Company, in its sole discretion, based on, but not limited to, the Cash Requirements and the Available Cash;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such number shall in no event exceed the Maximum Shares. Following delivery of the Initial Company Notice, the Company shall provide the Advisor with such other information as the Advisor (or any applicable Transferee pursuant to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hereof) may reasonably request so that the Advisor may appropriately determine the allocation of the Forward Purchase Shares pursuant to </w:t>
      </w:r>
      <w:r>
        <w:rPr>
          <w:rFonts w:ascii="Times New Roman" w:cs="Times New Roman" w:eastAsia="Times New Roman" w:hAnsi="Times New Roman"/>
          <w:sz w:val="18"/>
          <w:szCs w:val="18"/>
          <w:u w:val="single" w:color="auto"/>
          <w:color w:val="auto"/>
        </w:rPr>
        <w:t>Section 1(a)(ii)(C)</w:t>
      </w:r>
      <w:r>
        <w:rPr>
          <w:rFonts w:ascii="Times New Roman" w:cs="Times New Roman" w:eastAsia="Times New Roman" w:hAnsi="Times New Roman"/>
          <w:sz w:val="18"/>
          <w:szCs w:val="18"/>
          <w:color w:val="auto"/>
        </w:rPr>
        <w:t xml:space="preserve"> hereof.</w:t>
      </w:r>
    </w:p>
    <w:p>
      <w:pPr>
        <w:spacing w:after="0" w:line="188" w:lineRule="exact"/>
        <w:rPr>
          <w:rFonts w:ascii="Times New Roman" w:cs="Times New Roman" w:eastAsia="Times New Roman" w:hAnsi="Times New Roman"/>
          <w:sz w:val="18"/>
          <w:szCs w:val="18"/>
          <w:color w:val="auto"/>
        </w:rPr>
      </w:pPr>
    </w:p>
    <w:p>
      <w:pPr>
        <w:ind w:left="1840" w:hanging="293"/>
        <w:spacing w:after="0"/>
        <w:tabs>
          <w:tab w:leader="none" w:pos="1840" w:val="left"/>
        </w:tabs>
        <w:numPr>
          <w:ilvl w:val="3"/>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1(a)(ii)(C) hereof, within ten (10) Business Days after receipt of the Initial Company Notice, the Advisor shall</w:t>
      </w:r>
    </w:p>
    <w:p>
      <w:pPr>
        <w:spacing w:after="0" w:line="27" w:lineRule="exact"/>
        <w:rPr>
          <w:rFonts w:ascii="Times New Roman" w:cs="Times New Roman" w:eastAsia="Times New Roman" w:hAnsi="Times New Roman"/>
          <w:sz w:val="18"/>
          <w:szCs w:val="18"/>
          <w:color w:val="auto"/>
        </w:rPr>
      </w:pPr>
    </w:p>
    <w:p>
      <w:pPr>
        <w:ind w:right="3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allocate to one or more Clients or, in lieu of allocating to a Client, assign to one or more third parties (together with the Clients,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 and individually,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in whole or in part, the obligation to purchase the Forward Purchase Shares set forth in the Initial Company Notice and (ii) provide the Company with notice (the “</w:t>
      </w:r>
      <w:r>
        <w:rPr>
          <w:rFonts w:ascii="Times New Roman" w:cs="Times New Roman" w:eastAsia="Times New Roman" w:hAnsi="Times New Roman"/>
          <w:sz w:val="18"/>
          <w:szCs w:val="18"/>
          <w:u w:val="single" w:color="auto"/>
          <w:color w:val="auto"/>
        </w:rPr>
        <w:t>Initial Purchaser Notice</w:t>
      </w:r>
      <w:r>
        <w:rPr>
          <w:rFonts w:ascii="Times New Roman" w:cs="Times New Roman" w:eastAsia="Times New Roman" w:hAnsi="Times New Roman"/>
          <w:sz w:val="18"/>
          <w:szCs w:val="18"/>
          <w:color w:val="auto"/>
        </w:rPr>
        <w:t>”) of the identity of each Purchaser and the number of Forward Purchase Shares it has allocated or assigned to each Purchaser pursuant to this Agreement, if any, which shall not exceed the Maximum Shares. Upon such allocation or assignment:</w:t>
      </w:r>
    </w:p>
    <w:p>
      <w:pPr>
        <w:spacing w:after="0" w:line="186" w:lineRule="exact"/>
        <w:rPr>
          <w:rFonts w:ascii="Times New Roman" w:cs="Times New Roman" w:eastAsia="Times New Roman" w:hAnsi="Times New Roman"/>
          <w:sz w:val="18"/>
          <w:szCs w:val="18"/>
          <w:color w:val="auto"/>
        </w:rPr>
      </w:pPr>
    </w:p>
    <w:p>
      <w:pPr>
        <w:ind w:firstLine="2276"/>
        <w:spacing w:after="0" w:line="253" w:lineRule="auto"/>
        <w:tabs>
          <w:tab w:leader="none" w:pos="2448" w:val="left"/>
        </w:tabs>
        <w:numPr>
          <w:ilvl w:val="4"/>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Purchaser shall execute a signature page to this Agreement, substantially in the form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 “</w:t>
      </w:r>
      <w:r>
        <w:rPr>
          <w:rFonts w:ascii="Times New Roman" w:cs="Times New Roman" w:eastAsia="Times New Roman" w:hAnsi="Times New Roman"/>
          <w:sz w:val="18"/>
          <w:szCs w:val="18"/>
          <w:u w:val="single" w:color="auto"/>
          <w:color w:val="auto"/>
        </w:rPr>
        <w:t>Purchaser Joinder</w:t>
      </w:r>
      <w:r>
        <w:rPr>
          <w:rFonts w:ascii="Times New Roman" w:cs="Times New Roman" w:eastAsia="Times New Roman" w:hAnsi="Times New Roman"/>
          <w:sz w:val="18"/>
          <w:szCs w:val="18"/>
          <w:color w:val="auto"/>
        </w:rPr>
        <w:t xml:space="preserve">”), which shall reflect the number of Forward Purchase Shares to be purchased by such Purchaser and shall constitute the binding obligation of such Purchaser to purchase such Forward Purchase Shares, subject to the terms and conditions of this Agreement, and, upon such execution, such Purchaser shall have all the rights and obligations of a Purchaser hereunder with respect to such Forward Purchase Shares and shall make all of the representations, warranties, covenants and agreements of a Purchaser hereunder, and references herein to the “Purchaser” shall be deemed to refer to such Purchaser and to its Forward Purchase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representations, warranties, covenants and agreements of such Purchaser and any other Purchaser shall be several and not joint and shall be made as to such Purchaser or any other Purchaser, as applicable, as to itself only;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notwithstanding anything to the contrary contained herein, to the extent the Company proposes to obtain alternative financing to fund the initial Business Combination in the form of an offering of New Equity Securities (“</w:t>
      </w:r>
      <w:r>
        <w:rPr>
          <w:rFonts w:ascii="Times New Roman" w:cs="Times New Roman" w:eastAsia="Times New Roman" w:hAnsi="Times New Roman"/>
          <w:sz w:val="18"/>
          <w:szCs w:val="18"/>
          <w:u w:val="single" w:color="auto"/>
          <w:color w:val="auto"/>
        </w:rPr>
        <w:t>Alternative Financing</w:t>
      </w:r>
      <w:r>
        <w:rPr>
          <w:rFonts w:ascii="Times New Roman" w:cs="Times New Roman" w:eastAsia="Times New Roman" w:hAnsi="Times New Roman"/>
          <w:sz w:val="18"/>
          <w:szCs w:val="18"/>
          <w:color w:val="auto"/>
        </w:rPr>
        <w:t xml:space="preserve">”) and a Purchaser participates in such Alternative Financing pursuant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 the aggregate commitment hereunder shall be reduced by the amount of such Purchaser’s participation in such Alternative Financing; and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2" w:name="page153"/>
    <w:bookmarkEnd w:id="152"/>
    <w:p>
      <w:pPr>
        <w:ind w:right="220" w:firstLine="2268"/>
        <w:spacing w:after="0" w:line="261" w:lineRule="auto"/>
        <w:rPr>
          <w:sz w:val="20"/>
          <w:szCs w:val="20"/>
          <w:color w:val="auto"/>
        </w:rPr>
      </w:pPr>
      <w:r>
        <w:rPr>
          <w:rFonts w:ascii="Times New Roman" w:cs="Times New Roman" w:eastAsia="Times New Roman" w:hAnsi="Times New Roman"/>
          <w:sz w:val="18"/>
          <w:szCs w:val="18"/>
          <w:color w:val="auto"/>
        </w:rPr>
        <w:t xml:space="preserve">2. upon a Purchaser’s execution and delivery of a Purchaser Joinder, the number of Forward Purchase Shares to be purchased by such Purchaser hereunder shall be reflected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to this Agreement. For the avoidance of doubt, this Agreement need not be amended and restated in its entirety, but only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need be completed by each of the Purchaser and the Company upon the occurrence of any such allocation of the Forward Purchase Shares.</w:t>
      </w:r>
    </w:p>
    <w:p>
      <w:pPr>
        <w:spacing w:after="0" w:line="179" w:lineRule="exact"/>
        <w:rPr>
          <w:sz w:val="20"/>
          <w:szCs w:val="20"/>
          <w:color w:val="auto"/>
        </w:rPr>
      </w:pPr>
    </w:p>
    <w:p>
      <w:pPr>
        <w:ind w:right="180" w:firstLine="1547"/>
        <w:spacing w:after="0" w:line="253" w:lineRule="auto"/>
        <w:tabs>
          <w:tab w:leader="none" w:pos="1824"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Advisor shall only be obligated to allocate the purchase of some or all of the number of Forward Purchase Shares set forth in the Initial Company Notice to any Client if and only if: (i) the initial Business Combination is proposed to be consummated with a company engaged in a business that is within the investment objectives of such Client; and (ii) the initial Business Combination, including the target assets or business, and the terms of the initial Business Combination, are reasonably acceptable to such Client, as determined by the Advisor in its sole discretion (it being understood that the Advisor may consider many of the same criteria as the Company will consider, but will also consider whether the investment is an appropriate investment for such Client, including whether the investment complies with any guidelines, restrictions or conflicts of interest provisions applicable to such Client), and if not all of the Forward Purchase Shares set forth in the Initial Company Notice are allocated to Clients, the Advisor may, but shall not be obligated to, assign the obligation to purchase such Forward Purchase Shares to one or more third parties. The Company acknowledges that this Agreement is neither a commitment nor an obligation of any Client to purchase any Forward Purchase Shares, unless otherwise expressly agreed in writing by such Client by execution and delivery of a Purchaser Joinder.</w:t>
      </w:r>
    </w:p>
    <w:p>
      <w:pPr>
        <w:spacing w:after="0" w:line="194" w:lineRule="exact"/>
        <w:rPr>
          <w:rFonts w:ascii="Times New Roman" w:cs="Times New Roman" w:eastAsia="Times New Roman" w:hAnsi="Times New Roman"/>
          <w:sz w:val="18"/>
          <w:szCs w:val="18"/>
          <w:color w:val="auto"/>
        </w:rPr>
      </w:pPr>
    </w:p>
    <w:p>
      <w:pPr>
        <w:ind w:firstLine="1304"/>
        <w:spacing w:after="0" w:line="282" w:lineRule="auto"/>
        <w:tabs>
          <w:tab w:leader="none" w:pos="1601"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two (2) Business Days before the Business Combination Closing, the Company shall provide each Purchaser with an updated notice (the “</w:t>
      </w:r>
      <w:r>
        <w:rPr>
          <w:rFonts w:ascii="Times New Roman" w:cs="Times New Roman" w:eastAsia="Times New Roman" w:hAnsi="Times New Roman"/>
          <w:sz w:val="18"/>
          <w:szCs w:val="18"/>
          <w:u w:val="single" w:color="auto"/>
          <w:color w:val="auto"/>
        </w:rPr>
        <w:t>Final Company Notice</w:t>
      </w:r>
      <w:r>
        <w:rPr>
          <w:rFonts w:ascii="Times New Roman" w:cs="Times New Roman" w:eastAsia="Times New Roman" w:hAnsi="Times New Roman"/>
          <w:sz w:val="18"/>
          <w:szCs w:val="18"/>
          <w:color w:val="auto"/>
        </w:rPr>
        <w:t>”) including:</w:t>
      </w:r>
    </w:p>
    <w:p>
      <w:pPr>
        <w:spacing w:after="0" w:line="161" w:lineRule="exact"/>
        <w:rPr>
          <w:rFonts w:ascii="Times New Roman" w:cs="Times New Roman" w:eastAsia="Times New Roman" w:hAnsi="Times New Roman"/>
          <w:sz w:val="18"/>
          <w:szCs w:val="18"/>
          <w:color w:val="auto"/>
        </w:rPr>
      </w:pPr>
    </w:p>
    <w:p>
      <w:pPr>
        <w:ind w:left="2280" w:hanging="289"/>
        <w:spacing w:after="0"/>
        <w:tabs>
          <w:tab w:leader="none" w:pos="2280" w:val="left"/>
        </w:tabs>
        <w:numPr>
          <w:ilvl w:val="2"/>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determination of the number of Forward Purchase Shares that it desires each Purchaser to purchase pursuant to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6" w:lineRule="exact"/>
        <w:rPr>
          <w:rFonts w:ascii="Times New Roman" w:cs="Times New Roman" w:eastAsia="Times New Roman" w:hAnsi="Times New Roman"/>
          <w:sz w:val="18"/>
          <w:szCs w:val="18"/>
          <w:color w:val="auto"/>
        </w:rPr>
      </w:pPr>
    </w:p>
    <w:p>
      <w:pPr>
        <w:ind w:left="2280" w:hanging="289"/>
        <w:spacing w:after="0"/>
        <w:tabs>
          <w:tab w:leader="none" w:pos="2280" w:val="left"/>
        </w:tabs>
        <w:numPr>
          <w:ilvl w:val="2"/>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date of the Business Combination Closing; and</w:t>
      </w:r>
    </w:p>
    <w:p>
      <w:pPr>
        <w:spacing w:after="0" w:line="225" w:lineRule="exact"/>
        <w:rPr>
          <w:rFonts w:ascii="Times New Roman" w:cs="Times New Roman" w:eastAsia="Times New Roman" w:hAnsi="Times New Roman"/>
          <w:sz w:val="18"/>
          <w:szCs w:val="18"/>
          <w:color w:val="auto"/>
        </w:rPr>
      </w:pPr>
    </w:p>
    <w:p>
      <w:pPr>
        <w:ind w:left="2280" w:hanging="289"/>
        <w:spacing w:after="0"/>
        <w:tabs>
          <w:tab w:leader="none" w:pos="2280" w:val="left"/>
        </w:tabs>
        <w:numPr>
          <w:ilvl w:val="2"/>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instructions for wiring the aggregate Forward Purchase Price for each such Purchaser’s Forward Purchase Shares.</w:t>
      </w:r>
    </w:p>
    <w:p>
      <w:pPr>
        <w:spacing w:after="0" w:line="225" w:lineRule="exact"/>
        <w:rPr>
          <w:rFonts w:ascii="Times New Roman" w:cs="Times New Roman" w:eastAsia="Times New Roman" w:hAnsi="Times New Roman"/>
          <w:sz w:val="18"/>
          <w:szCs w:val="18"/>
          <w:color w:val="auto"/>
        </w:rPr>
      </w:pPr>
    </w:p>
    <w:p>
      <w:pPr>
        <w:ind w:right="80" w:firstLine="1304"/>
        <w:spacing w:after="0" w:line="258" w:lineRule="auto"/>
        <w:tabs>
          <w:tab w:leader="none" w:pos="1601"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(1) Business Day before the Business Combination Closing, each Purchaser shall provide the Company with an updated notice (the “</w:t>
      </w:r>
      <w:r>
        <w:rPr>
          <w:rFonts w:ascii="Times New Roman" w:cs="Times New Roman" w:eastAsia="Times New Roman" w:hAnsi="Times New Roman"/>
          <w:sz w:val="18"/>
          <w:szCs w:val="18"/>
          <w:u w:val="single" w:color="auto"/>
          <w:color w:val="auto"/>
        </w:rPr>
        <w:t>Final Purchaser Notice</w:t>
      </w:r>
      <w:r>
        <w:rPr>
          <w:rFonts w:ascii="Times New Roman" w:cs="Times New Roman" w:eastAsia="Times New Roman" w:hAnsi="Times New Roman"/>
          <w:sz w:val="18"/>
          <w:szCs w:val="18"/>
          <w:color w:val="auto"/>
        </w:rPr>
        <w:t>”) of the number of Forward Purchase Shares it will be obligated to purchase pursuant to this Agreement, with no further notification or confirmation necessary from the Company, which number shall not be less than the lesser of (A) the number of Forward Purchase Shares that such Purchaser was obligated to purchase pursuant to such Purchaser’s Purchaser Joinder and (B) the number of Forward Purchase Shares that the Company desires the Purchaser to purchase as specified in the Final Company Notice.</w:t>
      </w:r>
    </w:p>
    <w:p>
      <w:pPr>
        <w:spacing w:after="0" w:line="183" w:lineRule="exact"/>
        <w:rPr>
          <w:rFonts w:ascii="Times New Roman" w:cs="Times New Roman" w:eastAsia="Times New Roman" w:hAnsi="Times New Roman"/>
          <w:sz w:val="18"/>
          <w:szCs w:val="18"/>
          <w:color w:val="auto"/>
        </w:rPr>
      </w:pPr>
    </w:p>
    <w:p>
      <w:pPr>
        <w:ind w:right="40" w:firstLine="1304"/>
        <w:spacing w:after="0" w:line="253" w:lineRule="auto"/>
        <w:tabs>
          <w:tab w:leader="none" w:pos="1548"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the sale of Forward Purchase Shares (the “</w:t>
      </w:r>
      <w:r>
        <w:rPr>
          <w:rFonts w:ascii="Times New Roman" w:cs="Times New Roman" w:eastAsia="Times New Roman" w:hAnsi="Times New Roman"/>
          <w:sz w:val="18"/>
          <w:szCs w:val="18"/>
          <w:u w:val="single" w:color="auto"/>
          <w:color w:val="auto"/>
        </w:rPr>
        <w:t>Forward Closing</w:t>
      </w:r>
      <w:r>
        <w:rPr>
          <w:rFonts w:ascii="Times New Roman" w:cs="Times New Roman" w:eastAsia="Times New Roman" w:hAnsi="Times New Roman"/>
          <w:sz w:val="18"/>
          <w:szCs w:val="18"/>
          <w:color w:val="auto"/>
        </w:rPr>
        <w:t>”) shall be held on the same date and concurrently with the Business Combination Closing (such date being referred to as the “</w:t>
      </w:r>
      <w:r>
        <w:rPr>
          <w:rFonts w:ascii="Times New Roman" w:cs="Times New Roman" w:eastAsia="Times New Roman" w:hAnsi="Times New Roman"/>
          <w:sz w:val="18"/>
          <w:szCs w:val="18"/>
          <w:u w:val="single" w:color="auto"/>
          <w:color w:val="auto"/>
        </w:rPr>
        <w:t>Forward Closing Date</w:t>
      </w:r>
      <w:r>
        <w:rPr>
          <w:rFonts w:ascii="Times New Roman" w:cs="Times New Roman" w:eastAsia="Times New Roman" w:hAnsi="Times New Roman"/>
          <w:sz w:val="18"/>
          <w:szCs w:val="18"/>
          <w:color w:val="auto"/>
        </w:rPr>
        <w:t>”). At least one (1) Business Day prior to the Forward Closing Date, the Purchaser shall deliver to the Company the aggregate Forward Purchase Price for the Forward Purchase Shares by wire transfer of U.S. dollars in immediately available funds to the account specified by the Company in such notice to be held in escrow until the Forward Closing. Immediately prior to the Forward Closing on the Forward Closing Date, (i) the aggregate Forward Purchase Price shall be released from escrow automatically and without further action by the Company or the Purchaser, and (ii) upon such release, the Company shall issue the Forward Purchase Shares to the Purchaser in book-entry form, free and clear of any liens or other restrictions whatsoever (other than those arising under state or federal securities laws), registered in the name of the Purchaser (or its nominee in accordance with its delivery instructions), or to a custodian designated by the Purchaser, as applicable. In the event the Business Combination Closing does not occur within five (5) Business Days of the date scheduled for closing, the Forward Closing shall not occur and the Company shall promptly (but not later than one (1) Business Day thereafter) return the aggregate Forward Purchase Price to the Purchaser. For purposes of this Agreement, “Business Day” means any day, other than a Saturday or a Sunday, that is neither a legal holiday nor a day on which banking institutions are generally authorized or required by law or regulation to close in the City of New York, New York.</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3" w:name="page154"/>
    <w:bookmarkEnd w:id="153"/>
    <w:p>
      <w:pPr>
        <w:ind w:right="260" w:firstLine="656"/>
        <w:spacing w:after="0" w:line="282" w:lineRule="auto"/>
        <w:tabs>
          <w:tab w:leader="none" w:pos="903"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Each register and book entry for the Forward Purchase Shares shall contain a notation, and each certificate (if any) evidencing the Forward Purchase Shares shall be stamped or otherwise imprinted with a legend, in substantially the following form:</w:t>
      </w:r>
    </w:p>
    <w:p>
      <w:pPr>
        <w:spacing w:after="0" w:line="162" w:lineRule="exact"/>
        <w:rPr>
          <w:sz w:val="20"/>
          <w:szCs w:val="20"/>
          <w:color w:val="auto"/>
        </w:rPr>
      </w:pPr>
    </w:p>
    <w:p>
      <w:pPr>
        <w:ind w:left="660" w:right="140"/>
        <w:spacing w:after="0" w:line="256" w:lineRule="auto"/>
        <w:rPr>
          <w:sz w:val="20"/>
          <w:szCs w:val="20"/>
          <w:color w:val="auto"/>
        </w:rPr>
      </w:pPr>
      <w:r>
        <w:rPr>
          <w:rFonts w:ascii="Times New Roman" w:cs="Times New Roman" w:eastAsia="Times New Roman" w:hAnsi="Times New Roman"/>
          <w:sz w:val="18"/>
          <w:szCs w:val="18"/>
          <w:color w:val="auto"/>
        </w:rPr>
        <w:t>“THE SECURITIES REPRESENTED HEREBY HAVE NOT BEEN REGISTERED UNDER THE SECURITIES ACT OF 1933, AS AMENDED, OR THE SECURITIES LAWS OF ANY STATE OR OTHER JURISDICTION, AND MAY NOT BE TRANSFERRED IN VIOLATION OF SUCH ACT AND LAWS. THE SALE, PLEDGE, HYPOTHECATION, OR TRANSFER OF THE SECURITIES REPRESENTED HEREBY ARE SUBJECT TO THE TERMS AND CONDITIONS OF A CERTAIN FORWARD PURCHASE AGREEMENT BY AND BETWEEN THE HOLDER AND THE COMPANY. COPIES OF SUCH AGREEMENT MAY BE OBTAINED UPON WRITTEN REQUEST TO THE SECRETARY OF THE COMPANY.”</w:t>
      </w:r>
    </w:p>
    <w:p>
      <w:pPr>
        <w:spacing w:after="0" w:line="183" w:lineRule="exact"/>
        <w:rPr>
          <w:sz w:val="20"/>
          <w:szCs w:val="20"/>
          <w:color w:val="auto"/>
        </w:rPr>
      </w:pPr>
    </w:p>
    <w:p>
      <w:pPr>
        <w:ind w:left="180" w:hanging="172"/>
        <w:spacing w:after="0"/>
        <w:tabs>
          <w:tab w:leader="none" w:pos="18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Representations and Warranties of the Advisor. </w:t>
      </w:r>
      <w:r>
        <w:rPr>
          <w:rFonts w:ascii="Times New Roman" w:cs="Times New Roman" w:eastAsia="Times New Roman" w:hAnsi="Times New Roman"/>
          <w:sz w:val="18"/>
          <w:szCs w:val="18"/>
          <w:color w:val="auto"/>
        </w:rPr>
        <w:t>The Advisor represents and warrants to the Company as follows, as of the date hereof:</w:t>
      </w:r>
    </w:p>
    <w:p>
      <w:pPr>
        <w:spacing w:after="0" w:line="229" w:lineRule="exact"/>
        <w:rPr>
          <w:rFonts w:ascii="Times New Roman" w:cs="Times New Roman" w:eastAsia="Times New Roman" w:hAnsi="Times New Roman"/>
          <w:sz w:val="18"/>
          <w:szCs w:val="18"/>
          <w:b w:val="1"/>
          <w:bCs w:val="1"/>
          <w:color w:val="auto"/>
        </w:rPr>
      </w:pPr>
    </w:p>
    <w:p>
      <w:pPr>
        <w:ind w:right="680" w:firstLine="656"/>
        <w:spacing w:after="0" w:line="282" w:lineRule="auto"/>
        <w:tabs>
          <w:tab w:leader="none" w:pos="892"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Power</w:t>
      </w:r>
      <w:r>
        <w:rPr>
          <w:rFonts w:ascii="Times New Roman" w:cs="Times New Roman" w:eastAsia="Times New Roman" w:hAnsi="Times New Roman"/>
          <w:sz w:val="18"/>
          <w:szCs w:val="18"/>
          <w:color w:val="auto"/>
        </w:rPr>
        <w:t>. The Advisor is duly organized, validly existing, and in good standing under the laws of the jurisdiction of its formation and has all requisite power and authority to carry on its business as presently conducted and as proposed to be conducted.</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The Advisor has full power and authority to enter into this Agreement.</w:t>
      </w:r>
    </w:p>
    <w:p>
      <w:pPr>
        <w:spacing w:after="0" w:line="225" w:lineRule="exact"/>
        <w:rPr>
          <w:rFonts w:ascii="Times New Roman" w:cs="Times New Roman" w:eastAsia="Times New Roman" w:hAnsi="Times New Roman"/>
          <w:sz w:val="18"/>
          <w:szCs w:val="18"/>
          <w:color w:val="auto"/>
        </w:rPr>
      </w:pPr>
    </w:p>
    <w:p>
      <w:pPr>
        <w:ind w:firstLine="656"/>
        <w:spacing w:after="0" w:line="258" w:lineRule="auto"/>
        <w:tabs>
          <w:tab w:leader="none" w:pos="892"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Other Instruments</w:t>
      </w:r>
      <w:r>
        <w:rPr>
          <w:rFonts w:ascii="Times New Roman" w:cs="Times New Roman" w:eastAsia="Times New Roman" w:hAnsi="Times New Roman"/>
          <w:sz w:val="18"/>
          <w:szCs w:val="18"/>
          <w:color w:val="auto"/>
        </w:rPr>
        <w:t>. The execution, delivery and performance by the Advisor of this Agreement will not result in any violation or default (i) of any provisions of its organizational documents, (ii) of any instrument, judgment, order, writ or decree to which it is a party or by which it is bound, (iii) under any note, indenture or mortgage to which it is a party or by which it is bound, (iv) under any lease, agreement, contract or purchase order to which it is a party or by which it is bound or (v) of any provision of federal or state statute, rule or regulation applicable to the Advisor, in each case (other than clause (i)), which would have a material adverse effect on the Advisor.</w:t>
      </w:r>
    </w:p>
    <w:p>
      <w:pPr>
        <w:spacing w:after="0" w:line="179" w:lineRule="exact"/>
        <w:rPr>
          <w:rFonts w:ascii="Times New Roman" w:cs="Times New Roman" w:eastAsia="Times New Roman" w:hAnsi="Times New Roman"/>
          <w:sz w:val="18"/>
          <w:szCs w:val="18"/>
          <w:color w:val="auto"/>
        </w:rPr>
      </w:pPr>
    </w:p>
    <w:p>
      <w:pPr>
        <w:ind w:right="500" w:firstLine="8"/>
        <w:spacing w:after="0" w:line="286" w:lineRule="auto"/>
        <w:tabs>
          <w:tab w:leader="none" w:pos="18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Representations and Warranties of the Purchaser. </w:t>
      </w:r>
      <w:r>
        <w:rPr>
          <w:rFonts w:ascii="Times New Roman" w:cs="Times New Roman" w:eastAsia="Times New Roman" w:hAnsi="Times New Roman"/>
          <w:sz w:val="18"/>
          <w:szCs w:val="18"/>
          <w:color w:val="auto"/>
        </w:rPr>
        <w:t>Each Purchaser that executes and delivers a Purchaser Joinder represents and warrants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as of the date of the Purchaser Joinder, as follows:</w:t>
      </w:r>
    </w:p>
    <w:p>
      <w:pPr>
        <w:spacing w:after="0" w:line="158" w:lineRule="exact"/>
        <w:rPr>
          <w:rFonts w:ascii="Times New Roman" w:cs="Times New Roman" w:eastAsia="Times New Roman" w:hAnsi="Times New Roman"/>
          <w:sz w:val="18"/>
          <w:szCs w:val="18"/>
          <w:b w:val="1"/>
          <w:bCs w:val="1"/>
          <w:color w:val="auto"/>
        </w:rPr>
      </w:pPr>
    </w:p>
    <w:p>
      <w:pPr>
        <w:ind w:right="540" w:firstLine="656"/>
        <w:spacing w:after="0" w:line="282" w:lineRule="auto"/>
        <w:tabs>
          <w:tab w:leader="none" w:pos="892"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Power</w:t>
      </w:r>
      <w:r>
        <w:rPr>
          <w:rFonts w:ascii="Times New Roman" w:cs="Times New Roman" w:eastAsia="Times New Roman" w:hAnsi="Times New Roman"/>
          <w:sz w:val="18"/>
          <w:szCs w:val="18"/>
          <w:color w:val="auto"/>
        </w:rPr>
        <w:t>. The Purchaser is duly organized, validly existing, and in good standing under the laws of the jurisdiction of its formation and has all requisite power and authority to carry on its business as presently conducted and as proposed to be conducted.</w:t>
      </w:r>
    </w:p>
    <w:p>
      <w:pPr>
        <w:spacing w:after="0" w:line="161" w:lineRule="exact"/>
        <w:rPr>
          <w:rFonts w:ascii="Times New Roman" w:cs="Times New Roman" w:eastAsia="Times New Roman" w:hAnsi="Times New Roman"/>
          <w:sz w:val="18"/>
          <w:szCs w:val="18"/>
          <w:color w:val="auto"/>
        </w:rPr>
      </w:pPr>
    </w:p>
    <w:p>
      <w:pPr>
        <w:jc w:val="both"/>
        <w:ind w:right="120" w:firstLine="656"/>
        <w:spacing w:after="0" w:line="261" w:lineRule="auto"/>
        <w:tabs>
          <w:tab w:leader="none" w:pos="903"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The Purchaser has full power and authority to enter into this Agreement. This Agreement, when executed and delivered by the Purchaser, will constitute the valid and legally binding obligation of the Purchaser, enforceable against the Purchaser in accordance with its terms, except</w:t>
      </w:r>
    </w:p>
    <w:p>
      <w:pPr>
        <w:ind w:right="1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as limited by applicable bankruptcy, insolvency, reorganization, moratorium, fraudulent conveyance and any other laws of general application affecting enforcement of creditors’ rights generally, (ii) as limited by laws relating to the availability of specific performance, injunctive relief or other equitable remedies, or (iii) to the extent the indemnification provisions contained in the Registration Rights (as defined below) may be limited by applicable federal or state securities laws.</w:t>
      </w:r>
    </w:p>
    <w:p>
      <w:pPr>
        <w:spacing w:after="0" w:line="188" w:lineRule="exact"/>
        <w:rPr>
          <w:rFonts w:ascii="Times New Roman" w:cs="Times New Roman" w:eastAsia="Times New Roman" w:hAnsi="Times New Roman"/>
          <w:sz w:val="18"/>
          <w:szCs w:val="18"/>
          <w:color w:val="auto"/>
        </w:rPr>
      </w:pPr>
    </w:p>
    <w:p>
      <w:pPr>
        <w:ind w:right="160" w:firstLine="656"/>
        <w:spacing w:after="0" w:line="266" w:lineRule="auto"/>
        <w:tabs>
          <w:tab w:leader="none" w:pos="892"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Governmental Consents and Filings</w:t>
      </w:r>
      <w:r>
        <w:rPr>
          <w:rFonts w:ascii="Times New Roman" w:cs="Times New Roman" w:eastAsia="Times New Roman" w:hAnsi="Times New Roman"/>
          <w:sz w:val="18"/>
          <w:szCs w:val="18"/>
          <w:color w:val="auto"/>
        </w:rPr>
        <w:t>. No consent, approval, order or authorization of, or registration, qualification, designation, declaration or filing with, any federal, state or local governmental authority is required on the part of the Purchaser in connection with the consummation of the transactions contemplated by this Agreement.</w:t>
      </w: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54" w:name="page155"/>
    <w:bookmarkEnd w:id="154"/>
    <w:p>
      <w:pPr>
        <w:ind w:left="-8" w:right="80" w:firstLine="656"/>
        <w:spacing w:after="0" w:line="270" w:lineRule="auto"/>
        <w:tabs>
          <w:tab w:leader="none" w:pos="895" w:val="left"/>
        </w:tabs>
        <w:numPr>
          <w:ilvl w:val="1"/>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 with Other Instruments</w:t>
      </w:r>
      <w:r>
        <w:rPr>
          <w:rFonts w:ascii="Times New Roman" w:cs="Times New Roman" w:eastAsia="Times New Roman" w:hAnsi="Times New Roman"/>
          <w:sz w:val="17"/>
          <w:szCs w:val="17"/>
          <w:color w:val="auto"/>
        </w:rPr>
        <w:t>. The execution, delivery and performance by the Purchaser of this Agreement and the consummation by the Purchaser of the transactions contemplated by this Agreement will not result in any violation or default (i) of any provisions of its organizational documents, (ii) of any instrument, judgment, order, writ or decree to which it is a party or by which it is bound, (iii) under any note, indenture or mortgage to which it is a party or by which it is bound, (iv) under any lease, agreement, contract or purchase order to which it is a party or by which it is bound or</w:t>
      </w:r>
    </w:p>
    <w:p>
      <w:pPr>
        <w:spacing w:after="0" w:line="2" w:lineRule="exact"/>
        <w:rPr>
          <w:rFonts w:ascii="Times New Roman" w:cs="Times New Roman" w:eastAsia="Times New Roman" w:hAnsi="Times New Roman"/>
          <w:sz w:val="17"/>
          <w:szCs w:val="17"/>
          <w:color w:val="auto"/>
        </w:rPr>
      </w:pPr>
    </w:p>
    <w:p>
      <w:pPr>
        <w:ind w:left="-8" w:right="520" w:firstLine="8"/>
        <w:spacing w:after="0" w:line="260" w:lineRule="auto"/>
        <w:tabs>
          <w:tab w:leader="none" w:pos="247"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provision of federal or state statute, rule or regulation applicable to the Purchaser, in each case (other than clause (i)), which would have a material adverse effect on the Purchaser or its ability to consummate the transactions contemplated by this Agreement.</w:t>
      </w:r>
    </w:p>
    <w:p>
      <w:pPr>
        <w:spacing w:after="0" w:line="181" w:lineRule="exact"/>
        <w:rPr>
          <w:rFonts w:ascii="Times New Roman" w:cs="Times New Roman" w:eastAsia="Times New Roman" w:hAnsi="Times New Roman"/>
          <w:sz w:val="18"/>
          <w:szCs w:val="18"/>
          <w:color w:val="auto"/>
        </w:rPr>
      </w:pPr>
    </w:p>
    <w:p>
      <w:pPr>
        <w:ind w:left="-8" w:right="20" w:firstLine="656"/>
        <w:spacing w:after="0" w:line="272" w:lineRule="auto"/>
        <w:tabs>
          <w:tab w:leader="none" w:pos="884" w:val="left"/>
        </w:tabs>
        <w:numPr>
          <w:ilvl w:val="1"/>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Purchase Entirely for Own Account</w:t>
      </w:r>
      <w:r>
        <w:rPr>
          <w:rFonts w:ascii="Times New Roman" w:cs="Times New Roman" w:eastAsia="Times New Roman" w:hAnsi="Times New Roman"/>
          <w:sz w:val="17"/>
          <w:szCs w:val="17"/>
          <w:color w:val="auto"/>
        </w:rPr>
        <w:t>. This Agreement is made with the Purchaser in reliance upon the Purchaser’s representation to the Company, which by the Purchaser’s execution of this Agreement, the Purchaser hereby confirms, that the Forward Purchase Shares to be acquired by the Purchaser will be acquired for investment for the Purchaser’s own account, not as a nominee or agent, and not with a view to the resale or distribution of any part thereof in violation of any state or federal securities laws, and that the Purchaser has no present intention of selling, granting any participation in, or otherwise distributing the same in violation of law. By executing this Agreement, the Purchaser further represents that the Purchaser does not presently have any contract, undertaking, agreement or arrangement with any Person to sell, transfer or grant participations to such Person or to any third Person, with respect to any of the Forward Purchase Shares. For purposes of this Agreement, “</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means an individual, a limited liability company, a partnership, a joint venture, a corporation, a trust, an unincorporated organization, any other entity or any government or any department or agency thereof.</w:t>
      </w:r>
    </w:p>
    <w:p>
      <w:pPr>
        <w:spacing w:after="0" w:line="171" w:lineRule="exact"/>
        <w:rPr>
          <w:rFonts w:ascii="Times New Roman" w:cs="Times New Roman" w:eastAsia="Times New Roman" w:hAnsi="Times New Roman"/>
          <w:sz w:val="17"/>
          <w:szCs w:val="17"/>
          <w:color w:val="auto"/>
        </w:rPr>
      </w:pPr>
    </w:p>
    <w:p>
      <w:pPr>
        <w:ind w:left="-8" w:right="300" w:firstLine="656"/>
        <w:spacing w:after="0" w:line="266" w:lineRule="auto"/>
        <w:tabs>
          <w:tab w:leader="none" w:pos="865"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of Information</w:t>
      </w:r>
      <w:r>
        <w:rPr>
          <w:rFonts w:ascii="Times New Roman" w:cs="Times New Roman" w:eastAsia="Times New Roman" w:hAnsi="Times New Roman"/>
          <w:sz w:val="18"/>
          <w:szCs w:val="18"/>
          <w:color w:val="auto"/>
        </w:rPr>
        <w:t>. The Purchaser has had an opportunity to discuss the Company’s business, management, financial affairs and the terms and conditions of the offering of the Forward Purchase Shares, as well as the terms of the Company’s proposed IPO, with the Company’s management.</w:t>
      </w:r>
    </w:p>
    <w:p>
      <w:pPr>
        <w:spacing w:after="0" w:line="175" w:lineRule="exact"/>
        <w:rPr>
          <w:rFonts w:ascii="Times New Roman" w:cs="Times New Roman" w:eastAsia="Times New Roman" w:hAnsi="Times New Roman"/>
          <w:sz w:val="18"/>
          <w:szCs w:val="18"/>
          <w:color w:val="auto"/>
        </w:rPr>
      </w:pPr>
    </w:p>
    <w:p>
      <w:pPr>
        <w:ind w:left="-8" w:firstLine="656"/>
        <w:spacing w:after="0" w:line="253" w:lineRule="auto"/>
        <w:tabs>
          <w:tab w:leader="none" w:pos="895"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Securities</w:t>
      </w:r>
      <w:r>
        <w:rPr>
          <w:rFonts w:ascii="Times New Roman" w:cs="Times New Roman" w:eastAsia="Times New Roman" w:hAnsi="Times New Roman"/>
          <w:sz w:val="18"/>
          <w:szCs w:val="18"/>
          <w:color w:val="auto"/>
        </w:rPr>
        <w:t>. The Purchaser understands that the offer and sale of the Forward Purchase Shares to the Purchaser has not been, and will not be, registered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by reason of a specific exemption from the registration provisions of the Securities Act which depends upon, among other things, the bona fide nature of the investment intent and the accuracy of the Purchaser’s representations as expressed herein. The Purchaser understands that the Forward Purchase Shares are “restricted securities” under applicable U.S. federal and state securities laws and that, pursuant to these laws, the Purchaser must hold the Forward Purchase Shares indefinitely unless they are registered with the SEC and qualified by state authorities, or an exemption from such registration and qualification requirements is available. The Purchaser acknowledges that the Company has no obligation to register or qualify the Forward Purchase Shares, or any Class A Shares into which the Forward Purchase Shares may be converted or exercised, for resale, except for the Registration Rights. The Purchaser further acknowledges that if an exemption from registration or qualification is available, it may be conditioned on various requirements including, but not limited to, the time and manner of sale, the holding period for the Forward Purchase Shares, and on requirements relating to the Company which are outside of the Purchaser’s control, and which the Company is under no obligation and may not be able to satisfy. The Purchaser acknowledges that the Company filed the Registration Statement for its proposed IPO. The Purchaser understands that the offering of the Forward Purchase Shares is not, and is not intended to be, part of the IPO, and that the Purchaser will not be able to rely on the protection of Section 11 of the Securities Act with respect to the Forward Purchase Shares.</w:t>
      </w:r>
    </w:p>
    <w:p>
      <w:pPr>
        <w:spacing w:after="0" w:line="187" w:lineRule="exact"/>
        <w:rPr>
          <w:rFonts w:ascii="Times New Roman" w:cs="Times New Roman" w:eastAsia="Times New Roman" w:hAnsi="Times New Roman"/>
          <w:sz w:val="18"/>
          <w:szCs w:val="18"/>
          <w:color w:val="auto"/>
        </w:rPr>
      </w:pPr>
    </w:p>
    <w:p>
      <w:pPr>
        <w:ind w:left="-8" w:right="240" w:firstLine="656"/>
        <w:spacing w:after="0" w:line="282" w:lineRule="auto"/>
        <w:tabs>
          <w:tab w:leader="none" w:pos="895"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Public Market</w:t>
      </w:r>
      <w:r>
        <w:rPr>
          <w:rFonts w:ascii="Times New Roman" w:cs="Times New Roman" w:eastAsia="Times New Roman" w:hAnsi="Times New Roman"/>
          <w:sz w:val="18"/>
          <w:szCs w:val="18"/>
          <w:color w:val="auto"/>
        </w:rPr>
        <w:t>. The Purchaser understands that no public market now exists for the Forward Purchase Shares, and that the Company has made no assurances that a public market will ever exist for the Forward Purchase Shares.</w:t>
      </w:r>
    </w:p>
    <w:p>
      <w:pPr>
        <w:spacing w:after="0" w:line="161" w:lineRule="exact"/>
        <w:rPr>
          <w:rFonts w:ascii="Times New Roman" w:cs="Times New Roman" w:eastAsia="Times New Roman" w:hAnsi="Times New Roman"/>
          <w:sz w:val="18"/>
          <w:szCs w:val="18"/>
          <w:color w:val="auto"/>
        </w:rPr>
      </w:pPr>
    </w:p>
    <w:p>
      <w:pPr>
        <w:ind w:left="-8" w:right="300" w:firstLine="656"/>
        <w:spacing w:after="0" w:line="282" w:lineRule="auto"/>
        <w:tabs>
          <w:tab w:leader="none" w:pos="855"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High Degree of Risk</w:t>
      </w:r>
      <w:r>
        <w:rPr>
          <w:rFonts w:ascii="Times New Roman" w:cs="Times New Roman" w:eastAsia="Times New Roman" w:hAnsi="Times New Roman"/>
          <w:sz w:val="18"/>
          <w:szCs w:val="18"/>
          <w:color w:val="auto"/>
        </w:rPr>
        <w:t>. The Purchaser understands that its agreement to purchase the Forward Purchase Shares involves a high degree of risk which could cause the Purchaser to lose all or part of its investment.</w:t>
      </w:r>
    </w:p>
    <w:p>
      <w:pPr>
        <w:spacing w:after="0" w:line="161" w:lineRule="exact"/>
        <w:rPr>
          <w:rFonts w:ascii="Times New Roman" w:cs="Times New Roman" w:eastAsia="Times New Roman" w:hAnsi="Times New Roman"/>
          <w:sz w:val="18"/>
          <w:szCs w:val="18"/>
          <w:color w:val="auto"/>
        </w:rPr>
      </w:pPr>
    </w:p>
    <w:p>
      <w:pPr>
        <w:ind w:left="872" w:hanging="224"/>
        <w:spacing w:after="0"/>
        <w:tabs>
          <w:tab w:leader="none" w:pos="872"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Purchaser is an accredited investor as defined in Rule 501(a) of Regulation D promulgated under the Securities Act.</w:t>
      </w:r>
    </w:p>
    <w:p>
      <w:pPr>
        <w:spacing w:after="0" w:line="225" w:lineRule="exact"/>
        <w:rPr>
          <w:rFonts w:ascii="Times New Roman" w:cs="Times New Roman" w:eastAsia="Times New Roman" w:hAnsi="Times New Roman"/>
          <w:sz w:val="18"/>
          <w:szCs w:val="18"/>
          <w:color w:val="auto"/>
        </w:rPr>
      </w:pPr>
    </w:p>
    <w:p>
      <w:pPr>
        <w:ind w:left="-8" w:right="20" w:firstLine="656"/>
        <w:spacing w:after="0" w:line="266" w:lineRule="auto"/>
        <w:tabs>
          <w:tab w:leader="none" w:pos="895"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Neither the Purchaser, nor any of its officers, directors, employees, agents, stockholders or partners has either directly or indirectly, including, through a broker or finder (i) engaged in any general solicitation, or (ii) published any advertisement in connection with the offer and sale of the Forward Purchase Shares.</w:t>
      </w:r>
    </w:p>
    <w:p>
      <w:pPr>
        <w:spacing w:after="0" w:line="383"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2"/>
          </w:cols>
          <w:pgMar w:left="328" w:top="904" w:right="379" w:bottom="1440" w:gutter="0" w:footer="0" w:header="0"/>
        </w:sectPr>
      </w:pPr>
    </w:p>
    <w:bookmarkStart w:id="155" w:name="page156"/>
    <w:bookmarkEnd w:id="155"/>
    <w:p>
      <w:pPr>
        <w:ind w:right="160" w:firstLine="656"/>
        <w:spacing w:after="0" w:line="282" w:lineRule="auto"/>
        <w:tabs>
          <w:tab w:leader="none" w:pos="863"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Residence</w:t>
      </w:r>
      <w:r>
        <w:rPr>
          <w:rFonts w:ascii="Times New Roman" w:cs="Times New Roman" w:eastAsia="Times New Roman" w:hAnsi="Times New Roman"/>
          <w:sz w:val="18"/>
          <w:szCs w:val="18"/>
          <w:color w:val="auto"/>
        </w:rPr>
        <w:t>. The Purchaser’s principal place of business is the office or offices located at the address of the Purchaser set forth on the signature page hereof.</w:t>
      </w:r>
    </w:p>
    <w:p>
      <w:pPr>
        <w:spacing w:after="0" w:line="161" w:lineRule="exact"/>
        <w:rPr>
          <w:rFonts w:ascii="Times New Roman" w:cs="Times New Roman" w:eastAsia="Times New Roman" w:hAnsi="Times New Roman"/>
          <w:sz w:val="18"/>
          <w:szCs w:val="18"/>
          <w:color w:val="auto"/>
        </w:rPr>
      </w:pPr>
    </w:p>
    <w:p>
      <w:pPr>
        <w:ind w:right="300" w:firstLine="656"/>
        <w:spacing w:after="0" w:line="282" w:lineRule="auto"/>
        <w:tabs>
          <w:tab w:leader="none" w:pos="953"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The Purchaser acknowledges its obligations under applicable securities laws with respect to the treatment of non-public information relating to the Company.</w:t>
      </w:r>
    </w:p>
    <w:p>
      <w:pPr>
        <w:spacing w:after="0" w:line="161" w:lineRule="exact"/>
        <w:rPr>
          <w:rFonts w:ascii="Times New Roman" w:cs="Times New Roman" w:eastAsia="Times New Roman" w:hAnsi="Times New Roman"/>
          <w:sz w:val="18"/>
          <w:szCs w:val="18"/>
          <w:color w:val="auto"/>
        </w:rPr>
      </w:pPr>
    </w:p>
    <w:p>
      <w:pPr>
        <w:ind w:right="300" w:firstLine="656"/>
        <w:spacing w:after="0" w:line="282" w:lineRule="auto"/>
        <w:tabs>
          <w:tab w:leader="none" w:pos="903"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Adequacy of Financing</w:t>
      </w:r>
      <w:r>
        <w:rPr>
          <w:rFonts w:ascii="Times New Roman" w:cs="Times New Roman" w:eastAsia="Times New Roman" w:hAnsi="Times New Roman"/>
          <w:sz w:val="18"/>
          <w:szCs w:val="18"/>
          <w:color w:val="auto"/>
        </w:rPr>
        <w:t>. At the time of the Forward Closing, the Purchaser will have available to it sufficient funds to satisfy its obligations under this Agreement.</w:t>
      </w:r>
    </w:p>
    <w:p>
      <w:pPr>
        <w:spacing w:after="0" w:line="161" w:lineRule="exact"/>
        <w:rPr>
          <w:rFonts w:ascii="Times New Roman" w:cs="Times New Roman" w:eastAsia="Times New Roman" w:hAnsi="Times New Roman"/>
          <w:sz w:val="18"/>
          <w:szCs w:val="18"/>
          <w:color w:val="auto"/>
        </w:rPr>
      </w:pPr>
    </w:p>
    <w:p>
      <w:pPr>
        <w:ind w:right="40" w:firstLine="656"/>
        <w:spacing w:after="0" w:line="255" w:lineRule="auto"/>
        <w:tabs>
          <w:tab w:leader="none" w:pos="903"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Other Representations and Warranties; Non-Reliance</w:t>
      </w:r>
      <w:r>
        <w:rPr>
          <w:rFonts w:ascii="Times New Roman" w:cs="Times New Roman" w:eastAsia="Times New Roman" w:hAnsi="Times New Roman"/>
          <w:sz w:val="18"/>
          <w:szCs w:val="18"/>
          <w:color w:val="auto"/>
        </w:rPr>
        <w:t xml:space="preserve">. Except for the specific representations and warranties contained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and in any certificate or agreement delivered pursuant hereto, none of the Purchaser nor any person acting on behalf of the Purchaser nor any of the Purchaser’s affiliates (the “</w:t>
      </w:r>
      <w:r>
        <w:rPr>
          <w:rFonts w:ascii="Times New Roman" w:cs="Times New Roman" w:eastAsia="Times New Roman" w:hAnsi="Times New Roman"/>
          <w:sz w:val="18"/>
          <w:szCs w:val="18"/>
          <w:u w:val="single" w:color="auto"/>
          <w:color w:val="auto"/>
        </w:rPr>
        <w:t>Purchaser Parties</w:t>
      </w:r>
      <w:r>
        <w:rPr>
          <w:rFonts w:ascii="Times New Roman" w:cs="Times New Roman" w:eastAsia="Times New Roman" w:hAnsi="Times New Roman"/>
          <w:sz w:val="18"/>
          <w:szCs w:val="18"/>
          <w:color w:val="auto"/>
        </w:rPr>
        <w:t xml:space="preserve">”) has made, makes or shall be deemed to make any other express or implied representation or warranty with respect to the Purchaser and this offering, and the Purchaser Parties disclaim any such representation or warranty. Except for the specific representations and warranties expressly made by the Company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Agreement and in any certificate or agreement delivered pursuant hereto, the Purchaser Parties specifically disclaim that they are relying upon any other representations or warranties that may have been made by the Company, any person on behalf of the Company or any of the Company’s affiliates (collectively, the “</w:t>
      </w:r>
      <w:r>
        <w:rPr>
          <w:rFonts w:ascii="Times New Roman" w:cs="Times New Roman" w:eastAsia="Times New Roman" w:hAnsi="Times New Roman"/>
          <w:sz w:val="18"/>
          <w:szCs w:val="18"/>
          <w:u w:val="single" w:color="auto"/>
          <w:color w:val="auto"/>
        </w:rPr>
        <w:t>Company Parties</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Representations and Warranties of the Company. </w:t>
      </w:r>
      <w:r>
        <w:rPr>
          <w:rFonts w:ascii="Times New Roman" w:cs="Times New Roman" w:eastAsia="Times New Roman" w:hAnsi="Times New Roman"/>
          <w:sz w:val="18"/>
          <w:szCs w:val="18"/>
          <w:color w:val="auto"/>
        </w:rPr>
        <w:t>The Company represents and warrants to the Advisor and the Purchaser as follows:</w:t>
      </w:r>
    </w:p>
    <w:p>
      <w:pPr>
        <w:spacing w:after="0" w:line="229" w:lineRule="exact"/>
        <w:rPr>
          <w:rFonts w:ascii="Times New Roman" w:cs="Times New Roman" w:eastAsia="Times New Roman" w:hAnsi="Times New Roman"/>
          <w:sz w:val="18"/>
          <w:szCs w:val="18"/>
          <w:b w:val="1"/>
          <w:bCs w:val="1"/>
          <w:color w:val="auto"/>
        </w:rPr>
      </w:pPr>
    </w:p>
    <w:p>
      <w:pPr>
        <w:ind w:right="140" w:firstLine="656"/>
        <w:spacing w:after="0" w:line="266" w:lineRule="auto"/>
        <w:tabs>
          <w:tab w:leader="none" w:pos="892"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and Corporate Power</w:t>
      </w:r>
      <w:r>
        <w:rPr>
          <w:rFonts w:ascii="Times New Roman" w:cs="Times New Roman" w:eastAsia="Times New Roman" w:hAnsi="Times New Roman"/>
          <w:sz w:val="18"/>
          <w:szCs w:val="18"/>
          <w:color w:val="auto"/>
        </w:rPr>
        <w:t>. The Company is a corporation duly incorporated and validly existing and in good standing as a corporation under the laws of the State of Delaware and has all requisite corporate power and authority to carry on its business as presently conducted and as proposed to be conducted. The Company has no subsidiaries.</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On the date hereof, the authorized share capital of the Company consists of:</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2"/>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380,000,000 Class A Shares, none of which are issued and outstanding.</w:t>
      </w:r>
    </w:p>
    <w:p>
      <w:pPr>
        <w:spacing w:after="0" w:line="225" w:lineRule="exact"/>
        <w:rPr>
          <w:rFonts w:ascii="Times New Roman" w:cs="Times New Roman" w:eastAsia="Times New Roman" w:hAnsi="Times New Roman"/>
          <w:sz w:val="18"/>
          <w:szCs w:val="18"/>
          <w:color w:val="auto"/>
        </w:rPr>
      </w:pPr>
    </w:p>
    <w:p>
      <w:pPr>
        <w:ind w:right="320" w:firstLine="1304"/>
        <w:spacing w:after="0" w:line="266" w:lineRule="auto"/>
        <w:tabs>
          <w:tab w:leader="none" w:pos="1561" w:val="left"/>
        </w:tabs>
        <w:numPr>
          <w:ilvl w:val="2"/>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 shares of the Company’s Class B common stock, par value $0.0001 per shares (the “</w:t>
      </w:r>
      <w:r>
        <w:rPr>
          <w:rFonts w:ascii="Times New Roman" w:cs="Times New Roman" w:eastAsia="Times New Roman" w:hAnsi="Times New Roman"/>
          <w:sz w:val="18"/>
          <w:szCs w:val="18"/>
          <w:u w:val="single" w:color="auto"/>
          <w:color w:val="auto"/>
        </w:rPr>
        <w:t>Class B Shares</w:t>
      </w:r>
      <w:r>
        <w:rPr>
          <w:rFonts w:ascii="Times New Roman" w:cs="Times New Roman" w:eastAsia="Times New Roman" w:hAnsi="Times New Roman"/>
          <w:sz w:val="18"/>
          <w:szCs w:val="18"/>
          <w:color w:val="auto"/>
        </w:rPr>
        <w:t>”), 11,068,750 of which are issued and outstanding. All of the outstanding Class B Shares have been duly authorized, are fully paid and nonassessable and were issued in compliance with all applicable federal and state securities laws.</w:t>
      </w:r>
    </w:p>
    <w:p>
      <w:pPr>
        <w:spacing w:after="0" w:line="17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2"/>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 preferred shares, none of which are issued and outstanding.</w:t>
      </w:r>
    </w:p>
    <w:p>
      <w:pPr>
        <w:spacing w:after="0" w:line="225" w:lineRule="exact"/>
        <w:rPr>
          <w:rFonts w:ascii="Times New Roman" w:cs="Times New Roman" w:eastAsia="Times New Roman" w:hAnsi="Times New Roman"/>
          <w:sz w:val="18"/>
          <w:szCs w:val="18"/>
          <w:color w:val="auto"/>
        </w:rPr>
      </w:pPr>
    </w:p>
    <w:p>
      <w:pPr>
        <w:ind w:firstLine="656"/>
        <w:spacing w:after="0" w:line="253" w:lineRule="auto"/>
        <w:tabs>
          <w:tab w:leader="none" w:pos="892"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All corporate action required to be taken by the Company’s Board of Directors and stockholders in order to authorize the Company to enter into this Agreement, and to issue the Forward Purchase Shares at the Forward Closing, has been taken or will be taken prior to the Forward Closing. All action on the part of the stockholders, directors and officers of the Company necessary for the execution and delivery of this Agreement, the performance of all obligations of the Company under this Agreement to be performed as of the Forward Closing, and the issuance and delivery of the Forward Purchase Shares has been taken or will be taken prior to the Forward Closing. This Agreement, when executed and delivered by the Company, shall constitute the valid and legally binding obligation of the Company, enforceable against the Company in accordance with its terms except</w:t>
      </w:r>
    </w:p>
    <w:p>
      <w:pPr>
        <w:spacing w:after="0" w:line="5" w:lineRule="exact"/>
        <w:rPr>
          <w:rFonts w:ascii="Times New Roman" w:cs="Times New Roman" w:eastAsia="Times New Roman" w:hAnsi="Times New Roman"/>
          <w:sz w:val="18"/>
          <w:szCs w:val="18"/>
          <w:color w:val="auto"/>
        </w:rPr>
      </w:pPr>
    </w:p>
    <w:p>
      <w:pPr>
        <w:ind w:right="1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as limited by applicable bankruptcy, insolvency, reorganization, moratorium, fraudulent conveyance, or other laws of general application relating to or affecting the enforcement of creditors’ rights generally, (ii) as limited by laws relating to the availability of specific performance, injunctive relief, or other equitable remedies, or (iii) to the extent the indemnification provisions contained in the Registration Rights may be limited by applicable federal or state securities laws.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6" w:name="page157"/>
    <w:bookmarkEnd w:id="156"/>
    <w:p>
      <w:pPr>
        <w:ind w:left="-8" w:right="40" w:firstLine="656"/>
        <w:spacing w:after="0" w:line="256" w:lineRule="auto"/>
        <w:tabs>
          <w:tab w:leader="none" w:pos="895"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 Issuance of Shares</w:t>
      </w:r>
      <w:r>
        <w:rPr>
          <w:rFonts w:ascii="Times New Roman" w:cs="Times New Roman" w:eastAsia="Times New Roman" w:hAnsi="Times New Roman"/>
          <w:sz w:val="18"/>
          <w:szCs w:val="18"/>
          <w:color w:val="auto"/>
        </w:rPr>
        <w:t xml:space="preserve">. The Forward Purchase Shares, when issued, sold and delivered in accordance with the terms and for the consideration set forth in this Agreement, will be validly issued, fully paid and nonassessable, and free of all preemptive or similar rights, taxes, liens, encumbrances and charges with respect to the issue thereof and restrictions on transfer other than restrictions on transfer specified under this Agreement, applicable state and federal securities laws and liens or encumbrances created by or imposed by the Purchaser. Assuming the accuracy of the representations of the Purchaser in this Agreement and subject to the filings described in </w:t>
      </w:r>
      <w:r>
        <w:rPr>
          <w:rFonts w:ascii="Times New Roman" w:cs="Times New Roman" w:eastAsia="Times New Roman" w:hAnsi="Times New Roman"/>
          <w:sz w:val="18"/>
          <w:szCs w:val="18"/>
          <w:u w:val="single" w:color="auto"/>
          <w:color w:val="auto"/>
        </w:rPr>
        <w:t>Section 4(e)</w:t>
      </w:r>
      <w:r>
        <w:rPr>
          <w:rFonts w:ascii="Times New Roman" w:cs="Times New Roman" w:eastAsia="Times New Roman" w:hAnsi="Times New Roman"/>
          <w:sz w:val="18"/>
          <w:szCs w:val="18"/>
          <w:color w:val="auto"/>
        </w:rPr>
        <w:t xml:space="preserve"> below, the Forward Purchase Shares will be issued in compliance with all applicable federal and state securities laws.</w:t>
      </w:r>
    </w:p>
    <w:p>
      <w:pPr>
        <w:spacing w:after="0" w:line="187" w:lineRule="exact"/>
        <w:rPr>
          <w:rFonts w:ascii="Times New Roman" w:cs="Times New Roman" w:eastAsia="Times New Roman" w:hAnsi="Times New Roman"/>
          <w:sz w:val="18"/>
          <w:szCs w:val="18"/>
          <w:color w:val="auto"/>
        </w:rPr>
      </w:pPr>
    </w:p>
    <w:p>
      <w:pPr>
        <w:ind w:left="-8" w:firstLine="656"/>
        <w:spacing w:after="0" w:line="261" w:lineRule="auto"/>
        <w:tabs>
          <w:tab w:leader="none" w:pos="884"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Governmental Consents and Filings</w:t>
      </w:r>
      <w:r>
        <w:rPr>
          <w:rFonts w:ascii="Times New Roman" w:cs="Times New Roman" w:eastAsia="Times New Roman" w:hAnsi="Times New Roman"/>
          <w:sz w:val="18"/>
          <w:szCs w:val="18"/>
          <w:color w:val="auto"/>
        </w:rPr>
        <w:t>. Assuming the accuracy of the representations and warranties made by the Purchaser in this Agreement, no consent, approval, order or authorization of, or registration, qualification, designation, declaration or filing with, any federal, state or local governmental authority is required on the part of the Company in connection with the consummation of the transactions contemplated by this Agreement, except for filings pursuant to Regulation D of the Securities Act, and applicable state securities laws, if any, and pursuant to the Registration Rights.</w:t>
      </w:r>
    </w:p>
    <w:p>
      <w:pPr>
        <w:spacing w:after="0" w:line="179" w:lineRule="exact"/>
        <w:rPr>
          <w:rFonts w:ascii="Times New Roman" w:cs="Times New Roman" w:eastAsia="Times New Roman" w:hAnsi="Times New Roman"/>
          <w:sz w:val="18"/>
          <w:szCs w:val="18"/>
          <w:color w:val="auto"/>
        </w:rPr>
      </w:pPr>
    </w:p>
    <w:p>
      <w:pPr>
        <w:ind w:left="-8" w:right="40" w:firstLine="656"/>
        <w:spacing w:after="0" w:line="254" w:lineRule="auto"/>
        <w:tabs>
          <w:tab w:leader="none" w:pos="865"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Other Instruments</w:t>
      </w:r>
      <w:r>
        <w:rPr>
          <w:rFonts w:ascii="Times New Roman" w:cs="Times New Roman" w:eastAsia="Times New Roman" w:hAnsi="Times New Roman"/>
          <w:sz w:val="18"/>
          <w:szCs w:val="18"/>
          <w:color w:val="auto"/>
        </w:rPr>
        <w:t>. The execution, delivery and performance of this Agreement and the consummation of the transactions contemplated by this Agreement will not result in any violation or default (i) of any provisions of the Company’s amended and restated certificate of incorporation, as it may be amended from time to time (the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bylaws or other governing documents of the Company, (ii) of any instrument, judgment, order, writ or decree to which the Company is a party or by which it is bound, (iii) under any note, indenture or mortgage to which the Company is a party or by which it is bound, (iv) under any lease, agreement, contract or purchase order to which the Company is a party or by which it is bound or</w:t>
      </w:r>
    </w:p>
    <w:p>
      <w:pPr>
        <w:spacing w:after="0" w:line="3" w:lineRule="exact"/>
        <w:rPr>
          <w:rFonts w:ascii="Times New Roman" w:cs="Times New Roman" w:eastAsia="Times New Roman" w:hAnsi="Times New Roman"/>
          <w:sz w:val="18"/>
          <w:szCs w:val="18"/>
          <w:color w:val="auto"/>
        </w:rPr>
      </w:pPr>
    </w:p>
    <w:p>
      <w:pPr>
        <w:ind w:left="-8" w:right="600" w:firstLine="8"/>
        <w:spacing w:after="0" w:line="260" w:lineRule="auto"/>
        <w:tabs>
          <w:tab w:leader="none" w:pos="247"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provision of federal or state statute, rule or regulation applicable to the Company, in each case (other than clause (i)) which would have a material adverse effect on the Company or its ability to consummate the transactions contemplated by this Agreement.</w:t>
      </w:r>
    </w:p>
    <w:p>
      <w:pPr>
        <w:spacing w:after="0" w:line="181" w:lineRule="exact"/>
        <w:rPr>
          <w:rFonts w:ascii="Times New Roman" w:cs="Times New Roman" w:eastAsia="Times New Roman" w:hAnsi="Times New Roman"/>
          <w:sz w:val="18"/>
          <w:szCs w:val="18"/>
          <w:color w:val="auto"/>
        </w:rPr>
      </w:pPr>
    </w:p>
    <w:p>
      <w:pPr>
        <w:ind w:left="-8" w:right="40" w:firstLine="656"/>
        <w:spacing w:after="0" w:line="282" w:lineRule="auto"/>
        <w:tabs>
          <w:tab w:leader="none" w:pos="895"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Operations</w:t>
      </w:r>
      <w:r>
        <w:rPr>
          <w:rFonts w:ascii="Times New Roman" w:cs="Times New Roman" w:eastAsia="Times New Roman" w:hAnsi="Times New Roman"/>
          <w:sz w:val="18"/>
          <w:szCs w:val="18"/>
          <w:color w:val="auto"/>
        </w:rPr>
        <w:t>. As of the date hereof, the Company has not conducted, and prior to the IPO Closing the Company will not conduct, any operations other than organizational activities and activities in connection with offerings of its securities.</w:t>
      </w:r>
    </w:p>
    <w:p>
      <w:pPr>
        <w:spacing w:after="0" w:line="161" w:lineRule="exact"/>
        <w:rPr>
          <w:rFonts w:ascii="Times New Roman" w:cs="Times New Roman" w:eastAsia="Times New Roman" w:hAnsi="Times New Roman"/>
          <w:sz w:val="18"/>
          <w:szCs w:val="18"/>
          <w:color w:val="auto"/>
        </w:rPr>
      </w:pPr>
    </w:p>
    <w:p>
      <w:pPr>
        <w:ind w:left="-8" w:right="80" w:firstLine="656"/>
        <w:spacing w:after="0" w:line="266" w:lineRule="auto"/>
        <w:tabs>
          <w:tab w:leader="none" w:pos="895"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Neither the Company, nor any of its officers, directors, employees, agents or stockholders has either directly or indirectly, including, through a broker or finder (i) engaged in any general solicitation, or (ii) published any advertisement in connection with the offer and sale of the Forward Purchase Shares.</w:t>
      </w:r>
    </w:p>
    <w:p>
      <w:pPr>
        <w:spacing w:after="0" w:line="175" w:lineRule="exact"/>
        <w:rPr>
          <w:rFonts w:ascii="Times New Roman" w:cs="Times New Roman" w:eastAsia="Times New Roman" w:hAnsi="Times New Roman"/>
          <w:sz w:val="18"/>
          <w:szCs w:val="18"/>
          <w:color w:val="auto"/>
        </w:rPr>
      </w:pPr>
    </w:p>
    <w:p>
      <w:pPr>
        <w:ind w:left="-8" w:right="60" w:firstLine="656"/>
        <w:spacing w:after="0" w:line="256" w:lineRule="auto"/>
        <w:tabs>
          <w:tab w:leader="none" w:pos="855"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Other Representations and Warranties; Non-Reliance</w:t>
      </w:r>
      <w:r>
        <w:rPr>
          <w:rFonts w:ascii="Times New Roman" w:cs="Times New Roman" w:eastAsia="Times New Roman" w:hAnsi="Times New Roman"/>
          <w:sz w:val="18"/>
          <w:szCs w:val="18"/>
          <w:color w:val="auto"/>
        </w:rPr>
        <w:t xml:space="preserve">. Except for the specific representations and warranties contained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and in any certificate or agreement delivered pursuant hereto, none of the Company Parties has made, makes or shall be deemed to make any other express or implied representation or warranty with respect to the Company, this offering, the proposed IPO or a potential Business Combination, and the Company Parties disclaim any such representation or warranty. Except for the specific representations and warranties expressly made by the Advisor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the Agreement and by the Purchaser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Agreement and in any certificate or agreement delivered pursuant hereto, the Company Parties specifically disclaim that they are relying upon any other representations or warranties that may have been made by the Purchaser Parties.</w:t>
      </w:r>
    </w:p>
    <w:p>
      <w:pPr>
        <w:spacing w:after="0" w:line="39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904" w:right="359" w:bottom="1440" w:gutter="0" w:footer="0" w:header="0"/>
        </w:sectPr>
      </w:pPr>
    </w:p>
    <w:bookmarkStart w:id="157" w:name="page158"/>
    <w:bookmarkEnd w:id="157"/>
    <w:p>
      <w:pPr>
        <w:ind w:left="-8" w:right="100" w:firstLine="8"/>
        <w:spacing w:after="0" w:line="259" w:lineRule="auto"/>
        <w:tabs>
          <w:tab w:leader="none" w:pos="172"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Right of First Offer. </w:t>
      </w:r>
      <w:r>
        <w:rPr>
          <w:rFonts w:ascii="Times New Roman" w:cs="Times New Roman" w:eastAsia="Times New Roman" w:hAnsi="Times New Roman"/>
          <w:sz w:val="18"/>
          <w:szCs w:val="18"/>
          <w:color w:val="auto"/>
        </w:rPr>
        <w:t>Subject to the terms and conditions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if, in connection with or prior to the Business Combination Closing,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proposes to issue any equity securities, or securities convertible into, exchangeable or exercisable for equity securities, other than the Public Units (and their component Public Shares and Public Warrants) and the Excluded Securities (as defined below) (“</w:t>
      </w:r>
      <w:r>
        <w:rPr>
          <w:rFonts w:ascii="Times New Roman" w:cs="Times New Roman" w:eastAsia="Times New Roman" w:hAnsi="Times New Roman"/>
          <w:sz w:val="18"/>
          <w:szCs w:val="18"/>
          <w:u w:val="single" w:color="auto"/>
          <w:color w:val="auto"/>
        </w:rPr>
        <w:t>New Equity Securities</w:t>
      </w:r>
      <w:r>
        <w:rPr>
          <w:rFonts w:ascii="Times New Roman" w:cs="Times New Roman" w:eastAsia="Times New Roman" w:hAnsi="Times New Roman"/>
          <w:sz w:val="18"/>
          <w:szCs w:val="18"/>
          <w:color w:val="auto"/>
        </w:rPr>
        <w:t xml:space="preserve">”), or offer or seek commitments for any New Equity Securities to backstop any such capital raise, the Company shall first make an offer of the New Equity Securities to the Advisors on behalf of their respective Clients or other Purchasers in accordance with the following provisions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b w:val="1"/>
          <w:bCs w:val="1"/>
          <w:color w:val="auto"/>
        </w:rPr>
      </w:pPr>
    </w:p>
    <w:p>
      <w:pPr>
        <w:ind w:left="892" w:hanging="244"/>
        <w:spacing w:after="0"/>
        <w:tabs>
          <w:tab w:leader="none" w:pos="892"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Offer Notice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 w:right="120" w:firstLine="1304"/>
        <w:spacing w:after="0" w:line="261" w:lineRule="auto"/>
        <w:tabs>
          <w:tab w:leader="none" w:pos="1500" w:val="left"/>
        </w:tabs>
        <w:numPr>
          <w:ilvl w:val="2"/>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give written notice (the “</w:t>
      </w:r>
      <w:r>
        <w:rPr>
          <w:rFonts w:ascii="Times New Roman" w:cs="Times New Roman" w:eastAsia="Times New Roman" w:hAnsi="Times New Roman"/>
          <w:sz w:val="18"/>
          <w:szCs w:val="18"/>
          <w:u w:val="single" w:color="auto"/>
          <w:color w:val="auto"/>
        </w:rPr>
        <w:t>Offering Notice</w:t>
      </w:r>
      <w:r>
        <w:rPr>
          <w:rFonts w:ascii="Times New Roman" w:cs="Times New Roman" w:eastAsia="Times New Roman" w:hAnsi="Times New Roman"/>
          <w:sz w:val="18"/>
          <w:szCs w:val="18"/>
          <w:color w:val="auto"/>
        </w:rPr>
        <w:t xml:space="preserve">”) to the Advisors stating its bona fide intention to offer the New Equity Securities and specifying the number of New Equity Securities and the material terms and conditions, including the price, pursuant to which the Company proposes to offer the New Equity Securities and the applicable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such New Equity Securities offered to each of the Advisors pursuant to such Offering Notice, which shall be 50% of such New Equity Securities.</w:t>
      </w:r>
    </w:p>
    <w:p>
      <w:pPr>
        <w:spacing w:after="0" w:line="179" w:lineRule="exact"/>
        <w:rPr>
          <w:rFonts w:ascii="Times New Roman" w:cs="Times New Roman" w:eastAsia="Times New Roman" w:hAnsi="Times New Roman"/>
          <w:sz w:val="18"/>
          <w:szCs w:val="18"/>
          <w:color w:val="auto"/>
        </w:rPr>
      </w:pPr>
    </w:p>
    <w:p>
      <w:pPr>
        <w:ind w:left="-8" w:right="340" w:firstLine="1304"/>
        <w:spacing w:after="0" w:line="282" w:lineRule="auto"/>
        <w:tabs>
          <w:tab w:leader="none" w:pos="1550" w:val="left"/>
        </w:tabs>
        <w:numPr>
          <w:ilvl w:val="2"/>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Notice shall constitute the Company’s offer to sell the New Equity Securities to Clients managed by the Advisors or other Purchasers, which offer shall be irrevocable for a period of ten (10) Business Days (the “</w:t>
      </w:r>
      <w:r>
        <w:rPr>
          <w:rFonts w:ascii="Times New Roman" w:cs="Times New Roman" w:eastAsia="Times New Roman" w:hAnsi="Times New Roman"/>
          <w:sz w:val="18"/>
          <w:szCs w:val="18"/>
          <w:u w:val="single" w:color="auto"/>
          <w:color w:val="auto"/>
        </w:rPr>
        <w:t>ROFO Notice Period</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912" w:hanging="264"/>
        <w:spacing w:after="0"/>
        <w:tabs>
          <w:tab w:leader="none" w:pos="912"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Right of First Offer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 w:firstLine="1304"/>
        <w:spacing w:after="0" w:line="258" w:lineRule="auto"/>
        <w:tabs>
          <w:tab w:leader="none" w:pos="1503" w:val="left"/>
        </w:tabs>
        <w:numPr>
          <w:ilvl w:val="2"/>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receipt of the Offering Notice, the Advisors shall have until the end of the ROFO Notice Period to accept the Company’s offer to purchase, in whole or in part, its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the New Equity Securities by delivering a written notice (a “</w:t>
      </w:r>
      <w:r>
        <w:rPr>
          <w:rFonts w:ascii="Times New Roman" w:cs="Times New Roman" w:eastAsia="Times New Roman" w:hAnsi="Times New Roman"/>
          <w:sz w:val="18"/>
          <w:szCs w:val="18"/>
          <w:u w:val="single" w:color="auto"/>
          <w:color w:val="auto"/>
        </w:rPr>
        <w:t>ROFO Notice</w:t>
      </w:r>
      <w:r>
        <w:rPr>
          <w:rFonts w:ascii="Times New Roman" w:cs="Times New Roman" w:eastAsia="Times New Roman" w:hAnsi="Times New Roman"/>
          <w:sz w:val="18"/>
          <w:szCs w:val="18"/>
          <w:color w:val="auto"/>
        </w:rPr>
        <w:t>”) to the Company stating that it accepts, on behalf of one or more specified Clients or other Purchasers, the Company’s offer to purchase such New Equity Securities on the terms specified in the Offering Notice and in the amounts specified in the ROFO Notice. Any ROFO Notice signed by the Clients or other Purchasers named therein and so delivered shall be binding upon delivery and irrevocable by such Clients or other Purchasers.</w:t>
      </w:r>
    </w:p>
    <w:p>
      <w:pPr>
        <w:spacing w:after="0" w:line="183" w:lineRule="exact"/>
        <w:rPr>
          <w:rFonts w:ascii="Times New Roman" w:cs="Times New Roman" w:eastAsia="Times New Roman" w:hAnsi="Times New Roman"/>
          <w:sz w:val="18"/>
          <w:szCs w:val="18"/>
          <w:color w:val="auto"/>
        </w:rPr>
      </w:pPr>
    </w:p>
    <w:p>
      <w:pPr>
        <w:ind w:left="-8" w:right="40" w:firstLine="1304"/>
        <w:spacing w:after="0" w:line="253" w:lineRule="auto"/>
        <w:tabs>
          <w:tab w:leader="none" w:pos="1553" w:val="left"/>
        </w:tabs>
        <w:numPr>
          <w:ilvl w:val="2"/>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one of the Advisors does not deliver a ROFO Notice during the ROFO Notice Period accepting all of the New Equity Securities offered to it, it shall be deemed to have waived on behalf of its Clients or other Purchasers all rights to purchase the New Equity Securities offered pursuant to the Offering Notice under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that were not included in the ROFO Notice (the “</w:t>
      </w:r>
      <w:r>
        <w:rPr>
          <w:rFonts w:ascii="Times New Roman" w:cs="Times New Roman" w:eastAsia="Times New Roman" w:hAnsi="Times New Roman"/>
          <w:sz w:val="18"/>
          <w:szCs w:val="18"/>
          <w:u w:val="single" w:color="auto"/>
          <w:color w:val="auto"/>
        </w:rPr>
        <w:t>Waived New Equity Securities</w:t>
      </w:r>
      <w:r>
        <w:rPr>
          <w:rFonts w:ascii="Times New Roman" w:cs="Times New Roman" w:eastAsia="Times New Roman" w:hAnsi="Times New Roman"/>
          <w:sz w:val="18"/>
          <w:szCs w:val="18"/>
          <w:color w:val="auto"/>
        </w:rPr>
        <w:t>”). Thereafter, to the extent the other Advisor has delivered a ROFO Notice to the Company during the ROFO Notice Period accepting the Company’s initial offer to purchase all of the New Equity Securities offered to it, the Company shall, within five (5) Business Days after the expiration of the ROFO Notice Period, give an Offering Notice to such Advisor, informing it that it has the right to increase the number of New Equity Securities that it accepted pursuant to the initial ROFO Notice by up to the number of Waived New Equity Securities. Such Advisor shall then have two (2) Business Days (the “</w:t>
      </w:r>
      <w:r>
        <w:rPr>
          <w:rFonts w:ascii="Times New Roman" w:cs="Times New Roman" w:eastAsia="Times New Roman" w:hAnsi="Times New Roman"/>
          <w:sz w:val="18"/>
          <w:szCs w:val="18"/>
          <w:u w:val="single" w:color="auto"/>
          <w:color w:val="auto"/>
        </w:rPr>
        <w:t>Subsequent Offering Period</w:t>
      </w:r>
      <w:r>
        <w:rPr>
          <w:rFonts w:ascii="Times New Roman" w:cs="Times New Roman" w:eastAsia="Times New Roman" w:hAnsi="Times New Roman"/>
          <w:sz w:val="18"/>
          <w:szCs w:val="18"/>
          <w:color w:val="auto"/>
        </w:rPr>
        <w:t>”) in which to accept such second offer, by giving notice of acceptance (the “</w:t>
      </w:r>
      <w:r>
        <w:rPr>
          <w:rFonts w:ascii="Times New Roman" w:cs="Times New Roman" w:eastAsia="Times New Roman" w:hAnsi="Times New Roman"/>
          <w:sz w:val="18"/>
          <w:szCs w:val="18"/>
          <w:u w:val="single" w:color="auto"/>
          <w:color w:val="auto"/>
        </w:rPr>
        <w:t>Subsequent ROFO Notice</w:t>
      </w:r>
      <w:r>
        <w:rPr>
          <w:rFonts w:ascii="Times New Roman" w:cs="Times New Roman" w:eastAsia="Times New Roman" w:hAnsi="Times New Roman"/>
          <w:sz w:val="18"/>
          <w:szCs w:val="18"/>
          <w:color w:val="auto"/>
        </w:rPr>
        <w:t>”) to the Company prior to the expiration of the Subsequent Offering Period, as to portion of the Waived New Equity Securities it accepts for purchase on behalf of one or more specified Clients or other Purchasers.</w:t>
      </w:r>
    </w:p>
    <w:p>
      <w:pPr>
        <w:spacing w:after="0" w:line="194" w:lineRule="exact"/>
        <w:rPr>
          <w:rFonts w:ascii="Times New Roman" w:cs="Times New Roman" w:eastAsia="Times New Roman" w:hAnsi="Times New Roman"/>
          <w:sz w:val="18"/>
          <w:szCs w:val="18"/>
          <w:color w:val="auto"/>
        </w:rPr>
      </w:pPr>
    </w:p>
    <w:p>
      <w:pPr>
        <w:ind w:left="-8" w:right="120" w:firstLine="1304"/>
        <w:spacing w:after="0" w:line="254" w:lineRule="auto"/>
        <w:tabs>
          <w:tab w:leader="none" w:pos="1603" w:val="left"/>
        </w:tabs>
        <w:numPr>
          <w:ilvl w:val="2"/>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Subsequent Offer Notice is not delivered to the Company prior to the expiration of the Subsequent Offering Period accepting for purchase all of the Waived New Equity Securities, the applicable Advisor shall be deemed to have waived on behalf of its Clients and other Purchasers all rights to purchase such Waived New Equity Securities in such second offer by the Company that it did not accept for purchase. The Company shall thereafter be free to sell or enter into an agreement to sell the unaccepted portion of such Waived New Equity Securities to any third party without any further obligation to the Advisors pursuant to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within the ninety (90) day period thereafter (and with respect to an agreement to sell, consummate such sale at any time thereafter) on terms and conditions not more favorable to the third party than those set forth in any Offering Notice. If the Company does not sell or enter into an agreement to sell the unaccepted portion of the New Equity Securities within such period, the rights provided hereunder shall be deemed to be revived and the New Equity Securities shall not be offered to any third party unless first re-offered to the Advisors in accordance with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8" w:right="80" w:firstLine="656"/>
        <w:spacing w:after="0" w:line="254" w:lineRule="auto"/>
        <w:tabs>
          <w:tab w:leader="none" w:pos="884"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Excluded Securities</w:t>
      </w:r>
      <w:r>
        <w:rPr>
          <w:rFonts w:ascii="Times New Roman" w:cs="Times New Roman" w:eastAsia="Times New Roman" w:hAnsi="Times New Roman"/>
          <w:sz w:val="18"/>
          <w:szCs w:val="18"/>
          <w:color w:val="auto"/>
        </w:rPr>
        <w:t>. For purposes hereof, the term “</w:t>
      </w:r>
      <w:r>
        <w:rPr>
          <w:rFonts w:ascii="Times New Roman" w:cs="Times New Roman" w:eastAsia="Times New Roman" w:hAnsi="Times New Roman"/>
          <w:sz w:val="18"/>
          <w:szCs w:val="18"/>
          <w:u w:val="single" w:color="auto"/>
          <w:color w:val="auto"/>
        </w:rPr>
        <w:t>Excluded Securities</w:t>
      </w:r>
      <w:r>
        <w:rPr>
          <w:rFonts w:ascii="Times New Roman" w:cs="Times New Roman" w:eastAsia="Times New Roman" w:hAnsi="Times New Roman"/>
          <w:sz w:val="18"/>
          <w:szCs w:val="18"/>
          <w:color w:val="auto"/>
        </w:rPr>
        <w:t>” means Class B Shares (and Class A Shares for which such Class B Shares are convertible) issued to the Sponsor prior to the IPO, private placement warrants issued by the Company in connection with the IPO for $1.50 per warrant for an aggregate of $9,700,000 (or $10,855,000 if the underwriters’ over-allotment option is exercised in full) and which have the same exercise price as the Warrants (“</w:t>
      </w:r>
      <w:r>
        <w:rPr>
          <w:rFonts w:ascii="Times New Roman" w:cs="Times New Roman" w:eastAsia="Times New Roman" w:hAnsi="Times New Roman"/>
          <w:sz w:val="18"/>
          <w:szCs w:val="18"/>
          <w:u w:val="single" w:color="auto"/>
          <w:color w:val="auto"/>
        </w:rPr>
        <w:t>Private Placement Warrants</w:t>
      </w:r>
      <w:r>
        <w:rPr>
          <w:rFonts w:ascii="Times New Roman" w:cs="Times New Roman" w:eastAsia="Times New Roman" w:hAnsi="Times New Roman"/>
          <w:sz w:val="18"/>
          <w:szCs w:val="18"/>
          <w:color w:val="auto"/>
        </w:rPr>
        <w:t>”) issued pursuant to a private placement agreement by and among the Company and the parties thereto (the “</w:t>
      </w:r>
      <w:r>
        <w:rPr>
          <w:rFonts w:ascii="Times New Roman" w:cs="Times New Roman" w:eastAsia="Times New Roman" w:hAnsi="Times New Roman"/>
          <w:sz w:val="18"/>
          <w:szCs w:val="18"/>
          <w:u w:val="single" w:color="auto"/>
          <w:color w:val="auto"/>
        </w:rPr>
        <w:t>Private Placement Warrant Agreement</w:t>
      </w:r>
      <w:r>
        <w:rPr>
          <w:rFonts w:ascii="Times New Roman" w:cs="Times New Roman" w:eastAsia="Times New Roman" w:hAnsi="Times New Roman"/>
          <w:sz w:val="18"/>
          <w:szCs w:val="18"/>
          <w:color w:val="auto"/>
        </w:rPr>
        <w:t>”), working capital loans to the Company to finance transaction costs in connection with an intended initial Business Combination to the extent they may be convertible at the option of the lender into warrants of the post- initial Business Combination entity (“</w:t>
      </w:r>
      <w:r>
        <w:rPr>
          <w:rFonts w:ascii="Times New Roman" w:cs="Times New Roman" w:eastAsia="Times New Roman" w:hAnsi="Times New Roman"/>
          <w:sz w:val="18"/>
          <w:szCs w:val="18"/>
          <w:u w:val="single" w:color="auto"/>
          <w:color w:val="auto"/>
        </w:rPr>
        <w:t>Working Capital Loans</w:t>
      </w:r>
      <w:r>
        <w:rPr>
          <w:rFonts w:ascii="Times New Roman" w:cs="Times New Roman" w:eastAsia="Times New Roman" w:hAnsi="Times New Roman"/>
          <w:sz w:val="18"/>
          <w:szCs w:val="18"/>
          <w:color w:val="auto"/>
        </w:rPr>
        <w:t>”)), warrants issued upon the conversion of Working Capital Loans, any securities issued by the Company as consideration to any seller in the initial Business Combination and any Class A Shares issued pursuant to this Agreement or the Other Forward Contract.</w:t>
      </w:r>
    </w:p>
    <w:p>
      <w:pPr>
        <w:spacing w:after="0" w:line="39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158" w:name="page159"/>
    <w:bookmarkEnd w:id="158"/>
    <w:p>
      <w:pPr>
        <w:jc w:val="both"/>
        <w:ind w:left="-8" w:right="340" w:firstLine="656"/>
        <w:spacing w:after="0" w:line="266" w:lineRule="auto"/>
        <w:tabs>
          <w:tab w:leader="none" w:pos="895"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Private Placements</w:t>
      </w:r>
      <w:r>
        <w:rPr>
          <w:rFonts w:ascii="Times New Roman" w:cs="Times New Roman" w:eastAsia="Times New Roman" w:hAnsi="Times New Roman"/>
          <w:sz w:val="18"/>
          <w:szCs w:val="18"/>
          <w:color w:val="auto"/>
        </w:rPr>
        <w:t>. Notwithstanding anything to the contrary contained herein, prior to the IPO, the Company will not issue or agree to issue any securities (other than Forward Purchase Shares contemplated by this Agreement, the Other Forward Contract, the Private Placement Warrants and the Public Units) without the Advisors’ prior written consent.</w:t>
      </w:r>
    </w:p>
    <w:p>
      <w:pPr>
        <w:spacing w:after="0" w:line="171" w:lineRule="exact"/>
        <w:rPr>
          <w:rFonts w:ascii="Times New Roman" w:cs="Times New Roman" w:eastAsia="Times New Roman" w:hAnsi="Times New Roman"/>
          <w:sz w:val="18"/>
          <w:szCs w:val="18"/>
          <w:color w:val="auto"/>
        </w:rPr>
      </w:pPr>
    </w:p>
    <w:p>
      <w:pPr>
        <w:ind w:left="172" w:hanging="172"/>
        <w:spacing w:after="0"/>
        <w:tabs>
          <w:tab w:leader="none" w:pos="172"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Registration Rights; Transfer</w:t>
      </w:r>
    </w:p>
    <w:p>
      <w:pPr>
        <w:spacing w:after="0" w:line="229" w:lineRule="exact"/>
        <w:rPr>
          <w:rFonts w:ascii="Times New Roman" w:cs="Times New Roman" w:eastAsia="Times New Roman" w:hAnsi="Times New Roman"/>
          <w:sz w:val="18"/>
          <w:szCs w:val="18"/>
          <w:b w:val="1"/>
          <w:bCs w:val="1"/>
          <w:color w:val="auto"/>
        </w:rPr>
      </w:pPr>
    </w:p>
    <w:p>
      <w:pPr>
        <w:ind w:left="-8" w:right="20" w:firstLine="656"/>
        <w:spacing w:after="0" w:line="261" w:lineRule="auto"/>
        <w:tabs>
          <w:tab w:leader="none" w:pos="884"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Each Purchaser shall be granted registration rights by the Company with respect to the Forward Purchase Shares pursuant to the registration rights agreement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to be entered into by the Company in connection with its IPO, a form of which has been filed with the registration statement relating to the Company’s IPO (the “</w:t>
      </w: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Upon a Purchaser’s entry into a Purchaser Joinder, such Purchaser shall execute a joinder to the Registration Rights Agreement.</w:t>
      </w:r>
    </w:p>
    <w:p>
      <w:pPr>
        <w:spacing w:after="0" w:line="179" w:lineRule="exact"/>
        <w:rPr>
          <w:rFonts w:ascii="Times New Roman" w:cs="Times New Roman" w:eastAsia="Times New Roman" w:hAnsi="Times New Roman"/>
          <w:sz w:val="18"/>
          <w:szCs w:val="18"/>
          <w:color w:val="auto"/>
        </w:rPr>
      </w:pPr>
    </w:p>
    <w:p>
      <w:pPr>
        <w:jc w:val="both"/>
        <w:ind w:left="-8" w:right="360" w:firstLine="656"/>
        <w:spacing w:after="0" w:line="266" w:lineRule="auto"/>
        <w:tabs>
          <w:tab w:leader="none" w:pos="895"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This Agreement and all of the Purchaser’s rights and obligations hereunder (including the Purchaser’s obligation to purchase the Forward Purchase Shares) may be transferred or assigned, at any time and from time to time, in whole or in part, to a Forward Contract Party or one or more third parties (each such transferee, a “</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Upon any such assignment:</w:t>
      </w:r>
    </w:p>
    <w:p>
      <w:pPr>
        <w:spacing w:after="0" w:line="175" w:lineRule="exact"/>
        <w:rPr>
          <w:rFonts w:ascii="Times New Roman" w:cs="Times New Roman" w:eastAsia="Times New Roman" w:hAnsi="Times New Roman"/>
          <w:sz w:val="18"/>
          <w:szCs w:val="18"/>
          <w:color w:val="auto"/>
        </w:rPr>
      </w:pPr>
    </w:p>
    <w:p>
      <w:pPr>
        <w:ind w:left="-8" w:right="80" w:firstLine="1304"/>
        <w:spacing w:after="0" w:line="256" w:lineRule="auto"/>
        <w:tabs>
          <w:tab w:leader="none" w:pos="1503" w:val="left"/>
        </w:tabs>
        <w:numPr>
          <w:ilvl w:val="2"/>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Transferee shall execute a signature page to this Agreement, substantially in the form of the Purchaser’s signature page hereto (the “</w:t>
      </w:r>
      <w:r>
        <w:rPr>
          <w:rFonts w:ascii="Times New Roman" w:cs="Times New Roman" w:eastAsia="Times New Roman" w:hAnsi="Times New Roman"/>
          <w:sz w:val="18"/>
          <w:szCs w:val="18"/>
          <w:u w:val="single" w:color="auto"/>
          <w:color w:val="auto"/>
        </w:rPr>
        <w:t>Transferee Joinder Agreement</w:t>
      </w:r>
      <w:r>
        <w:rPr>
          <w:rFonts w:ascii="Times New Roman" w:cs="Times New Roman" w:eastAsia="Times New Roman" w:hAnsi="Times New Roman"/>
          <w:sz w:val="18"/>
          <w:szCs w:val="18"/>
          <w:color w:val="auto"/>
        </w:rPr>
        <w:t>”), which shall reflect the number of Forward Purchase Shares to be purchased by such Transferee (the “</w:t>
      </w:r>
      <w:r>
        <w:rPr>
          <w:rFonts w:ascii="Times New Roman" w:cs="Times New Roman" w:eastAsia="Times New Roman" w:hAnsi="Times New Roman"/>
          <w:sz w:val="18"/>
          <w:szCs w:val="18"/>
          <w:u w:val="single" w:color="auto"/>
          <w:color w:val="auto"/>
        </w:rPr>
        <w:t>Transferee Securities</w:t>
      </w:r>
      <w:r>
        <w:rPr>
          <w:rFonts w:ascii="Times New Roman" w:cs="Times New Roman" w:eastAsia="Times New Roman" w:hAnsi="Times New Roman"/>
          <w:sz w:val="18"/>
          <w:szCs w:val="18"/>
          <w:color w:val="auto"/>
        </w:rPr>
        <w:t>”), and, upon such execution, such Transferee shall have all the same rights and obligations of the Purchaser hereunder with respect to the Transferee Securities, and references herein to the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xml:space="preserve">” shall be deemed to refer to and include any such Transferee with respect to such Transferee and to its Transferee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any representations, warranties, covenants and agreements of the Purchaser and any such Transferee shall be several and not joint and shall be made as to the Purchaser or any such Transferee, as applicable, as to itself only; and</w:t>
      </w:r>
    </w:p>
    <w:p>
      <w:pPr>
        <w:spacing w:after="0" w:line="187" w:lineRule="exact"/>
        <w:rPr>
          <w:rFonts w:ascii="Times New Roman" w:cs="Times New Roman" w:eastAsia="Times New Roman" w:hAnsi="Times New Roman"/>
          <w:sz w:val="18"/>
          <w:szCs w:val="18"/>
          <w:color w:val="auto"/>
        </w:rPr>
      </w:pPr>
    </w:p>
    <w:p>
      <w:pPr>
        <w:ind w:left="-8" w:firstLine="1304"/>
        <w:spacing w:after="0" w:line="254" w:lineRule="auto"/>
        <w:tabs>
          <w:tab w:leader="none" w:pos="1553" w:val="left"/>
        </w:tabs>
        <w:numPr>
          <w:ilvl w:val="2"/>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a Transferee’s execution and delivery of a Transferee Joinder Agreement, the number of Forward Purchase Shares to be purchased by the Purchaser hereunder shall be reduced by the total number of Forward Purchase Shares to be purchased by the applicable Transferee pursuant to the applicable Transferee Joinder Agreement, which reduction shall be evidenced by the Purchaser and the Company amending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to this Agreement to reflect each transfer and updating the “Number of Forward Purchase Shares” and “Aggregate Purchase Price for Forward Purchase Shares” on the Purchaser’s signature page hereto to reflect such reduced number of Forward Purchase Shares, and the Purchaser shall be fully and unconditionally released from its obligation to purchase such Transferee Securities hereunder. For the avoidance of doubt, this Agreement need not be amended and restated in its entirety, but only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and the Purchaser’s signature page hereto need be so amended and updated and executed by each of the Purchaser and the Company upon the occurrence of any such transfer of Transferee Securities.</w:t>
      </w:r>
    </w:p>
    <w:p>
      <w:pPr>
        <w:spacing w:after="0" w:line="398"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904" w:right="359" w:bottom="1440" w:gutter="0" w:footer="0" w:header="0"/>
        </w:sectPr>
      </w:pPr>
    </w:p>
    <w:bookmarkStart w:id="159" w:name="page160"/>
    <w:bookmarkEnd w:id="159"/>
    <w:p>
      <w:pPr>
        <w:ind w:left="172" w:hanging="172"/>
        <w:spacing w:after="0"/>
        <w:tabs>
          <w:tab w:leader="none" w:pos="172"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Agreements, Acknowledgements and Waivers of the Purchaser.</w:t>
      </w:r>
    </w:p>
    <w:p>
      <w:pPr>
        <w:spacing w:after="0" w:line="229" w:lineRule="exact"/>
        <w:rPr>
          <w:rFonts w:ascii="Times New Roman" w:cs="Times New Roman" w:eastAsia="Times New Roman" w:hAnsi="Times New Roman"/>
          <w:sz w:val="18"/>
          <w:szCs w:val="18"/>
          <w:b w:val="1"/>
          <w:bCs w:val="1"/>
          <w:color w:val="auto"/>
        </w:rPr>
      </w:pPr>
    </w:p>
    <w:p>
      <w:pPr>
        <w:ind w:left="-8" w:right="40" w:firstLine="656"/>
        <w:spacing w:after="0" w:line="251" w:lineRule="auto"/>
        <w:tabs>
          <w:tab w:leader="none" w:pos="884"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Lock-up; Transfer Restrictions</w:t>
      </w:r>
      <w:r>
        <w:rPr>
          <w:rFonts w:ascii="Times New Roman" w:cs="Times New Roman" w:eastAsia="Times New Roman" w:hAnsi="Times New Roman"/>
          <w:sz w:val="18"/>
          <w:szCs w:val="18"/>
          <w:color w:val="auto"/>
        </w:rPr>
        <w:t>. The Purchaser agrees that it shall not Transfer any Forward Purchase Shares until 30 days after the completion of the initial Business Combination. Notwithstanding the foregoing, Transfers of the Forward Purchase Shares are permitted (any such transferees, the “</w:t>
      </w:r>
      <w:r>
        <w:rPr>
          <w:rFonts w:ascii="Times New Roman" w:cs="Times New Roman" w:eastAsia="Times New Roman" w:hAnsi="Times New Roman"/>
          <w:sz w:val="18"/>
          <w:szCs w:val="18"/>
          <w:u w:val="single" w:color="auto"/>
          <w:color w:val="auto"/>
        </w:rPr>
        <w:t>Permitted Transferees</w:t>
      </w:r>
      <w:r>
        <w:rPr>
          <w:rFonts w:ascii="Times New Roman" w:cs="Times New Roman" w:eastAsia="Times New Roman" w:hAnsi="Times New Roman"/>
          <w:sz w:val="18"/>
          <w:szCs w:val="18"/>
          <w:color w:val="auto"/>
        </w:rPr>
        <w:t xml:space="preserve">”): (A) to the Company’s officers or directors, any affiliates or family members of any of the Company’s officers or directors, any members of the Purchaser, or any affiliates of the Purchaser; (B) in the case of an individual, by gift to a member of the individual’s immediate family, to a trust, the beneficiary of which is a member of individual’s immediate family or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the consummation of a Business Combination at prices no greater than the price at which the securities were originally purchased; (F) in the event of the Company’s liquidation prior to the completion of a Business Combination; (G) in the event of the Company’s liquidation, merger, capital stock exchange, reorganization or other similar transaction which results in all of the Company’s stockholders having the right to exchange their Class A Shares for cash, securities or other property subsequent to the completion of the initial Business Combination; (H) as a distribution to limited partners, members or stockholders of the Purchaser; (I) to the Purchaser’s affiliates, to any investment fund or other entity controlled or managed by the Purchaser or any of its affiliates, or to any investment manager or investment advisor of the Purchaser or an affiliate of any such investment manager or investment advisor; (J) to a nominee or custodian of a person or entity to whom a disposition or transfer would be permissible under clauses (A) through (I) above; (K) to the Purchaser or any Transferee hereunder; (L) by virtue of the laws of the Purchaser’s jurisdiction of formation or its organizational documents upon dissolution of the Purchaser; and (M) pursuant to an order of a court or regulatory agency;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in the case of clauses (A) through (E) and (H) through (L), these Permitted Transferees must enter into a written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agreeing to be bound by these transfer restrictions.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shall mean the (x) sale or assignment of, offer to sell, contract or agreement to sell, hypothecation,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and the rules and regulations of the SEC promulgated thereunder) with respect to, any of the Forward Purchase Shares (excluding any pledges in the ordinary course of business for bona fide financing purposes or as part of prime brokerage arrangements), (y) entry into any swap or other arrangement that transfers to another, in whole or in part, any of the economic consequences of ownership of any of the Forward Purchase Shares, whether any such transaction is to be settled by delivery of such Forward Purchase Shares, in cash or otherwise, or (z) public announcement of any intention to effect any transaction specified in clause (x) or (y).</w:t>
      </w:r>
    </w:p>
    <w:p>
      <w:pPr>
        <w:spacing w:after="0" w:line="204" w:lineRule="exact"/>
        <w:rPr>
          <w:rFonts w:ascii="Times New Roman" w:cs="Times New Roman" w:eastAsia="Times New Roman" w:hAnsi="Times New Roman"/>
          <w:sz w:val="18"/>
          <w:szCs w:val="18"/>
          <w:color w:val="auto"/>
        </w:rPr>
      </w:pPr>
    </w:p>
    <w:p>
      <w:pPr>
        <w:ind w:left="912" w:hanging="264"/>
        <w:spacing w:after="0"/>
        <w:tabs>
          <w:tab w:leader="none" w:pos="912"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 w:right="200" w:firstLine="1304"/>
        <w:spacing w:after="0" w:line="261" w:lineRule="auto"/>
        <w:tabs>
          <w:tab w:leader="none" w:pos="1500" w:val="left"/>
        </w:tabs>
        <w:numPr>
          <w:ilvl w:val="2"/>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hereby acknowledges that it is aware that the Company will establish the Trust Account for the benefit of its public stockholders upon the IPO Closing. The Purchaser, for itself and its affiliates, hereby agrees that it has no right, title, interest or claim of any kind in or to any monies held in the Trust Account, or any other asset of the Company as a result of any liquidation of the Company, except for redemption and liquidation rights, if any, the Purchaser may have in respect of any Public Shares held by it.</w:t>
      </w:r>
    </w:p>
    <w:p>
      <w:pPr>
        <w:spacing w:after="0" w:line="179" w:lineRule="exact"/>
        <w:rPr>
          <w:rFonts w:ascii="Times New Roman" w:cs="Times New Roman" w:eastAsia="Times New Roman" w:hAnsi="Times New Roman"/>
          <w:sz w:val="18"/>
          <w:szCs w:val="18"/>
          <w:color w:val="auto"/>
        </w:rPr>
      </w:pPr>
    </w:p>
    <w:p>
      <w:pPr>
        <w:ind w:left="-8" w:firstLine="1304"/>
        <w:spacing w:after="0" w:line="256" w:lineRule="auto"/>
        <w:tabs>
          <w:tab w:leader="none" w:pos="1550" w:val="left"/>
        </w:tabs>
        <w:numPr>
          <w:ilvl w:val="2"/>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hereby agrees that it shall have no right of set-off or any right, title, interest or claim of any kind (“</w:t>
      </w:r>
      <w:r>
        <w:rPr>
          <w:rFonts w:ascii="Times New Roman" w:cs="Times New Roman" w:eastAsia="Times New Roman" w:hAnsi="Times New Roman"/>
          <w:sz w:val="18"/>
          <w:szCs w:val="18"/>
          <w:u w:val="single" w:color="auto"/>
          <w:color w:val="auto"/>
        </w:rPr>
        <w:t>Claim</w:t>
      </w:r>
      <w:r>
        <w:rPr>
          <w:rFonts w:ascii="Times New Roman" w:cs="Times New Roman" w:eastAsia="Times New Roman" w:hAnsi="Times New Roman"/>
          <w:sz w:val="18"/>
          <w:szCs w:val="18"/>
          <w:color w:val="auto"/>
        </w:rPr>
        <w:t>”) to, or to any monies in, the Trust Account, and hereby irrevocably waives any Claim to, or to any monies in, the Trust Account that it may have now or in the future, except for redemption and liquidation rights, if any, the Purchaser may have in respect of any Public Shares held by it. In the event the Purchaser has any Claim against the Company under this Agreement, the Purchaser shall pursue such Claim solely against the Company and its assets outside the Trust Account and not against the property or any monies in the Trust Account, except for redemption and liquidation rights, if any, the Purchaser may have in respect of any Public Shares held by it.</w:t>
      </w:r>
    </w:p>
    <w:p>
      <w:pPr>
        <w:spacing w:after="0" w:line="183" w:lineRule="exact"/>
        <w:rPr>
          <w:rFonts w:ascii="Times New Roman" w:cs="Times New Roman" w:eastAsia="Times New Roman" w:hAnsi="Times New Roman"/>
          <w:sz w:val="18"/>
          <w:szCs w:val="18"/>
          <w:color w:val="auto"/>
        </w:rPr>
      </w:pPr>
    </w:p>
    <w:p>
      <w:pPr>
        <w:ind w:left="-8" w:right="300" w:firstLine="8"/>
        <w:spacing w:after="0" w:line="286" w:lineRule="auto"/>
        <w:tabs>
          <w:tab w:leader="none" w:pos="172"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Nasdaq Listing. </w:t>
      </w:r>
      <w:r>
        <w:rPr>
          <w:rFonts w:ascii="Times New Roman" w:cs="Times New Roman" w:eastAsia="Times New Roman" w:hAnsi="Times New Roman"/>
          <w:sz w:val="18"/>
          <w:szCs w:val="18"/>
          <w:color w:val="auto"/>
        </w:rPr>
        <w:t>The Company will use commercially reasonable efforts to effect the listing of the Units, Class A Shares and Public Warrants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Capital Market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(or another national securities exchange) at the time of the Business Combination Closing.</w:t>
      </w:r>
    </w:p>
    <w:p>
      <w:pPr>
        <w:spacing w:after="0" w:line="154" w:lineRule="exact"/>
        <w:rPr>
          <w:rFonts w:ascii="Times New Roman" w:cs="Times New Roman" w:eastAsia="Times New Roman" w:hAnsi="Times New Roman"/>
          <w:sz w:val="18"/>
          <w:szCs w:val="18"/>
          <w:b w:val="1"/>
          <w:bCs w:val="1"/>
          <w:color w:val="auto"/>
        </w:rPr>
      </w:pPr>
    </w:p>
    <w:p>
      <w:pPr>
        <w:ind w:left="172" w:hanging="172"/>
        <w:spacing w:after="0"/>
        <w:tabs>
          <w:tab w:leader="none" w:pos="172"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Forward Closing Conditions.</w:t>
      </w:r>
    </w:p>
    <w:p>
      <w:pPr>
        <w:spacing w:after="0" w:line="229" w:lineRule="exact"/>
        <w:rPr>
          <w:rFonts w:ascii="Times New Roman" w:cs="Times New Roman" w:eastAsia="Times New Roman" w:hAnsi="Times New Roman"/>
          <w:sz w:val="18"/>
          <w:szCs w:val="18"/>
          <w:b w:val="1"/>
          <w:bCs w:val="1"/>
          <w:color w:val="auto"/>
        </w:rPr>
      </w:pPr>
    </w:p>
    <w:p>
      <w:pPr>
        <w:ind w:left="-8" w:right="360" w:firstLine="656"/>
        <w:spacing w:after="0" w:line="266" w:lineRule="auto"/>
        <w:tabs>
          <w:tab w:leader="none" w:pos="875"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such Purchaser has signed a Purchaser Joinder, the obligation of the Purchaser to purchase the Forward Purchase Shares at the Forward Closing under this Agreement shall be subject to the fulfillment, at or prior to the Forward Closing of each of the following conditions, any of which, to the extent permitted by applicable laws, may be waived by the Purchaser:</w:t>
      </w:r>
    </w:p>
    <w:p>
      <w:pPr>
        <w:spacing w:after="0" w:line="175" w:lineRule="exact"/>
        <w:rPr>
          <w:rFonts w:ascii="Times New Roman" w:cs="Times New Roman" w:eastAsia="Times New Roman" w:hAnsi="Times New Roman"/>
          <w:sz w:val="18"/>
          <w:szCs w:val="18"/>
          <w:color w:val="auto"/>
        </w:rPr>
      </w:pPr>
    </w:p>
    <w:p>
      <w:pPr>
        <w:ind w:left="1512" w:hanging="216"/>
        <w:spacing w:after="0"/>
        <w:tabs>
          <w:tab w:leader="none" w:pos="1512" w:val="left"/>
        </w:tabs>
        <w:numPr>
          <w:ilvl w:val="2"/>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Business Combination shall be consummated concurrently with the purchase of the Forward Purchase Shares;</w:t>
      </w:r>
    </w:p>
    <w:p>
      <w:pPr>
        <w:spacing w:after="0" w:line="225" w:lineRule="exact"/>
        <w:rPr>
          <w:rFonts w:ascii="Times New Roman" w:cs="Times New Roman" w:eastAsia="Times New Roman" w:hAnsi="Times New Roman"/>
          <w:sz w:val="18"/>
          <w:szCs w:val="18"/>
          <w:color w:val="auto"/>
        </w:rPr>
      </w:pPr>
    </w:p>
    <w:p>
      <w:pPr>
        <w:ind w:left="-8" w:right="80" w:firstLine="1304"/>
        <w:spacing w:after="0" w:line="261" w:lineRule="auto"/>
        <w:tabs>
          <w:tab w:leader="none" w:pos="1553" w:val="left"/>
        </w:tabs>
        <w:numPr>
          <w:ilvl w:val="2"/>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amendment or modification of the terms of the initial Business Combination provided by the Company to the Advisor prior to the execution by the Purchaser of a Purchaser Joinder shall have occurred that would reasonably be expected to materially and adversely affect the economic benefits that the Purchaser would reasonably expect to receive under this Agreement without having received Purchaser’s prior written consent (not to be unreasonably withheld, conditioned or delayed);</w:t>
      </w:r>
    </w:p>
    <w:p>
      <w:pPr>
        <w:spacing w:after="0" w:line="38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160" w:name="page161"/>
    <w:bookmarkEnd w:id="160"/>
    <w:p>
      <w:pPr>
        <w:ind w:left="1612" w:hanging="316"/>
        <w:spacing w:after="0"/>
        <w:tabs>
          <w:tab w:leader="none" w:pos="1612" w:val="left"/>
        </w:tabs>
        <w:numPr>
          <w:ilvl w:val="2"/>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have delivered to the Purchaser a certificate evidencing the Company’s good standing as a Delaware corporation;</w:t>
      </w:r>
    </w:p>
    <w:p>
      <w:pPr>
        <w:spacing w:after="0" w:line="236" w:lineRule="exact"/>
        <w:rPr>
          <w:rFonts w:ascii="Times New Roman" w:cs="Times New Roman" w:eastAsia="Times New Roman" w:hAnsi="Times New Roman"/>
          <w:sz w:val="17"/>
          <w:szCs w:val="17"/>
          <w:color w:val="auto"/>
        </w:rPr>
      </w:pPr>
    </w:p>
    <w:p>
      <w:pPr>
        <w:ind w:left="-8" w:right="20" w:firstLine="1304"/>
        <w:spacing w:after="0" w:line="258" w:lineRule="auto"/>
        <w:tabs>
          <w:tab w:leader="none" w:pos="1590" w:val="left"/>
        </w:tabs>
        <w:numPr>
          <w:ilvl w:val="2"/>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the Company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Agreement shall have been true and correct as of the date hereof and shall be true and correct as of the Forward Closing Date, as applicable, with the same effect as though such representations and warranties had been made on and as of such date (other than any such representation or warranty that is made by its terms as of a specified date, which shall be true and correct as of such specified date), except where the failure to be so true and correct would not have a material adverse effect on the Company or its ability to consummate the transactions contemplated by this Agreement;</w:t>
      </w:r>
    </w:p>
    <w:p>
      <w:pPr>
        <w:spacing w:after="0" w:line="183" w:lineRule="exact"/>
        <w:rPr>
          <w:rFonts w:ascii="Times New Roman" w:cs="Times New Roman" w:eastAsia="Times New Roman" w:hAnsi="Times New Roman"/>
          <w:sz w:val="18"/>
          <w:szCs w:val="18"/>
          <w:color w:val="auto"/>
        </w:rPr>
      </w:pPr>
    </w:p>
    <w:p>
      <w:pPr>
        <w:ind w:left="-8" w:right="300" w:firstLine="1304"/>
        <w:spacing w:after="0" w:line="282" w:lineRule="auto"/>
        <w:tabs>
          <w:tab w:leader="none" w:pos="1540" w:val="left"/>
        </w:tabs>
        <w:numPr>
          <w:ilvl w:val="2"/>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performed, satisfied and complied in all material respects with the covenants, agreements and conditions required by this Agreement to be performed, satisfied or complied with by the Company at or prior to the Forward Closing; and</w:t>
      </w:r>
    </w:p>
    <w:p>
      <w:pPr>
        <w:spacing w:after="0" w:line="161" w:lineRule="exact"/>
        <w:rPr>
          <w:rFonts w:ascii="Times New Roman" w:cs="Times New Roman" w:eastAsia="Times New Roman" w:hAnsi="Times New Roman"/>
          <w:sz w:val="18"/>
          <w:szCs w:val="18"/>
          <w:color w:val="auto"/>
        </w:rPr>
      </w:pPr>
    </w:p>
    <w:p>
      <w:pPr>
        <w:ind w:left="-8" w:right="560" w:firstLine="1304"/>
        <w:spacing w:after="0" w:line="266" w:lineRule="auto"/>
        <w:tabs>
          <w:tab w:leader="none" w:pos="1593" w:val="left"/>
        </w:tabs>
        <w:numPr>
          <w:ilvl w:val="2"/>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order, writ, judgment, injunction, decree, determination, or award shall have been entered by or with any governmental, regulatory, or administrative authority or any court, tribunal, or judicial, or arbitral body, and no other legal restraint or prohibition shall be in effect, preventing the purchase by the Purchaser of the Forward Purchase Shares.</w:t>
      </w:r>
    </w:p>
    <w:p>
      <w:pPr>
        <w:spacing w:after="0" w:line="175" w:lineRule="exact"/>
        <w:rPr>
          <w:rFonts w:ascii="Times New Roman" w:cs="Times New Roman" w:eastAsia="Times New Roman" w:hAnsi="Times New Roman"/>
          <w:sz w:val="18"/>
          <w:szCs w:val="18"/>
          <w:color w:val="auto"/>
        </w:rPr>
      </w:pPr>
    </w:p>
    <w:p>
      <w:pPr>
        <w:ind w:left="-8" w:right="40" w:firstLine="656"/>
        <w:spacing w:after="0" w:line="266" w:lineRule="auto"/>
        <w:tabs>
          <w:tab w:leader="none" w:pos="892"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Company to sell the Forward Purchase Shares at the Forward Closing under this Agreement shall be subject to the fulfillment, at or prior to the Forward Closing of each of the following conditions, any of which, to the extent permitted by applicable laws, may be waived by the Company:</w:t>
      </w:r>
    </w:p>
    <w:p>
      <w:pPr>
        <w:spacing w:after="0" w:line="175" w:lineRule="exact"/>
        <w:rPr>
          <w:rFonts w:ascii="Times New Roman" w:cs="Times New Roman" w:eastAsia="Times New Roman" w:hAnsi="Times New Roman"/>
          <w:sz w:val="18"/>
          <w:szCs w:val="18"/>
          <w:color w:val="auto"/>
        </w:rPr>
      </w:pPr>
    </w:p>
    <w:p>
      <w:pPr>
        <w:ind w:left="1512" w:hanging="216"/>
        <w:spacing w:after="0"/>
        <w:tabs>
          <w:tab w:leader="none" w:pos="1512" w:val="left"/>
        </w:tabs>
        <w:numPr>
          <w:ilvl w:val="2"/>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Business Combination shall be consummated concurrently with the purchase of Forward Purchase Shares;</w:t>
      </w:r>
    </w:p>
    <w:p>
      <w:pPr>
        <w:spacing w:after="0" w:line="225" w:lineRule="exact"/>
        <w:rPr>
          <w:rFonts w:ascii="Times New Roman" w:cs="Times New Roman" w:eastAsia="Times New Roman" w:hAnsi="Times New Roman"/>
          <w:sz w:val="18"/>
          <w:szCs w:val="18"/>
          <w:color w:val="auto"/>
        </w:rPr>
      </w:pPr>
    </w:p>
    <w:p>
      <w:pPr>
        <w:ind w:left="-8" w:right="60" w:firstLine="1304"/>
        <w:spacing w:after="0" w:line="258" w:lineRule="auto"/>
        <w:tabs>
          <w:tab w:leader="none" w:pos="1550" w:val="left"/>
        </w:tabs>
        <w:numPr>
          <w:ilvl w:val="2"/>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the Purchaser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Agreement shall have been true and correct as of the date hereof and shall be true and correct as of the Forward Closing Date, as applicable, with the same effect as though such representations and warranties had been made on and as of such date (other than any such representation or warranty that is made by its terms as of a specified date, which shall be true and correct as of such specified date), except where the failure to be so true and correct would not have a material adverse effect on the Purchaser or its ability to consummate the transactions contemplated by this Agreement;</w:t>
      </w:r>
    </w:p>
    <w:p>
      <w:pPr>
        <w:spacing w:after="0" w:line="183" w:lineRule="exact"/>
        <w:rPr>
          <w:rFonts w:ascii="Times New Roman" w:cs="Times New Roman" w:eastAsia="Times New Roman" w:hAnsi="Times New Roman"/>
          <w:sz w:val="18"/>
          <w:szCs w:val="18"/>
          <w:color w:val="auto"/>
        </w:rPr>
      </w:pPr>
    </w:p>
    <w:p>
      <w:pPr>
        <w:ind w:left="-8" w:right="220" w:firstLine="1304"/>
        <w:spacing w:after="0" w:line="282" w:lineRule="auto"/>
        <w:tabs>
          <w:tab w:leader="none" w:pos="1600" w:val="left"/>
        </w:tabs>
        <w:numPr>
          <w:ilvl w:val="2"/>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have performed, satisfied and complied in all material respects with the covenants, agreements and conditions required by this Agreement to be performed, satisfied or complied with by the Purchaser at or prior to the Forward Closing; and</w:t>
      </w:r>
    </w:p>
    <w:p>
      <w:pPr>
        <w:spacing w:after="0" w:line="161" w:lineRule="exact"/>
        <w:rPr>
          <w:rFonts w:ascii="Times New Roman" w:cs="Times New Roman" w:eastAsia="Times New Roman" w:hAnsi="Times New Roman"/>
          <w:sz w:val="18"/>
          <w:szCs w:val="18"/>
          <w:color w:val="auto"/>
        </w:rPr>
      </w:pPr>
    </w:p>
    <w:p>
      <w:pPr>
        <w:ind w:left="-8" w:right="560" w:firstLine="1304"/>
        <w:spacing w:after="0" w:line="266" w:lineRule="auto"/>
        <w:tabs>
          <w:tab w:leader="none" w:pos="1593" w:val="left"/>
        </w:tabs>
        <w:numPr>
          <w:ilvl w:val="2"/>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order, writ, judgment, injunction, decree, determination, or award shall have been entered by or with any governmental, regulatory, or administrative authority or any court, tribunal, or judicial, or arbitral body, and no other legal restraint or prohibition shall be in effect, preventing the purchase by the Purchaser of the Forward Purchase Shares.</w:t>
      </w:r>
    </w:p>
    <w:p>
      <w:pPr>
        <w:spacing w:after="0" w:line="171" w:lineRule="exact"/>
        <w:rPr>
          <w:rFonts w:ascii="Times New Roman" w:cs="Times New Roman" w:eastAsia="Times New Roman" w:hAnsi="Times New Roman"/>
          <w:sz w:val="18"/>
          <w:szCs w:val="18"/>
          <w:color w:val="auto"/>
        </w:rPr>
      </w:pPr>
    </w:p>
    <w:p>
      <w:pPr>
        <w:ind w:left="272" w:hanging="272"/>
        <w:spacing w:after="0"/>
        <w:tabs>
          <w:tab w:leader="none" w:pos="272"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w:t>
      </w:r>
      <w:r>
        <w:rPr>
          <w:rFonts w:ascii="Times New Roman" w:cs="Times New Roman" w:eastAsia="Times New Roman" w:hAnsi="Times New Roman"/>
          <w:sz w:val="18"/>
          <w:szCs w:val="18"/>
          <w:color w:val="auto"/>
        </w:rPr>
        <w:t>This Agreement may be terminated at any time prior to the Forward Closing:</w:t>
      </w:r>
    </w:p>
    <w:p>
      <w:pPr>
        <w:spacing w:after="0" w:line="229" w:lineRule="exact"/>
        <w:rPr>
          <w:rFonts w:ascii="Times New Roman" w:cs="Times New Roman" w:eastAsia="Times New Roman" w:hAnsi="Times New Roman"/>
          <w:sz w:val="18"/>
          <w:szCs w:val="18"/>
          <w:b w:val="1"/>
          <w:bCs w:val="1"/>
          <w:color w:val="auto"/>
        </w:rPr>
      </w:pPr>
    </w:p>
    <w:p>
      <w:pPr>
        <w:ind w:left="892" w:hanging="244"/>
        <w:spacing w:after="0"/>
        <w:tabs>
          <w:tab w:leader="none" w:pos="892"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the Company and the Purchaser;</w:t>
      </w:r>
    </w:p>
    <w:p>
      <w:pPr>
        <w:spacing w:after="0" w:line="225" w:lineRule="exact"/>
        <w:rPr>
          <w:rFonts w:ascii="Times New Roman" w:cs="Times New Roman" w:eastAsia="Times New Roman" w:hAnsi="Times New Roman"/>
          <w:sz w:val="18"/>
          <w:szCs w:val="18"/>
          <w:color w:val="auto"/>
        </w:rPr>
      </w:pPr>
    </w:p>
    <w:p>
      <w:pPr>
        <w:ind w:left="912" w:hanging="264"/>
        <w:spacing w:after="0"/>
        <w:tabs>
          <w:tab w:leader="none" w:pos="912"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w:t>
      </w:r>
    </w:p>
    <w:p>
      <w:pPr>
        <w:spacing w:after="0" w:line="225" w:lineRule="exact"/>
        <w:rPr>
          <w:rFonts w:ascii="Times New Roman" w:cs="Times New Roman" w:eastAsia="Times New Roman" w:hAnsi="Times New Roman"/>
          <w:sz w:val="18"/>
          <w:szCs w:val="18"/>
          <w:color w:val="auto"/>
        </w:rPr>
      </w:pPr>
    </w:p>
    <w:p>
      <w:pPr>
        <w:ind w:left="1512" w:hanging="216"/>
        <w:spacing w:after="0"/>
        <w:tabs>
          <w:tab w:leader="none" w:pos="1512" w:val="left"/>
        </w:tabs>
        <w:numPr>
          <w:ilvl w:val="2"/>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IPO is not consummated on or prior to twelve months from the date of this Agreement; or</w:t>
      </w:r>
    </w:p>
    <w:p>
      <w:pPr>
        <w:spacing w:after="0" w:line="200" w:lineRule="exact"/>
        <w:rPr>
          <w:sz w:val="20"/>
          <w:szCs w:val="20"/>
          <w:color w:val="auto"/>
        </w:rPr>
      </w:pPr>
    </w:p>
    <w:p>
      <w:pPr>
        <w:spacing w:after="0" w:line="23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904" w:right="359" w:bottom="1440" w:gutter="0" w:footer="0" w:header="0"/>
        </w:sectPr>
      </w:pPr>
    </w:p>
    <w:bookmarkStart w:id="161" w:name="page162"/>
    <w:bookmarkEnd w:id="161"/>
    <w:p>
      <w:pPr>
        <w:ind w:right="160" w:firstLine="1304"/>
        <w:spacing w:after="0" w:line="282" w:lineRule="auto"/>
        <w:tabs>
          <w:tab w:leader="none" w:pos="1561"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Business Combination is not consummated within 24 months from the closing of the IPO, or such later date as may be approved by the Company’s stockholders.</w:t>
      </w:r>
    </w:p>
    <w:p>
      <w:pPr>
        <w:spacing w:after="0" w:line="16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 xml:space="preserve">In the event of any termination of this Agreement pursuant to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the Forward Purchase Price (and interest thereon, if any), if previously paid with respect to any Forward Purchase Shares, and all Purchaser’s funds paid in connection herewith shall be promptly returned to the Purchaser, and thereafter this Agreement shall forthwith become null and void and have no effect, without any liability on the part of the Purchaser or the Company and their respective directors, officers, employees, partners, managers, members, or stockholders and all rights and obligations of each party shall cease;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nothing contained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relieve either party from liabilities or damages arising out of any fraud or willful breach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such party of any of its representations, warranties, covenants or agreements contained in this Agreement.</w:t>
      </w:r>
    </w:p>
    <w:p>
      <w:pPr>
        <w:spacing w:after="0" w:line="183" w:lineRule="exact"/>
        <w:rPr>
          <w:sz w:val="20"/>
          <w:szCs w:val="20"/>
          <w:color w:val="auto"/>
        </w:rPr>
      </w:pPr>
    </w:p>
    <w:p>
      <w:pPr>
        <w:ind w:left="340" w:hanging="332"/>
        <w:spacing w:after="0"/>
        <w:tabs>
          <w:tab w:leader="none" w:pos="340"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Provisions.</w:t>
      </w:r>
    </w:p>
    <w:p>
      <w:pPr>
        <w:spacing w:after="0" w:line="229" w:lineRule="exact"/>
        <w:rPr>
          <w:rFonts w:ascii="Times New Roman" w:cs="Times New Roman" w:eastAsia="Times New Roman" w:hAnsi="Times New Roman"/>
          <w:sz w:val="18"/>
          <w:szCs w:val="18"/>
          <w:b w:val="1"/>
          <w:bCs w:val="1"/>
          <w:color w:val="auto"/>
        </w:rPr>
      </w:pPr>
    </w:p>
    <w:p>
      <w:pPr>
        <w:ind w:firstLine="656"/>
        <w:spacing w:after="0" w:line="254" w:lineRule="auto"/>
        <w:tabs>
          <w:tab w:leader="none" w:pos="892"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given or made pursuant to this Agreement shall be in writing and shall be deemed effectively given upon the earlier of actual receipt, or (i) personal delivery to the party to be notified, (ii) when sent, if sent by electronic mail or facsimile (if any) during normal business hours of the recipient, and if not sent during normal business hours, then on the recipient’s next Business Day, (iii) five (5) Business Days after having been sent by registered or certified mail, return receipt requested, postage prepaid, or (iv) one (1) Business Day after deposit with a nationally recognized overnight courier, freight prepaid, specifying next Business Day delivery, with written verification of receipt. All communications sent to the Company shall be sent to: CM Life Sciences, Inc., c/o Corvex Capital Management, 667 Madison Avenue, New York, New York 10065, Attn: Brian Emes, Chief Financial Officer, email: bemes@corvexcap.com, with a copy to the Company’s counsel at: White &amp; Case LLP, 1221 Avenue of the Americas, New York, New York 10022, Attn: Joel L. Rubinstein, Esq., email: jrubinstein@winston.com.</w:t>
      </w:r>
    </w:p>
    <w:p>
      <w:pPr>
        <w:spacing w:after="0" w:line="19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All communications to the Purchaser shall be sent to the Purchaser’s address as set forth on the signature page hereof, or to such e-mail address, facsimile number (if any) or address as subsequently modified by written notice given in accordance with this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0" w:firstLine="656"/>
        <w:spacing w:after="0" w:line="256" w:lineRule="auto"/>
        <w:tabs>
          <w:tab w:leader="none" w:pos="903"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Finder’s Fees</w:t>
      </w:r>
      <w:r>
        <w:rPr>
          <w:rFonts w:ascii="Times New Roman" w:cs="Times New Roman" w:eastAsia="Times New Roman" w:hAnsi="Times New Roman"/>
          <w:sz w:val="18"/>
          <w:szCs w:val="18"/>
          <w:color w:val="auto"/>
        </w:rPr>
        <w:t>. Each party represents that it neither is nor will be obligated for any finder’s fee or commission in connection with this transaction. The Purchaser agrees to indemnify and to hold harmless the Company from any liability for any commission or compensation in the nature of a finder’s or broker’s fee arising out of this transaction (and the costs and expenses of defending against such liability or asserted liability) for which the Purchaser or any of its officers, employees or representatives is responsible. The Company agrees to indemnify and hold harmless the Purchaser from any liability for any commission or compensation in the nature of a finder’s or broker’s fee arising out of this transaction (and the costs and expenses of defending against such liability or asserted liability) for which the Company or any of its officers, employees or representatives is responsible.</w:t>
      </w:r>
    </w:p>
    <w:p>
      <w:pPr>
        <w:spacing w:after="0" w:line="187"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Representations and Warranties</w:t>
      </w:r>
      <w:r>
        <w:rPr>
          <w:rFonts w:ascii="Times New Roman" w:cs="Times New Roman" w:eastAsia="Times New Roman" w:hAnsi="Times New Roman"/>
          <w:sz w:val="18"/>
          <w:szCs w:val="18"/>
          <w:color w:val="auto"/>
        </w:rPr>
        <w:t>. All of the representations and warranties contained herein shall survive the Forward Closing.</w:t>
      </w:r>
    </w:p>
    <w:p>
      <w:pPr>
        <w:spacing w:after="0" w:line="225" w:lineRule="exact"/>
        <w:rPr>
          <w:rFonts w:ascii="Times New Roman" w:cs="Times New Roman" w:eastAsia="Times New Roman" w:hAnsi="Times New Roman"/>
          <w:sz w:val="18"/>
          <w:szCs w:val="18"/>
          <w:color w:val="auto"/>
        </w:rPr>
      </w:pPr>
    </w:p>
    <w:p>
      <w:pPr>
        <w:ind w:right="300" w:firstLine="656"/>
        <w:spacing w:after="0" w:line="261" w:lineRule="auto"/>
        <w:tabs>
          <w:tab w:leader="none" w:pos="903"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any documents, instruments and writings that are delivered pursuant hereto or referenced herein, constitutes the entire agreement and understanding of the parties hereto in respect of its subject matter and supersedes all prior understandings, agreements, or representations by or among the parties hereto, written or oral, to the extent they relate in any way to the subject matter hereof or the transactions contemplated hereby.</w:t>
      </w:r>
    </w:p>
    <w:p>
      <w:pPr>
        <w:spacing w:after="0" w:line="179" w:lineRule="exact"/>
        <w:rPr>
          <w:rFonts w:ascii="Times New Roman" w:cs="Times New Roman" w:eastAsia="Times New Roman" w:hAnsi="Times New Roman"/>
          <w:sz w:val="18"/>
          <w:szCs w:val="18"/>
          <w:color w:val="auto"/>
        </w:rPr>
      </w:pPr>
    </w:p>
    <w:p>
      <w:pPr>
        <w:ind w:right="80" w:firstLine="656"/>
        <w:spacing w:after="0" w:line="261" w:lineRule="auto"/>
        <w:tabs>
          <w:tab w:leader="none" w:pos="892"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All of the terms, agreements, covenants, representations, warranties, and conditions of this Agreement are binding upon, and inure to the benefit of and are enforceable by, the parties hereto and their respective successors.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2" w:name="page163"/>
    <w:bookmarkEnd w:id="162"/>
    <w:p>
      <w:pPr>
        <w:ind w:left="-20" w:right="120" w:firstLine="656"/>
        <w:spacing w:after="0" w:line="282" w:lineRule="auto"/>
        <w:tabs>
          <w:tab w:leader="none" w:pos="853"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Assignments</w:t>
      </w:r>
      <w:r>
        <w:rPr>
          <w:rFonts w:ascii="Times New Roman" w:cs="Times New Roman" w:eastAsia="Times New Roman" w:hAnsi="Times New Roman"/>
          <w:sz w:val="18"/>
          <w:szCs w:val="18"/>
          <w:color w:val="auto"/>
        </w:rPr>
        <w:t>. Except as otherwise specifically provided herein, no party hereto may assign either this Agreement or any of its rights, interests, or obligations hereunder without the prior written approval of the other party.</w:t>
      </w:r>
    </w:p>
    <w:p>
      <w:pPr>
        <w:spacing w:after="0" w:line="161" w:lineRule="exact"/>
        <w:rPr>
          <w:rFonts w:ascii="Times New Roman" w:cs="Times New Roman" w:eastAsia="Times New Roman" w:hAnsi="Times New Roman"/>
          <w:sz w:val="18"/>
          <w:szCs w:val="18"/>
          <w:color w:val="auto"/>
        </w:rPr>
      </w:pPr>
    </w:p>
    <w:p>
      <w:pPr>
        <w:ind w:left="-20" w:right="600" w:firstLine="656"/>
        <w:spacing w:after="0" w:line="282" w:lineRule="auto"/>
        <w:tabs>
          <w:tab w:leader="none" w:pos="883"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each of which will be deemed an original but all of which together will constitute one and the same instrument.</w:t>
      </w:r>
    </w:p>
    <w:p>
      <w:pPr>
        <w:spacing w:after="0" w:line="161" w:lineRule="exact"/>
        <w:rPr>
          <w:rFonts w:ascii="Times New Roman" w:cs="Times New Roman" w:eastAsia="Times New Roman" w:hAnsi="Times New Roman"/>
          <w:sz w:val="18"/>
          <w:szCs w:val="18"/>
          <w:color w:val="auto"/>
        </w:rPr>
      </w:pPr>
    </w:p>
    <w:p>
      <w:pPr>
        <w:ind w:left="-20" w:right="200" w:firstLine="656"/>
        <w:spacing w:after="0" w:line="282" w:lineRule="auto"/>
        <w:tabs>
          <w:tab w:leader="none" w:pos="883"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section headings contained in this Agreement are inserted for convenience only and will not affect in any way the meaning or interpretation of this Agreement.</w:t>
      </w:r>
    </w:p>
    <w:p>
      <w:pPr>
        <w:spacing w:after="0" w:line="161" w:lineRule="exact"/>
        <w:rPr>
          <w:rFonts w:ascii="Times New Roman" w:cs="Times New Roman" w:eastAsia="Times New Roman" w:hAnsi="Times New Roman"/>
          <w:sz w:val="18"/>
          <w:szCs w:val="18"/>
          <w:color w:val="auto"/>
        </w:rPr>
      </w:pPr>
    </w:p>
    <w:p>
      <w:pPr>
        <w:ind w:left="-20" w:right="380" w:firstLine="656"/>
        <w:spacing w:after="0" w:line="266" w:lineRule="auto"/>
        <w:tabs>
          <w:tab w:leader="none" w:pos="843"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the entire relationship of the parties hereto, and any dispute between the parties (whether grounded in contract, tort, statute, law or equity) shall be governed by, construed in accordance with, and interpreted pursuant to the laws of the State of New York, without giving effect to its choice of laws principles.</w:t>
      </w:r>
    </w:p>
    <w:p>
      <w:pPr>
        <w:spacing w:after="0" w:line="175" w:lineRule="exact"/>
        <w:rPr>
          <w:rFonts w:ascii="Times New Roman" w:cs="Times New Roman" w:eastAsia="Times New Roman" w:hAnsi="Times New Roman"/>
          <w:sz w:val="18"/>
          <w:szCs w:val="18"/>
          <w:color w:val="auto"/>
        </w:rPr>
      </w:pPr>
    </w:p>
    <w:p>
      <w:pPr>
        <w:ind w:left="-20" w:firstLine="656"/>
        <w:spacing w:after="0" w:line="255" w:lineRule="auto"/>
        <w:tabs>
          <w:tab w:leader="none" w:pos="843"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The parties (i) hereby irrevocably and unconditionally submit to the jurisdiction of the state courts of New York and to the jurisdiction of the United States District Court for the Southern District of New York for the purpose of any suit, action or other proceeding arising out of or based upon this Agreement, (ii) agree not to commence any suit, action or other proceeding arising out of or based upon this Agreement except in state courts of New York or the United States District Court for the Southern District of New York, and (iii)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w:t>
      </w:r>
    </w:p>
    <w:p>
      <w:pPr>
        <w:spacing w:after="0" w:line="188" w:lineRule="exact"/>
        <w:rPr>
          <w:rFonts w:ascii="Times New Roman" w:cs="Times New Roman" w:eastAsia="Times New Roman" w:hAnsi="Times New Roman"/>
          <w:sz w:val="18"/>
          <w:szCs w:val="18"/>
          <w:color w:val="auto"/>
        </w:rPr>
      </w:pPr>
    </w:p>
    <w:p>
      <w:pPr>
        <w:ind w:left="-20" w:right="140" w:firstLine="656"/>
        <w:spacing w:after="0" w:line="282" w:lineRule="auto"/>
        <w:tabs>
          <w:tab w:leader="none" w:pos="883"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The parties hereto hereby waive any right to a jury trial in connection with any litigation pursuant to this Agreement and the transactions contemplated hereby.</w:t>
      </w:r>
    </w:p>
    <w:p>
      <w:pPr>
        <w:spacing w:after="0" w:line="161" w:lineRule="exact"/>
        <w:rPr>
          <w:rFonts w:ascii="Times New Roman" w:cs="Times New Roman" w:eastAsia="Times New Roman" w:hAnsi="Times New Roman"/>
          <w:sz w:val="18"/>
          <w:szCs w:val="18"/>
          <w:color w:val="auto"/>
        </w:rPr>
      </w:pPr>
    </w:p>
    <w:p>
      <w:pPr>
        <w:ind w:left="-20" w:right="100" w:firstLine="656"/>
        <w:spacing w:after="0" w:line="282" w:lineRule="auto"/>
        <w:tabs>
          <w:tab w:leader="none" w:pos="843"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This Agreement may not be amended, modified or waived as to any particular provision except with the prior written consent of the Company and the Purchaser.</w:t>
      </w:r>
    </w:p>
    <w:p>
      <w:pPr>
        <w:spacing w:after="0" w:line="161" w:lineRule="exact"/>
        <w:rPr>
          <w:rFonts w:ascii="Times New Roman" w:cs="Times New Roman" w:eastAsia="Times New Roman" w:hAnsi="Times New Roman"/>
          <w:sz w:val="18"/>
          <w:szCs w:val="18"/>
          <w:color w:val="auto"/>
        </w:rPr>
      </w:pPr>
    </w:p>
    <w:p>
      <w:pPr>
        <w:ind w:left="-20" w:right="20" w:firstLine="656"/>
        <w:spacing w:after="0" w:line="256" w:lineRule="auto"/>
        <w:tabs>
          <w:tab w:leader="none" w:pos="933"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The provisions of this Agreement will be deemed severable and the invalidity or unenforceability of any provision will not affect the validity or enforceability of the other provisions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any provision of this Agreement, as applied to any party hereto or to any circumstance, is adjudged by a governmental authority, arbitrator, or mediator not to be enforceable in accordance with its terms, the parties hereto agree that the governmental authority, arbitrator, or mediator making such determination will have the power to modify the provision in a manner consistent with its objectives such that it is enforceable, and/or to delete specific words or phrases, and in its reduced form, such provision will then be enforceable and will be enforced.</w:t>
      </w:r>
    </w:p>
    <w:p>
      <w:pPr>
        <w:spacing w:after="0" w:line="187" w:lineRule="exact"/>
        <w:rPr>
          <w:rFonts w:ascii="Times New Roman" w:cs="Times New Roman" w:eastAsia="Times New Roman" w:hAnsi="Times New Roman"/>
          <w:sz w:val="18"/>
          <w:szCs w:val="18"/>
          <w:color w:val="auto"/>
        </w:rPr>
      </w:pPr>
    </w:p>
    <w:p>
      <w:pPr>
        <w:ind w:left="-20" w:right="20" w:firstLine="656"/>
        <w:spacing w:after="0" w:line="261" w:lineRule="auto"/>
        <w:tabs>
          <w:tab w:leader="none" w:pos="883"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Each of the Company and the Purchaser will bear its own costs and expenses incurred in connection with the preparation, execution and performance of this Agreement and the consummation of the transactions contemplated hereby, including all fees and expenses of agents, representatives, financial advisors, legal counsel and accountants. The Company shall be responsible for the fees of its transfer agent; stamp taxes and all of The Depository Trust Company’s fees associated with the issuance of the Forward Purchase Shares.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163" w:name="page164"/>
    <w:bookmarkEnd w:id="163"/>
    <w:p>
      <w:pPr>
        <w:ind w:left="-20" w:firstLine="656"/>
        <w:spacing w:after="0" w:line="253" w:lineRule="auto"/>
        <w:tabs>
          <w:tab w:leader="none" w:pos="883"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hereto have participated jointly in the negotiation and drafting of this Agreement. If an ambiguity or question of intent or interpretation arises, this Agreement will be construed as if drafted jointly by the parties hereto and no presumption or burden of proof will arise favoring or disfavoring any party hereto because of the authorship of any provision of this Agreement. Any reference to any federal, state, local, or foreign law will be deemed also to refer to law as amended and all rules and regulations promulgated thereunder, unless the context requires otherwise. The words “</w:t>
      </w:r>
      <w:r>
        <w:rPr>
          <w:rFonts w:ascii="Times New Roman" w:cs="Times New Roman" w:eastAsia="Times New Roman" w:hAnsi="Times New Roman"/>
          <w:sz w:val="18"/>
          <w:szCs w:val="18"/>
          <w:i w:val="1"/>
          <w:iCs w:val="1"/>
          <w:color w:val="auto"/>
        </w:rPr>
        <w:t>include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includes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including</w:t>
      </w:r>
      <w:r>
        <w:rPr>
          <w:rFonts w:ascii="Times New Roman" w:cs="Times New Roman" w:eastAsia="Times New Roman" w:hAnsi="Times New Roman"/>
          <w:sz w:val="18"/>
          <w:szCs w:val="18"/>
          <w:color w:val="auto"/>
        </w:rPr>
        <w:t>” will be deemed to be followed by “</w:t>
      </w:r>
      <w:r>
        <w:rPr>
          <w:rFonts w:ascii="Times New Roman" w:cs="Times New Roman" w:eastAsia="Times New Roman" w:hAnsi="Times New Roman"/>
          <w:sz w:val="18"/>
          <w:szCs w:val="18"/>
          <w:i w:val="1"/>
          <w:iCs w:val="1"/>
          <w:color w:val="auto"/>
        </w:rPr>
        <w:t>without limitation</w:t>
      </w:r>
      <w:r>
        <w:rPr>
          <w:rFonts w:ascii="Times New Roman" w:cs="Times New Roman" w:eastAsia="Times New Roman" w:hAnsi="Times New Roman"/>
          <w:sz w:val="18"/>
          <w:szCs w:val="18"/>
          <w:color w:val="auto"/>
        </w:rPr>
        <w:t>.” Pronouns in masculine, feminine, and neuter genders will be construed to include any other gender, and words in the singular form will be construed to include the plural and vice versa, unless the context otherwise requires. The words “</w:t>
      </w:r>
      <w:r>
        <w:rPr>
          <w:rFonts w:ascii="Times New Roman" w:cs="Times New Roman" w:eastAsia="Times New Roman" w:hAnsi="Times New Roman"/>
          <w:sz w:val="18"/>
          <w:szCs w:val="18"/>
          <w:i w:val="1"/>
          <w:iCs w:val="1"/>
          <w:color w:val="auto"/>
        </w:rPr>
        <w:t>this Agreement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hereof</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hereby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hereunder</w:t>
      </w:r>
      <w:r>
        <w:rPr>
          <w:rFonts w:ascii="Times New Roman" w:cs="Times New Roman" w:eastAsia="Times New Roman" w:hAnsi="Times New Roman"/>
          <w:sz w:val="18"/>
          <w:szCs w:val="18"/>
          <w:color w:val="auto"/>
        </w:rPr>
        <w:t>,” and words of similar import refer to this Agreement as a whole and not to any particular subdivision unless expressly so limited. The parties hereto intend that each representation, warranty, and covenant contained herein will have independent significance. If any party hereto has breached any representation, warranty, or covenant contained herein in any respect, the fact that there exists another representation, warranty or covenant relating to the same subject matter (regardless of the relative levels of specificity) which such party hereto has not breached will not detract from or mitigate the fact that such party hereto is in breach of the first representation, warranty, or covenant.</w:t>
      </w:r>
    </w:p>
    <w:p>
      <w:pPr>
        <w:spacing w:after="0" w:line="191" w:lineRule="exact"/>
        <w:rPr>
          <w:rFonts w:ascii="Times New Roman" w:cs="Times New Roman" w:eastAsia="Times New Roman" w:hAnsi="Times New Roman"/>
          <w:sz w:val="18"/>
          <w:szCs w:val="18"/>
          <w:color w:val="auto"/>
        </w:rPr>
      </w:pPr>
    </w:p>
    <w:p>
      <w:pPr>
        <w:jc w:val="both"/>
        <w:ind w:left="-20" w:right="140" w:firstLine="656"/>
        <w:spacing w:after="0" w:line="266" w:lineRule="auto"/>
        <w:tabs>
          <w:tab w:leader="none" w:pos="883"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by any party hereto of any default, misrepresentation, or breach of warranty or covenant hereunder, whether intentional or not, may be deemed to extend to any prior or subsequent default, misrepresentation, or breach of warranty or covenant hereunder or affect in any way any rights arising because of any prior or subsequent occurrence.</w:t>
      </w:r>
    </w:p>
    <w:p>
      <w:pPr>
        <w:spacing w:after="0" w:line="175" w:lineRule="exact"/>
        <w:rPr>
          <w:rFonts w:ascii="Times New Roman" w:cs="Times New Roman" w:eastAsia="Times New Roman" w:hAnsi="Times New Roman"/>
          <w:sz w:val="18"/>
          <w:szCs w:val="18"/>
          <w:color w:val="auto"/>
        </w:rPr>
      </w:pPr>
    </w:p>
    <w:p>
      <w:pPr>
        <w:ind w:left="-20" w:right="420" w:firstLine="656"/>
        <w:spacing w:after="0" w:line="266" w:lineRule="auto"/>
        <w:tabs>
          <w:tab w:leader="none" w:pos="883"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The Purchaser agrees that irreparable damage may occur in the event any provision of this Agreement was not performed by the Purchaser in accordance with the terms hereof and that the Company shall be entitled to specific performance of the terms hereof, in addition to any other remedy at law or equity.</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have executed this Agreement to be effective as of the date first set forth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CORVEX MANAGEMENT LP</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Keith Meister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Keith Meister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249428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CM LIFE SCIENCES, INC.</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Brian Emes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Brian Emes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249428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 and Secretary</w:t>
      </w:r>
    </w:p>
    <w:p>
      <w:pPr>
        <w:spacing w:after="0" w:line="20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Forward Purchase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7120" w:type="dxa"/>
            <w:vAlign w:val="bottom"/>
            <w:gridSpan w:val="3"/>
          </w:tcPr>
          <w:p>
            <w:pPr>
              <w:jc w:val="center"/>
              <w:ind w:right="4120"/>
              <w:spacing w:after="0"/>
              <w:rPr>
                <w:sz w:val="20"/>
                <w:szCs w:val="20"/>
                <w:color w:val="auto"/>
              </w:rPr>
            </w:pPr>
            <w:r>
              <w:rPr>
                <w:rFonts w:ascii="Times New Roman" w:cs="Times New Roman" w:eastAsia="Times New Roman" w:hAnsi="Times New Roman"/>
                <w:sz w:val="18"/>
                <w:szCs w:val="18"/>
                <w:b w:val="1"/>
                <w:bCs w:val="1"/>
                <w:color w:val="auto"/>
                <w:w w:val="97"/>
              </w:rPr>
              <w:t>EXHIBIT A</w:t>
            </w:r>
          </w:p>
        </w:tc>
      </w:tr>
      <w:tr>
        <w:trPr>
          <w:trHeight w:val="432"/>
        </w:trPr>
        <w:tc>
          <w:tcPr>
            <w:tcW w:w="4120" w:type="dxa"/>
            <w:vAlign w:val="bottom"/>
          </w:tcPr>
          <w:p>
            <w:pPr>
              <w:spacing w:after="0"/>
              <w:rPr>
                <w:sz w:val="24"/>
                <w:szCs w:val="24"/>
                <w:color w:val="auto"/>
              </w:rPr>
            </w:pPr>
          </w:p>
        </w:tc>
        <w:tc>
          <w:tcPr>
            <w:tcW w:w="7120" w:type="dxa"/>
            <w:vAlign w:val="bottom"/>
            <w:gridSpan w:val="3"/>
          </w:tcPr>
          <w:p>
            <w:pPr>
              <w:jc w:val="center"/>
              <w:ind w:right="4100"/>
              <w:spacing w:after="0"/>
              <w:rPr>
                <w:sz w:val="20"/>
                <w:szCs w:val="20"/>
                <w:color w:val="auto"/>
              </w:rPr>
            </w:pPr>
            <w:r>
              <w:rPr>
                <w:rFonts w:ascii="Times New Roman" w:cs="Times New Roman" w:eastAsia="Times New Roman" w:hAnsi="Times New Roman"/>
                <w:sz w:val="18"/>
                <w:szCs w:val="18"/>
                <w:b w:val="1"/>
                <w:bCs w:val="1"/>
                <w:color w:val="auto"/>
                <w:w w:val="99"/>
              </w:rPr>
              <w:t>FORM OF PURCHASER JOINDER</w:t>
            </w:r>
          </w:p>
        </w:tc>
      </w:tr>
      <w:tr>
        <w:trPr>
          <w:trHeight w:val="432"/>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Number of Forward Purchase Shares:</w:t>
            </w:r>
          </w:p>
        </w:tc>
        <w:tc>
          <w:tcPr>
            <w:tcW w:w="6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Purchase Price for Forward Purchase Shares:</w:t>
            </w:r>
          </w:p>
        </w:tc>
        <w:tc>
          <w:tcPr>
            <w:tcW w:w="70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37"/>
        </w:trPr>
        <w:tc>
          <w:tcPr>
            <w:tcW w:w="412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bl>
    <w:p>
      <w:pPr>
        <w:spacing w:after="0" w:line="194" w:lineRule="exact"/>
        <w:rPr>
          <w:sz w:val="20"/>
          <w:szCs w:val="20"/>
          <w:color w:val="auto"/>
        </w:rPr>
      </w:pPr>
    </w:p>
    <w:p>
      <w:pPr>
        <w:jc w:val="both"/>
        <w:ind w:right="320"/>
        <w:spacing w:after="0" w:line="268" w:lineRule="auto"/>
        <w:rPr>
          <w:sz w:val="20"/>
          <w:szCs w:val="20"/>
          <w:color w:val="auto"/>
        </w:rPr>
      </w:pPr>
      <w:r>
        <w:rPr>
          <w:rFonts w:ascii="Times New Roman" w:cs="Times New Roman" w:eastAsia="Times New Roman" w:hAnsi="Times New Roman"/>
          <w:sz w:val="18"/>
          <w:szCs w:val="18"/>
          <w:b w:val="1"/>
          <w:bCs w:val="1"/>
          <w:color w:val="auto"/>
        </w:rPr>
        <w:t>TO BE EXECUTED UPON ANY ALLOCATION AND/OR REVISION IN ACCORDANCE WITH THIS AGREEMENT TO “NUMBER OF FORWARD PURCHASE SHARES” AND “AGGREGATE PURCHASE PRICE FOR FORWARD PURCHASE SECURITIES” SET FORTH ABOVE: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Forward Purchase Shares and Aggregate Purchase Price for Forward Purchase Shares as of</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20[ ], accepted and agreed to as of this   day of</w:t>
            </w:r>
          </w:p>
        </w:tc>
      </w:tr>
      <w:tr>
        <w:trPr>
          <w:trHeight w:val="234"/>
        </w:trPr>
        <w:tc>
          <w:tcPr>
            <w:tcW w:w="6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 20[  ].</w:t>
            </w:r>
          </w:p>
        </w:tc>
        <w:tc>
          <w:tcPr>
            <w:tcW w:w="6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32"/>
        </w:trPr>
        <w:tc>
          <w:tcPr>
            <w:tcW w:w="11080" w:type="dxa"/>
            <w:vAlign w:val="bottom"/>
            <w:gridSpan w:val="4"/>
          </w:tcPr>
          <w:p>
            <w:pPr>
              <w:ind w:left="6760"/>
              <w:spacing w:after="0"/>
              <w:rPr>
                <w:sz w:val="20"/>
                <w:szCs w:val="20"/>
                <w:color w:val="auto"/>
              </w:rPr>
            </w:pPr>
            <w:r>
              <w:rPr>
                <w:rFonts w:ascii="Times New Roman" w:cs="Times New Roman" w:eastAsia="Times New Roman" w:hAnsi="Times New Roman"/>
                <w:sz w:val="18"/>
                <w:szCs w:val="18"/>
                <w:b w:val="1"/>
                <w:bCs w:val="1"/>
                <w:color w:val="auto"/>
              </w:rPr>
              <w:t>PURCHASER:</w:t>
            </w:r>
          </w:p>
        </w:tc>
      </w:tr>
      <w:tr>
        <w:trPr>
          <w:trHeight w:val="391"/>
        </w:trPr>
        <w:tc>
          <w:tcPr>
            <w:tcW w:w="6820" w:type="dxa"/>
            <w:vAlign w:val="bottom"/>
          </w:tcPr>
          <w:p>
            <w:pPr>
              <w:ind w:left="67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520" w:type="dxa"/>
            <w:vAlign w:val="bottom"/>
          </w:tcPr>
          <w:p>
            <w:pPr>
              <w:jc w:val="right"/>
              <w:ind w:right="1381"/>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453"/>
        </w:trPr>
        <w:tc>
          <w:tcPr>
            <w:tcW w:w="7440" w:type="dxa"/>
            <w:vAlign w:val="bottom"/>
            <w:gridSpan w:val="2"/>
          </w:tcPr>
          <w:p>
            <w:pPr>
              <w:ind w:left="6760"/>
              <w:spacing w:after="0"/>
              <w:rPr>
                <w:sz w:val="20"/>
                <w:szCs w:val="20"/>
                <w:color w:val="auto"/>
              </w:rPr>
            </w:pPr>
            <w:r>
              <w:rPr>
                <w:rFonts w:ascii="Times New Roman" w:cs="Times New Roman" w:eastAsia="Times New Roman" w:hAnsi="Times New Roman"/>
                <w:sz w:val="18"/>
                <w:szCs w:val="18"/>
                <w:color w:val="auto"/>
              </w:rPr>
              <w:t>By:</w:t>
            </w:r>
          </w:p>
        </w:tc>
        <w:tc>
          <w:tcPr>
            <w:tcW w:w="212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-127635</wp:posOffset>
            </wp:positionV>
            <wp:extent cx="249428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CM LIFE SCIENCES, INC.</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-127635</wp:posOffset>
            </wp:positionV>
            <wp:extent cx="249428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238"/>
        </w:trPr>
        <w:tc>
          <w:tcPr>
            <w:tcW w:w="1500" w:type="dxa"/>
            <w:vAlign w:val="bottom"/>
          </w:tcPr>
          <w:p>
            <w:pPr>
              <w:spacing w:after="0"/>
              <w:rPr>
                <w:sz w:val="20"/>
                <w:szCs w:val="20"/>
                <w:color w:val="auto"/>
              </w:rPr>
            </w:pPr>
          </w:p>
        </w:tc>
        <w:tc>
          <w:tcPr>
            <w:tcW w:w="806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SCHEDULE A</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500" w:type="dxa"/>
            <w:vAlign w:val="bottom"/>
          </w:tcPr>
          <w:p>
            <w:pPr>
              <w:spacing w:after="0"/>
              <w:rPr>
                <w:sz w:val="24"/>
                <w:szCs w:val="24"/>
                <w:color w:val="auto"/>
              </w:rPr>
            </w:pPr>
          </w:p>
        </w:tc>
        <w:tc>
          <w:tcPr>
            <w:tcW w:w="806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ALLOCATION OF FORWARD PURCHASE SHARES</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6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The following allocation of Forward Purchase Shares has been made:</w:t>
            </w:r>
          </w:p>
        </w:tc>
        <w:tc>
          <w:tcPr>
            <w:tcW w:w="11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5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16"/>
        </w:trPr>
        <w:tc>
          <w:tcPr>
            <w:tcW w:w="15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Forward</w:t>
            </w:r>
          </w:p>
        </w:tc>
      </w:tr>
      <w:tr>
        <w:trPr>
          <w:trHeight w:val="216"/>
        </w:trPr>
        <w:tc>
          <w:tcPr>
            <w:tcW w:w="15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Purchase</w:t>
            </w:r>
          </w:p>
        </w:tc>
      </w:tr>
      <w:tr>
        <w:trPr>
          <w:trHeight w:val="216"/>
        </w:trPr>
        <w:tc>
          <w:tcPr>
            <w:tcW w:w="15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 to be</w:t>
            </w:r>
          </w:p>
        </w:tc>
      </w:tr>
      <w:tr>
        <w:trPr>
          <w:trHeight w:val="245"/>
        </w:trPr>
        <w:tc>
          <w:tcPr>
            <w:tcW w:w="1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Purchaser(s)</w:t>
            </w:r>
          </w:p>
        </w:tc>
        <w:tc>
          <w:tcPr>
            <w:tcW w:w="4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Purchased</w:t>
            </w:r>
          </w:p>
        </w:tc>
      </w:tr>
      <w:tr>
        <w:trPr>
          <w:trHeight w:val="216"/>
        </w:trPr>
        <w:tc>
          <w:tcPr>
            <w:tcW w:w="1500" w:type="dxa"/>
            <w:vAlign w:val="bottom"/>
            <w:tcBorders>
              <w:top w:val="single" w:sz="8" w:color="auto"/>
            </w:tcBorders>
            <w:shd w:val="clear" w:color="auto" w:fill="CCEEFF"/>
          </w:tcPr>
          <w:p>
            <w:pPr>
              <w:spacing w:after="0"/>
              <w:rPr>
                <w:sz w:val="18"/>
                <w:szCs w:val="18"/>
                <w:color w:val="auto"/>
              </w:rPr>
            </w:pPr>
          </w:p>
        </w:tc>
        <w:tc>
          <w:tcPr>
            <w:tcW w:w="4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95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 BE EXECUTED UPON ALLOCATION OF FORWARD PURCHASE SECURITIES:</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Schedule A as of</w:t>
            </w:r>
          </w:p>
        </w:tc>
        <w:tc>
          <w:tcPr>
            <w:tcW w:w="4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20[  ], accepted and agreed to as of this  day of</w:t>
            </w:r>
          </w:p>
        </w:tc>
        <w:tc>
          <w:tcPr>
            <w:tcW w:w="3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20[  ] by:</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5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920" w:type="dxa"/>
            <w:vAlign w:val="bottom"/>
            <w:gridSpan w:val="2"/>
          </w:tcPr>
          <w:p>
            <w:pPr>
              <w:ind w:left="1120"/>
              <w:spacing w:after="0"/>
              <w:rPr>
                <w:sz w:val="20"/>
                <w:szCs w:val="20"/>
                <w:color w:val="auto"/>
              </w:rPr>
            </w:pPr>
            <w:r>
              <w:rPr>
                <w:rFonts w:ascii="Times New Roman" w:cs="Times New Roman" w:eastAsia="Times New Roman" w:hAnsi="Times New Roman"/>
                <w:sz w:val="18"/>
                <w:szCs w:val="18"/>
                <w:b w:val="1"/>
                <w:bCs w:val="1"/>
                <w:color w:val="auto"/>
              </w:rPr>
              <w:t>PURCHASER:</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1"/>
        </w:trPr>
        <w:tc>
          <w:tcPr>
            <w:tcW w:w="15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180" w:type="dxa"/>
            <w:vAlign w:val="bottom"/>
          </w:tcPr>
          <w:p>
            <w:pPr>
              <w:ind w:left="11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740" w:type="dxa"/>
            <w:vAlign w:val="bottom"/>
            <w:tcBorders>
              <w:bottom w:val="single" w:sz="8" w:color="auto"/>
            </w:tcBorders>
          </w:tcPr>
          <w:p>
            <w:pPr>
              <w:spacing w:after="0"/>
              <w:rPr>
                <w:sz w:val="24"/>
                <w:szCs w:val="24"/>
                <w:color w:val="auto"/>
              </w:rPr>
            </w:pP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15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9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By:</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-127635</wp:posOffset>
            </wp:positionV>
            <wp:extent cx="249428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CM LIFE SCIENCES, INC.</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-127635</wp:posOffset>
            </wp:positionV>
            <wp:extent cx="249428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7" w:name="page168"/>
    <w:bookmarkEnd w:id="167"/>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TRANSFEREE JOINDER</w:t>
      </w:r>
    </w:p>
    <w:p>
      <w:pPr>
        <w:spacing w:after="0" w:line="225"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color w:val="auto"/>
        </w:rPr>
        <w:t>TO BE EXECUTED UPON ANY ASSIGNMENT AND/OR REVISION IN ACCORDANCE WITH THIS AGREEMENT TO “NUMBER OF FORWARD PURCHASE SHARES” AND “AGGREGATE PURCHASE PRICE FOR FORWARD PURCHASE SHARES” SET FORTH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Forward Purchase Shares:</w:t>
            </w:r>
          </w:p>
        </w:tc>
        <w:tc>
          <w:tcPr>
            <w:tcW w:w="2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600" w:type="dxa"/>
            <w:vAlign w:val="bottom"/>
            <w:gridSpan w:val="2"/>
          </w:tcPr>
          <w:p>
            <w:pPr>
              <w:spacing w:after="0"/>
              <w:rPr>
                <w:sz w:val="18"/>
                <w:szCs w:val="18"/>
                <w:color w:val="auto"/>
              </w:rPr>
            </w:pPr>
          </w:p>
        </w:tc>
        <w:tc>
          <w:tcPr>
            <w:tcW w:w="2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Purchase Price for Forward Purchase Shares:</w:t>
            </w:r>
          </w:p>
        </w:tc>
        <w:tc>
          <w:tcPr>
            <w:tcW w:w="354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37"/>
        </w:trPr>
        <w:tc>
          <w:tcPr>
            <w:tcW w:w="7600" w:type="dxa"/>
            <w:vAlign w:val="bottom"/>
            <w:gridSpan w:val="2"/>
          </w:tcPr>
          <w:p>
            <w:pPr>
              <w:spacing w:after="0"/>
              <w:rPr>
                <w:sz w:val="20"/>
                <w:szCs w:val="20"/>
                <w:color w:val="auto"/>
              </w:rPr>
            </w:pPr>
          </w:p>
        </w:tc>
        <w:tc>
          <w:tcPr>
            <w:tcW w:w="24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Forward Purchase Shares and Aggregate Purchase Price for Forward Purchase Shares as of</w:t>
            </w:r>
          </w:p>
        </w:tc>
        <w:tc>
          <w:tcPr>
            <w:tcW w:w="36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202[  ], accepted and agreed to as of this</w:t>
            </w:r>
          </w:p>
        </w:tc>
      </w:t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day of</w:t>
            </w:r>
          </w:p>
        </w:tc>
        <w:tc>
          <w:tcPr>
            <w:tcW w:w="6960" w:type="dxa"/>
            <w:vAlign w:val="bottom"/>
          </w:tcPr>
          <w:p>
            <w:pPr>
              <w:jc w:val="right"/>
              <w:ind w:right="6030"/>
              <w:spacing w:after="0"/>
              <w:rPr>
                <w:sz w:val="20"/>
                <w:szCs w:val="20"/>
                <w:color w:val="auto"/>
              </w:rPr>
            </w:pPr>
            <w:r>
              <w:rPr>
                <w:rFonts w:ascii="Times New Roman" w:cs="Times New Roman" w:eastAsia="Times New Roman" w:hAnsi="Times New Roman"/>
                <w:sz w:val="18"/>
                <w:szCs w:val="18"/>
                <w:color w:val="auto"/>
              </w:rPr>
              <w:t>, 202[  ].</w:t>
            </w:r>
          </w:p>
        </w:tc>
        <w:tc>
          <w:tcPr>
            <w:tcW w:w="2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40" w:type="dxa"/>
            <w:vAlign w:val="bottom"/>
          </w:tcPr>
          <w:p>
            <w:pPr>
              <w:spacing w:after="0"/>
              <w:rPr>
                <w:sz w:val="24"/>
                <w:szCs w:val="24"/>
                <w:color w:val="auto"/>
              </w:rPr>
            </w:pPr>
          </w:p>
        </w:tc>
        <w:tc>
          <w:tcPr>
            <w:tcW w:w="6960" w:type="dxa"/>
            <w:vAlign w:val="bottom"/>
          </w:tcPr>
          <w:p>
            <w:pPr>
              <w:ind w:left="6120"/>
              <w:spacing w:after="0"/>
              <w:rPr>
                <w:sz w:val="20"/>
                <w:szCs w:val="20"/>
                <w:color w:val="auto"/>
              </w:rPr>
            </w:pPr>
            <w:r>
              <w:rPr>
                <w:rFonts w:ascii="Times New Roman" w:cs="Times New Roman" w:eastAsia="Times New Roman" w:hAnsi="Times New Roman"/>
                <w:sz w:val="18"/>
                <w:szCs w:val="18"/>
                <w:b w:val="1"/>
                <w:bCs w:val="1"/>
                <w:color w:val="auto"/>
              </w:rPr>
              <w:t>[</w:t>
            </w:r>
          </w:p>
        </w:tc>
        <w:tc>
          <w:tcPr>
            <w:tcW w:w="2420" w:type="dxa"/>
            <w:vAlign w:val="bottom"/>
          </w:tcPr>
          <w:p>
            <w:pPr>
              <w:jc w:val="right"/>
              <w:ind w:right="17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40" w:type="dxa"/>
            <w:vAlign w:val="bottom"/>
          </w:tcPr>
          <w:p>
            <w:pPr>
              <w:spacing w:after="0"/>
              <w:rPr>
                <w:sz w:val="24"/>
                <w:szCs w:val="24"/>
                <w:color w:val="auto"/>
              </w:rPr>
            </w:pPr>
          </w:p>
        </w:tc>
        <w:tc>
          <w:tcPr>
            <w:tcW w:w="6960" w:type="dxa"/>
            <w:vAlign w:val="bottom"/>
          </w:tcPr>
          <w:p>
            <w:pPr>
              <w:ind w:left="6120"/>
              <w:spacing w:after="0"/>
              <w:rPr>
                <w:sz w:val="20"/>
                <w:szCs w:val="20"/>
                <w:color w:val="auto"/>
              </w:rPr>
            </w:pPr>
            <w:r>
              <w:rPr>
                <w:rFonts w:ascii="Times New Roman" w:cs="Times New Roman" w:eastAsia="Times New Roman" w:hAnsi="Times New Roman"/>
                <w:sz w:val="18"/>
                <w:szCs w:val="18"/>
                <w:color w:val="auto"/>
              </w:rPr>
              <w:t>By:</w:t>
            </w:r>
          </w:p>
        </w:tc>
        <w:tc>
          <w:tcPr>
            <w:tcW w:w="2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-127635</wp:posOffset>
            </wp:positionV>
            <wp:extent cx="249428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CM LIFE SCIENCES, INC.</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-127635</wp:posOffset>
            </wp:positionV>
            <wp:extent cx="249428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8" w:name="page169"/>
    <w:bookmarkEnd w:id="168"/>
    <w:p>
      <w:pPr>
        <w:jc w:val="center"/>
        <w:spacing w:after="0"/>
        <w:rPr>
          <w:sz w:val="20"/>
          <w:szCs w:val="20"/>
          <w:color w:val="auto"/>
        </w:rPr>
      </w:pPr>
      <w:r>
        <w:rPr>
          <w:rFonts w:ascii="Times New Roman" w:cs="Times New Roman" w:eastAsia="Times New Roman" w:hAnsi="Times New Roman"/>
          <w:sz w:val="18"/>
          <w:szCs w:val="18"/>
          <w:b w:val="1"/>
          <w:bCs w:val="1"/>
          <w:color w:val="auto"/>
        </w:rPr>
        <w:t>SCHEDULE B</w:t>
      </w:r>
    </w:p>
    <w:p>
      <w:pPr>
        <w:spacing w:after="0" w:line="225"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SCHEDULE OF TRANSFERS OF FORWARD PURCHASE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transfers of a portion of the original number of Forward Purchase Shares have been made: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Purchaser Revised</w:t>
            </w:r>
          </w:p>
        </w:tc>
      </w:tr>
      <w:tr>
        <w:trPr>
          <w:trHeight w:val="216"/>
        </w:trPr>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Forward Purchase Shares</w:t>
            </w:r>
          </w:p>
        </w:tc>
        <w:tc>
          <w:tcPr>
            <w:tcW w:w="22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Forward Purchase Shares</w:t>
            </w:r>
          </w:p>
        </w:tc>
      </w:tr>
      <w:tr>
        <w:trPr>
          <w:trHeight w:val="245"/>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Date of Transfer</w:t>
            </w:r>
          </w:p>
        </w:tc>
        <w:tc>
          <w:tcPr>
            <w:tcW w:w="3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Transferee</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Transferred</w:t>
            </w:r>
          </w:p>
        </w:tc>
        <w:tc>
          <w:tcPr>
            <w:tcW w:w="100" w:type="dxa"/>
            <w:vAlign w:val="bottom"/>
          </w:tcPr>
          <w:p>
            <w:pPr>
              <w:spacing w:after="0"/>
              <w:rPr>
                <w:sz w:val="21"/>
                <w:szCs w:val="21"/>
                <w:color w:val="auto"/>
              </w:rPr>
            </w:pP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5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580" w:type="dxa"/>
            <w:vAlign w:val="bottom"/>
          </w:tcPr>
          <w:p>
            <w:pPr>
              <w:spacing w:after="0"/>
              <w:rPr>
                <w:sz w:val="24"/>
                <w:szCs w:val="24"/>
                <w:color w:val="auto"/>
              </w:rPr>
            </w:pPr>
          </w:p>
        </w:tc>
        <w:tc>
          <w:tcPr>
            <w:tcW w:w="10660" w:type="dxa"/>
            <w:vAlign w:val="bottom"/>
            <w:gridSpan w:val="14"/>
          </w:tcPr>
          <w:p>
            <w:pPr>
              <w:ind w:left="300"/>
              <w:spacing w:after="0"/>
              <w:rPr>
                <w:sz w:val="20"/>
                <w:szCs w:val="20"/>
                <w:color w:val="auto"/>
              </w:rPr>
            </w:pPr>
            <w:r>
              <w:rPr>
                <w:rFonts w:ascii="Times New Roman" w:cs="Times New Roman" w:eastAsia="Times New Roman" w:hAnsi="Times New Roman"/>
                <w:sz w:val="18"/>
                <w:szCs w:val="18"/>
                <w:b w:val="1"/>
                <w:bCs w:val="1"/>
                <w:color w:val="auto"/>
              </w:rPr>
              <w:t>TO BE EXECUTED UPON ANY ASSIGNMENT OR FINAL DETERMINATION OF FORWARD PURCHASE SHARES:</w:t>
            </w:r>
          </w:p>
        </w:tc>
      </w:tr>
      <w:tr>
        <w:trPr>
          <w:trHeight w:val="432"/>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A as of</w:t>
            </w:r>
          </w:p>
        </w:tc>
        <w:tc>
          <w:tcPr>
            <w:tcW w:w="430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202[  ], accepted and agreed to as of this    day of</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202[</w:t>
            </w:r>
          </w:p>
        </w:tc>
        <w:tc>
          <w:tcPr>
            <w:tcW w:w="246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 by:</w:t>
            </w: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3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CM LIFE SCIENCES, INC.</w:t>
            </w: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9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900" w:type="dxa"/>
            <w:vAlign w:val="bottom"/>
            <w:tcBorders>
              <w:top w:val="single" w:sz="8" w:color="auto"/>
              <w:bottom w:val="single" w:sz="8" w:color="auto"/>
            </w:tcBorders>
          </w:tcPr>
          <w:p>
            <w:pPr>
              <w:spacing w:after="0"/>
              <w:rPr>
                <w:sz w:val="19"/>
                <w:szCs w:val="19"/>
                <w:color w:val="auto"/>
              </w:rPr>
            </w:pPr>
          </w:p>
        </w:tc>
        <w:tc>
          <w:tcPr>
            <w:tcW w:w="304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1720" w:type="dxa"/>
            <w:vAlign w:val="bottom"/>
            <w:tcBorders>
              <w:top w:val="single" w:sz="8" w:color="auto"/>
              <w:bottom w:val="single" w:sz="8" w:color="auto"/>
            </w:tcBorders>
            <w:gridSpan w:val="2"/>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0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r>
      <w:tr>
        <w:trPr>
          <w:trHeight w:val="223"/>
        </w:trPr>
        <w:tc>
          <w:tcPr>
            <w:tcW w:w="5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Title:</w:t>
            </w:r>
          </w:p>
        </w:tc>
        <w:tc>
          <w:tcPr>
            <w:tcW w:w="90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Title:</w:t>
            </w:r>
          </w:p>
        </w:tc>
        <w:tc>
          <w:tcPr>
            <w:tcW w:w="1720" w:type="dxa"/>
            <w:vAlign w:val="bottom"/>
            <w:tcBorders>
              <w:bottom w:val="single" w:sz="8" w:color="auto"/>
            </w:tcBorders>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r>
      <w:tr>
        <w:trPr>
          <w:trHeight w:val="655"/>
        </w:trPr>
        <w:tc>
          <w:tcPr>
            <w:tcW w:w="5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69" w:name="page170"/>
    <w:bookmarkEnd w:id="169"/>
    <w:p>
      <w:pPr>
        <w:ind w:left="1026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CM Life Sciences, Inc., Sponsored by Affiliates of Casdin Capital and Corvex Management, Announces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Pricing of Upsized $385 Million Initial Public Offering</w:t>
      </w:r>
    </w:p>
    <w:p>
      <w:pPr>
        <w:spacing w:after="0" w:line="203"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New York, NY – September 1, 2020 – CM Life Sciences,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announced today that it priced its initial public offering of 38,500,000 units at $10.00 per unit. The units will be listed on The Nasdaq Capital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and trade under the ticker symbol “CMLFU” beginning September 2, 2020. Each unit consists of one share of Class A common stock and one-third of one redeemable warrant, with each whole warrant exercisable to purchase one share of Class A common stock at a price of $11.50 per share. After the securities comprising the units begin separate trading, the shares of Class A common stock and warrants are expected to be listed on Nasdaq under the symbols “CMLF” and “CMLFW,” respectively. The Company expects the offering to be consummated on September 4, 2020.</w:t>
      </w:r>
    </w:p>
    <w:p>
      <w:pPr>
        <w:spacing w:after="0" w:line="18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sponsored by affiliates of Casdin Capital, LLC and Corvex Management LP, is led by Chief Executive Officer Eli Casdin and Chairman Keith Meister. The Company is a blank check company formed for the purpose of effecting a business combination. The Company intends to focus its search for business combination targets in three separate areas of the life sciences industry that are often fragmented – life sciences tools, synthetic biology and diagnostics.</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Jefferies LLC is serving as the sole book runner for the offering. The Company has granted the underwriter a 45-day option to purchase up to an additional 5,775,000 units at the initial public offering price to cover over-allotments, if 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offering is being made only by means of a prospectus. When available, copies of the prospectus may be obtained from: Jefferies LLC, Attn: Equity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Syndicate Prospectus Department, 520 Madison Avenue, 2nd Floor, New York, NY 10002, by telephone: 877-821-7388 or by email: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Prospectus_Department@Jefferies.com.</w:t>
      </w:r>
    </w:p>
    <w:p>
      <w:pPr>
        <w:spacing w:after="0" w:line="20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Registration statements relating to these securities became effective on September 1, 2020. This press release shall not constitute an offer to sell or the solicitation of an offer to buy, nor shall there be any sale of these securities in any state or jurisdiction in which such an offer, solicitation or sale would be unlawful prior to registration or qualification under the securities laws of any such state or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press release contains statements that constitute “forward-looking statements,” including with respect to the initial public offering and the anticipated use of the net proceeds. No assurance can be given that the offering discussed above will be completed on the terms described, or at all, or that the net proceeds of the offering will be used as indicated. Forward-looking statements are subject to numerous conditions, many of which are beyond the control of the Company, including those set forth in the Risk Factors section of the Company’s registration statement and preliminary prospectus for the offering filed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Copies are available on the SEC’s website, www.sec.gov. The Company undertakes no obligation to update these statements for revisions or changes after the date of this release, except as required by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CM Life Sciences,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 Fisk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 554-4963</w:t>
      </w:r>
    </w:p>
    <w:p>
      <w:pPr>
        <w:sectPr>
          <w:pgSz w:w="11900" w:h="16838" w:orient="portrait"/>
          <w:cols w:equalWidth="0" w:num="1">
            <w:col w:w="11240"/>
          </w:cols>
          <w:pgMar w:left="320" w:top="117" w:right="3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CM Life Sciences, Inc., Sponsored by Affiliates of Casdin Capital and Corvex Management, Announces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Closing of $442.75 Million Initial Public Offering</w:t>
      </w:r>
    </w:p>
    <w:p>
      <w:pPr>
        <w:spacing w:after="0" w:line="20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New York, NY – September 4, 2020 – CM Life Sciences,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announced today that it closed its initial public offering of 44,275,000 units at $10.00 per unit, including 5,775,000 units issued pursuant to the exercise in full by the underwriter of its over-allotment option. The units are listed on The Nasdaq Capital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and began trading under the ticker symbol “CMLFU” on September 2, 2020. Each unit consists of one share of Class A common stock and one-third of one redeemable warrant, with each whole warrant exercisable to purchase one share of Class A common stock at a price of $11.50 per share. After the securities comprising the units begin separate trading, the shares of Class A common stock and warrants are expected to be listed on Nasdaq under the symbols “CMLF” and “CMLFW,” respectively.</w:t>
      </w:r>
    </w:p>
    <w:p>
      <w:pPr>
        <w:spacing w:after="0" w:line="18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sponsored by affiliates of Casdin Capital, LLC and Corvex Management LP, is led by Chief Executive Officer Eli Casdin and Chairman Keith Meister. The Company is a blank check company formed for the purpose of effecting a business combination. The Company intends to focus its search for business combination targets in three separate areas of the life sciences industry that are often fragmented – life sciences tools, synthetic biology and diagnostics.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 served as the sole book runner for the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offering was made only by means of a prospectus. Copies of the prospectus may be obtained from: Jefferies LLC, Attn: Equity Syndicate Prospectus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Department, 520 Madison Avenue, 2nd Floor, New York, NY 10002, by telephone: 877-821-7388 or by email: Prospectus_Department@Jefferies.com.</w:t>
      </w:r>
    </w:p>
    <w:p>
      <w:pPr>
        <w:spacing w:after="0" w:line="20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Registration statements relating to these securities became effective on September 1, 2020. This press release shall not constitute an offer to sell or the solicitation of an offer to buy, nor shall there be any sale of these securities in any state or jurisdiction in which such an offer, solicitation or sale would be unlawful prior to registration or qualification under the securities laws of any such state or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This press release contains statements that constitute “forward-looking statements,” including with respect to the anticipated use of the net proceeds. No assurance can be given that the net proceeds of the offering will be used as indicated. Forward-looking statements are subject to numerous conditions, many of which are beyond the control of the Company, including those set forth in the Risk Factors section of the Company’s registration statement and preliminary prospectus for the offering filed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Copies are available on the SEC’s website, www.sec.gov. The Company undertakes no obligation to update these statements for revisions or changes after the date of this release, except as required by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CM Life Sciences,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 Fisk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 554-4963</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BD3EE7B"/>
    <w:multiLevelType w:val="hybridMultilevel"/>
    <w:lvl w:ilvl="0">
      <w:lvlJc w:val="left"/>
      <w:lvlText w:val="☐"/>
      <w:numFmt w:val="bullet"/>
      <w:start w:val="1"/>
    </w:lvl>
  </w:abstractNum>
  <w:abstractNum w:abstractNumId="1">
    <w:nsid w:val="51D9C564"/>
    <w:multiLevelType w:val="hybridMultilevel"/>
    <w:lvl w:ilvl="0">
      <w:lvlJc w:val="left"/>
      <w:lvlText w:val="●"/>
      <w:numFmt w:val="bullet"/>
      <w:start w:val="1"/>
    </w:lvl>
  </w:abstractNum>
  <w:abstractNum w:abstractNumId="2">
    <w:nsid w:val="613EFDC5"/>
    <w:multiLevelType w:val="hybridMultilevel"/>
    <w:lvl w:ilvl="0">
      <w:lvlJc w:val="left"/>
      <w:lvlText w:val="&amp;"/>
      <w:numFmt w:val="bullet"/>
      <w:start w:val="1"/>
    </w:lvl>
  </w:abstractNum>
  <w:abstractNum w:abstractNumId="3">
    <w:nsid w:val="BF72B14"/>
    <w:multiLevelType w:val="hybridMultilevel"/>
    <w:lvl w:ilvl="0">
      <w:lvlJc w:val="left"/>
      <w:lvlText w:val="(%1)"/>
      <w:numFmt w:val="lowerLetter"/>
      <w:start w:val="1"/>
    </w:lvl>
  </w:abstractNum>
  <w:abstractNum w:abstractNumId="4">
    <w:nsid w:val="11447B73"/>
    <w:multiLevelType w:val="hybridMultilevel"/>
    <w:lvl w:ilvl="0">
      <w:lvlJc w:val="left"/>
      <w:lvlText w:val="(%1)"/>
      <w:numFmt w:val="lowerLetter"/>
      <w:start w:val="3"/>
    </w:lvl>
  </w:abstractNum>
  <w:abstractNum w:abstractNumId="5">
    <w:nsid w:val="42963E5A"/>
    <w:multiLevelType w:val="hybridMultilevel"/>
    <w:lvl w:ilvl="0">
      <w:lvlJc w:val="left"/>
      <w:lvlText w:val="(%1)"/>
      <w:numFmt w:val="lowerLetter"/>
      <w:start w:val="12"/>
    </w:lvl>
  </w:abstractNum>
  <w:abstractNum w:abstractNumId="6">
    <w:nsid w:val="A0382C5"/>
    <w:multiLevelType w:val="hybridMultilevel"/>
    <w:lvl w:ilvl="0">
      <w:lvlJc w:val="left"/>
      <w:lvlText w:val="(%1)"/>
      <w:numFmt w:val="lowerLetter"/>
      <w:start w:val="18"/>
    </w:lvl>
  </w:abstractNum>
  <w:abstractNum w:abstractNumId="7">
    <w:nsid w:val="8F2B15E"/>
    <w:multiLevelType w:val="hybridMultilevel"/>
    <w:lvl w:ilvl="0">
      <w:lvlJc w:val="left"/>
      <w:lvlText w:val="(%1)"/>
      <w:numFmt w:val="lowerLetter"/>
      <w:start w:val="24"/>
    </w:lvl>
  </w:abstractNum>
  <w:abstractNum w:abstractNumId="8">
    <w:nsid w:val="1A32234B"/>
    <w:multiLevelType w:val="hybridMultilevel"/>
    <w:lvl w:ilvl="0">
      <w:lvlJc w:val="left"/>
      <w:lvlText w:val="(%1)"/>
      <w:numFmt w:val="lowerLetter"/>
      <w:start w:val="27"/>
    </w:lvl>
  </w:abstractNum>
  <w:abstractNum w:abstractNumId="9">
    <w:nsid w:val="3B0FD379"/>
    <w:multiLevelType w:val="hybridMultilevel"/>
    <w:lvl w:ilvl="0">
      <w:lvlJc w:val="left"/>
      <w:lvlText w:val="(%1)"/>
      <w:numFmt w:val="lowerLetter"/>
      <w:start w:val="30"/>
    </w:lvl>
  </w:abstractNum>
  <w:abstractNum w:abstractNumId="10">
    <w:nsid w:val="68EB2F63"/>
    <w:multiLevelType w:val="hybridMultilevel"/>
    <w:lvl w:ilvl="0">
      <w:lvlJc w:val="left"/>
      <w:lvlText w:val="(%1)"/>
      <w:numFmt w:val="lowerLetter"/>
      <w:start w:val="35"/>
    </w:lvl>
  </w:abstractNum>
  <w:abstractNum w:abstractNumId="11">
    <w:nsid w:val="4962813B"/>
    <w:multiLevelType w:val="hybridMultilevel"/>
    <w:lvl w:ilvl="0">
      <w:lvlJc w:val="left"/>
      <w:lvlText w:val="(%1)"/>
      <w:numFmt w:val="lowerLetter"/>
      <w:start w:val="41"/>
    </w:lvl>
  </w:abstractNum>
  <w:abstractNum w:abstractNumId="12">
    <w:nsid w:val="60B6DF70"/>
    <w:multiLevelType w:val="hybridMultilevel"/>
    <w:lvl w:ilvl="0">
      <w:lvlJc w:val="left"/>
      <w:lvlText w:val="(%1)"/>
      <w:numFmt w:val="lowerLetter"/>
      <w:start w:val="50"/>
    </w:lvl>
  </w:abstractNum>
  <w:abstractNum w:abstractNumId="13">
    <w:nsid w:val="6A5EE64"/>
    <w:multiLevelType w:val="hybridMultilevel"/>
    <w:lvl w:ilvl="0">
      <w:lvlJc w:val="left"/>
      <w:lvlText w:val="(%1)"/>
      <w:numFmt w:val="lowerLetter"/>
      <w:start w:val="53"/>
    </w:lvl>
  </w:abstractNum>
  <w:abstractNum w:abstractNumId="14">
    <w:nsid w:val="14330624"/>
    <w:multiLevelType w:val="hybridMultilevel"/>
    <w:lvl w:ilvl="0">
      <w:lvlJc w:val="left"/>
      <w:lvlText w:val="(%1)"/>
      <w:numFmt w:val="lowerLetter"/>
      <w:start w:val="54"/>
    </w:lvl>
  </w:abstractNum>
  <w:abstractNum w:abstractNumId="15">
    <w:nsid w:val="7FFFCA11"/>
    <w:multiLevelType w:val="hybridMultilevel"/>
    <w:lvl w:ilvl="0">
      <w:lvlJc w:val="left"/>
      <w:lvlText w:val="(%1)"/>
      <w:numFmt w:val="lowerLetter"/>
      <w:start w:val="1"/>
    </w:lvl>
  </w:abstractNum>
  <w:abstractNum w:abstractNumId="16">
    <w:nsid w:val="1A27709E"/>
    <w:multiLevelType w:val="hybridMultilevel"/>
    <w:lvl w:ilvl="0">
      <w:lvlJc w:val="left"/>
      <w:lvlText w:val="(%1)"/>
      <w:numFmt w:val="lowerLetter"/>
      <w:start w:val="4"/>
    </w:lvl>
    <w:lvl w:ilvl="1">
      <w:lvlJc w:val="left"/>
      <w:lvlText w:val="(%2)"/>
      <w:numFmt w:val="lowerRoman"/>
      <w:start w:val="2"/>
    </w:lvl>
  </w:abstractNum>
  <w:abstractNum w:abstractNumId="17">
    <w:nsid w:val="71EA1109"/>
    <w:multiLevelType w:val="hybridMultilevel"/>
    <w:lvl w:ilvl="0">
      <w:lvlJc w:val="left"/>
      <w:lvlText w:val="(%1)"/>
      <w:numFmt w:val="lowerLetter"/>
      <w:start w:val="1"/>
    </w:lvl>
  </w:abstractNum>
  <w:abstractNum w:abstractNumId="18">
    <w:nsid w:val="100F59DC"/>
    <w:multiLevelType w:val="hybridMultilevel"/>
    <w:lvl w:ilvl="0">
      <w:lvlJc w:val="left"/>
      <w:lvlText w:val="(%1)"/>
      <w:numFmt w:val="lowerLetter"/>
      <w:start w:val="5"/>
    </w:lvl>
  </w:abstractNum>
  <w:abstractNum w:abstractNumId="19">
    <w:nsid w:val="7FB7E0AA"/>
    <w:multiLevelType w:val="hybridMultilevel"/>
    <w:lvl w:ilvl="0">
      <w:lvlJc w:val="left"/>
      <w:lvlText w:val="(%1)"/>
      <w:numFmt w:val="lowerLetter"/>
      <w:start w:val="8"/>
    </w:lvl>
  </w:abstractNum>
  <w:abstractNum w:abstractNumId="20">
    <w:nsid w:val="6EB5BD4"/>
    <w:multiLevelType w:val="hybridMultilevel"/>
    <w:lvl w:ilvl="0">
      <w:lvlJc w:val="left"/>
      <w:lvlText w:val="(%1)"/>
      <w:numFmt w:val="lowerLetter"/>
      <w:start w:val="13"/>
    </w:lvl>
  </w:abstractNum>
  <w:abstractNum w:abstractNumId="21">
    <w:nsid w:val="6F6DD9AC"/>
    <w:multiLevelType w:val="hybridMultilevel"/>
    <w:lvl w:ilvl="0">
      <w:lvlJc w:val="left"/>
      <w:lvlText w:val="%1"/>
      <w:numFmt w:val="decimal"/>
      <w:start w:val="1"/>
    </w:lvl>
    <w:lvl w:ilvl="1">
      <w:lvlJc w:val="left"/>
      <w:lvlText w:val="(%2)"/>
      <w:numFmt w:val="lowerLetter"/>
      <w:start w:val="14"/>
    </w:lvl>
  </w:abstractNum>
  <w:abstractNum w:abstractNumId="22">
    <w:nsid w:val="94211F2"/>
    <w:multiLevelType w:val="hybridMultilevel"/>
    <w:lvl w:ilvl="0">
      <w:lvlJc w:val="left"/>
      <w:lvlText w:val="(%1)"/>
      <w:numFmt w:val="decimal"/>
      <w:start w:val="3"/>
    </w:lvl>
    <w:lvl w:ilvl="1">
      <w:lvlJc w:val="left"/>
      <w:lvlText w:val="(%2)"/>
      <w:numFmt w:val="lowerLetter"/>
      <w:start w:val="16"/>
    </w:lvl>
  </w:abstractNum>
  <w:abstractNum w:abstractNumId="23">
    <w:nsid w:val="885E1B"/>
    <w:multiLevelType w:val="hybridMultilevel"/>
    <w:lvl w:ilvl="0">
      <w:lvlJc w:val="left"/>
      <w:lvlText w:val="(%1)"/>
      <w:numFmt w:val="lowerLetter"/>
      <w:start w:val="18"/>
    </w:lvl>
  </w:abstractNum>
  <w:abstractNum w:abstractNumId="24">
    <w:nsid w:val="76272110"/>
    <w:multiLevelType w:val="hybridMultilevel"/>
    <w:lvl w:ilvl="0">
      <w:lvlJc w:val="left"/>
      <w:lvlText w:val="(%1)"/>
      <w:numFmt w:val="lowerLetter"/>
      <w:start w:val="23"/>
    </w:lvl>
  </w:abstractNum>
  <w:abstractNum w:abstractNumId="25">
    <w:nsid w:val="4C04A8AF"/>
    <w:multiLevelType w:val="hybridMultilevel"/>
    <w:lvl w:ilvl="0">
      <w:lvlJc w:val="left"/>
      <w:lvlText w:val="%1"/>
      <w:numFmt w:val="upperLetter"/>
      <w:start w:val="1"/>
    </w:lvl>
    <w:lvl w:ilvl="1">
      <w:lvlJc w:val="left"/>
      <w:lvlText w:val="(%2)"/>
      <w:numFmt w:val="lowerLetter"/>
      <w:start w:val="25"/>
    </w:lvl>
  </w:abstractNum>
  <w:abstractNum w:abstractNumId="26">
    <w:nsid w:val="1716703B"/>
    <w:multiLevelType w:val="hybridMultilevel"/>
    <w:lvl w:ilvl="0">
      <w:lvlJc w:val="left"/>
      <w:lvlText w:val="(%1)"/>
      <w:numFmt w:val="upperLetter"/>
      <w:start w:val="1"/>
    </w:lvl>
    <w:lvl w:ilvl="1">
      <w:lvlJc w:val="left"/>
      <w:lvlText w:val="(%2)"/>
      <w:numFmt w:val="lowerLetter"/>
      <w:start w:val="26"/>
    </w:lvl>
  </w:abstractNum>
  <w:abstractNum w:abstractNumId="27">
    <w:nsid w:val="14E17E33"/>
    <w:multiLevelType w:val="hybridMultilevel"/>
    <w:lvl w:ilvl="0">
      <w:lvlJc w:val="left"/>
      <w:lvlText w:val="(%1)"/>
      <w:numFmt w:val="lowerLetter"/>
      <w:start w:val="27"/>
    </w:lvl>
  </w:abstractNum>
  <w:abstractNum w:abstractNumId="28">
    <w:nsid w:val="3222E7CD"/>
    <w:multiLevelType w:val="hybridMultilevel"/>
    <w:lvl w:ilvl="0">
      <w:lvlJc w:val="left"/>
      <w:lvlText w:val="(%1)"/>
      <w:numFmt w:val="lowerLetter"/>
      <w:start w:val="33"/>
    </w:lvl>
  </w:abstractNum>
  <w:abstractNum w:abstractNumId="29">
    <w:nsid w:val="74DE0EE3"/>
    <w:multiLevelType w:val="hybridMultilevel"/>
    <w:lvl w:ilvl="0">
      <w:lvlJc w:val="left"/>
      <w:lvlText w:val="(%1)"/>
      <w:numFmt w:val="lowerLetter"/>
      <w:start w:val="37"/>
    </w:lvl>
  </w:abstractNum>
  <w:abstractNum w:abstractNumId="30">
    <w:nsid w:val="68EBC550"/>
    <w:multiLevelType w:val="hybridMultilevel"/>
    <w:lvl w:ilvl="0">
      <w:lvlJc w:val="left"/>
      <w:lvlText w:val="(%1)"/>
      <w:numFmt w:val="lowerLetter"/>
      <w:start w:val="1"/>
    </w:lvl>
    <w:lvl w:ilvl="1">
      <w:lvlJc w:val="left"/>
      <w:lvlText w:val="(%2)"/>
      <w:numFmt w:val="lowerRoman"/>
      <w:start w:val="1"/>
    </w:lvl>
  </w:abstractNum>
  <w:abstractNum w:abstractNumId="31">
    <w:nsid w:val="2DF6D648"/>
    <w:multiLevelType w:val="hybridMultilevel"/>
    <w:lvl w:ilvl="0">
      <w:lvlJc w:val="left"/>
      <w:lvlText w:val="%1"/>
      <w:numFmt w:val="lowerLetter"/>
      <w:start w:val="1"/>
    </w:lvl>
    <w:lvl w:ilvl="1">
      <w:lvlJc w:val="left"/>
      <w:lvlText w:val="(%2)"/>
      <w:numFmt w:val="lowerRoman"/>
      <w:start w:val="2"/>
    </w:lvl>
  </w:abstractNum>
  <w:abstractNum w:abstractNumId="32">
    <w:nsid w:val="46B7D447"/>
    <w:multiLevelType w:val="hybridMultilevel"/>
    <w:lvl w:ilvl="0">
      <w:lvlJc w:val="left"/>
      <w:lvlText w:val="(%1)"/>
      <w:numFmt w:val="lowerLetter"/>
      <w:start w:val="8"/>
    </w:lvl>
    <w:lvl w:ilvl="1">
      <w:lvlJc w:val="left"/>
      <w:lvlText w:val="%2"/>
      <w:numFmt w:val="lowerRoman"/>
      <w:start w:val="1"/>
    </w:lvl>
  </w:abstractNum>
  <w:abstractNum w:abstractNumId="33">
    <w:nsid w:val="4A2AC315"/>
    <w:multiLevelType w:val="hybridMultilevel"/>
    <w:lvl w:ilvl="0">
      <w:lvlJc w:val="left"/>
      <w:lvlText w:val="(%1)"/>
      <w:numFmt w:val="lowerLetter"/>
      <w:start w:val="14"/>
    </w:lvl>
  </w:abstractNum>
  <w:abstractNum w:abstractNumId="34">
    <w:nsid w:val="39EE015C"/>
    <w:multiLevelType w:val="hybridMultilevel"/>
    <w:lvl w:ilvl="0">
      <w:lvlJc w:val="left"/>
      <w:lvlText w:val="(%1)"/>
      <w:numFmt w:val="lowerLetter"/>
      <w:start w:val="1"/>
    </w:lvl>
  </w:abstractNum>
  <w:abstractNum w:abstractNumId="35">
    <w:nsid w:val="57FC4FBB"/>
    <w:multiLevelType w:val="hybridMultilevel"/>
    <w:lvl w:ilvl="0">
      <w:lvlJc w:val="left"/>
      <w:lvlText w:val="(%1)"/>
      <w:numFmt w:val="lowerLetter"/>
      <w:start w:val="2"/>
    </w:lvl>
  </w:abstractNum>
  <w:abstractNum w:abstractNumId="36">
    <w:nsid w:val="CC1016F"/>
    <w:multiLevelType w:val="hybridMultilevel"/>
    <w:lvl w:ilvl="0">
      <w:lvlJc w:val="left"/>
      <w:lvlText w:val="(%1)"/>
      <w:numFmt w:val="lowerLetter"/>
      <w:start w:val="3"/>
    </w:lvl>
  </w:abstractNum>
  <w:abstractNum w:abstractNumId="37">
    <w:nsid w:val="43F18422"/>
    <w:multiLevelType w:val="hybridMultilevel"/>
    <w:lvl w:ilvl="0">
      <w:lvlJc w:val="left"/>
      <w:lvlText w:val="%1."/>
      <w:numFmt w:val="decimal"/>
      <w:start w:val="1"/>
    </w:lvl>
  </w:abstractNum>
  <w:abstractNum w:abstractNumId="38">
    <w:nsid w:val="60EF0119"/>
    <w:multiLevelType w:val="hybridMultilevel"/>
    <w:lvl w:ilvl="0">
      <w:lvlJc w:val="left"/>
      <w:lvlText w:val="%1."/>
      <w:numFmt w:val="decimal"/>
      <w:start w:val="1"/>
    </w:lvl>
  </w:abstractNum>
  <w:abstractNum w:abstractNumId="39">
    <w:nsid w:val="26F324BA"/>
    <w:multiLevelType w:val="hybridMultilevel"/>
    <w:lvl w:ilvl="0">
      <w:lvlJc w:val="left"/>
      <w:lvlText w:val="(%1)"/>
      <w:numFmt w:val="lowerLetter"/>
      <w:start w:val="1"/>
    </w:lvl>
    <w:lvl w:ilvl="1">
      <w:lvlJc w:val="left"/>
      <w:lvlText w:val="(%2)"/>
      <w:numFmt w:val="lowerRoman"/>
      <w:start w:val="1"/>
    </w:lvl>
  </w:abstractNum>
  <w:abstractNum w:abstractNumId="40">
    <w:nsid w:val="7F01579B"/>
    <w:multiLevelType w:val="hybridMultilevel"/>
    <w:lvl w:ilvl="0">
      <w:lvlJc w:val="left"/>
      <w:lvlText w:val="(%1)"/>
      <w:numFmt w:val="lowerRoman"/>
      <w:start w:val="2"/>
    </w:lvl>
  </w:abstractNum>
  <w:abstractNum w:abstractNumId="41">
    <w:nsid w:val="49DA307D"/>
    <w:multiLevelType w:val="hybridMultilevel"/>
    <w:lvl w:ilvl="0">
      <w:lvlJc w:val="left"/>
      <w:lvlText w:val="%1"/>
      <w:numFmt w:val="lowerLetter"/>
      <w:start w:val="1"/>
    </w:lvl>
    <w:lvl w:ilvl="1">
      <w:lvlJc w:val="left"/>
      <w:lvlText w:val="(%2)"/>
      <w:numFmt w:val="lowerLetter"/>
      <w:start w:val="61"/>
    </w:lvl>
  </w:abstractNum>
  <w:abstractNum w:abstractNumId="42">
    <w:nsid w:val="7055A5F5"/>
    <w:multiLevelType w:val="hybridMultilevel"/>
    <w:lvl w:ilvl="0">
      <w:lvlJc w:val="left"/>
      <w:lvlText w:val="(%1)"/>
      <w:numFmt w:val="lowerLetter"/>
      <w:start w:val="3"/>
    </w:lvl>
    <w:lvl w:ilvl="1">
      <w:lvlJc w:val="left"/>
      <w:lvlText w:val="%2"/>
      <w:numFmt w:val="lowerLetter"/>
      <w:start w:val="1"/>
    </w:lvl>
  </w:abstractNum>
  <w:abstractNum w:abstractNumId="43">
    <w:nsid w:val="5FB8370B"/>
    <w:multiLevelType w:val="hybridMultilevel"/>
    <w:lvl w:ilvl="0">
      <w:lvlJc w:val="left"/>
      <w:lvlText w:val="(%1)"/>
      <w:numFmt w:val="lowerLetter"/>
      <w:start w:val="1"/>
    </w:lvl>
  </w:abstractNum>
  <w:abstractNum w:abstractNumId="44">
    <w:nsid w:val="50801EE1"/>
    <w:multiLevelType w:val="hybridMultilevel"/>
    <w:lvl w:ilvl="0">
      <w:lvlJc w:val="left"/>
      <w:lvlText w:val="(%1)"/>
      <w:numFmt w:val="lowerLetter"/>
      <w:start w:val="3"/>
    </w:lvl>
  </w:abstractNum>
  <w:abstractNum w:abstractNumId="45">
    <w:nsid w:val="488AC1A"/>
    <w:multiLevelType w:val="hybridMultilevel"/>
    <w:lvl w:ilvl="0">
      <w:lvlJc w:val="left"/>
      <w:lvlText w:val="(%1)"/>
      <w:numFmt w:val="lowerLetter"/>
      <w:start w:val="1"/>
    </w:lvl>
  </w:abstractNum>
  <w:abstractNum w:abstractNumId="46">
    <w:nsid w:val="5FB8011C"/>
    <w:multiLevelType w:val="hybridMultilevel"/>
    <w:lvl w:ilvl="0">
      <w:lvlJc w:val="left"/>
      <w:lvlText w:val="(%1)"/>
      <w:numFmt w:val="lowerLetter"/>
      <w:start w:val="2"/>
    </w:lvl>
  </w:abstractNum>
  <w:abstractNum w:abstractNumId="47">
    <w:nsid w:val="6AA78F7F"/>
    <w:multiLevelType w:val="hybridMultilevel"/>
    <w:lvl w:ilvl="0">
      <w:lvlJc w:val="left"/>
      <w:lvlText w:val="(%1)"/>
      <w:numFmt w:val="lowerLetter"/>
      <w:start w:val="1"/>
    </w:lvl>
  </w:abstractNum>
  <w:abstractNum w:abstractNumId="48">
    <w:nsid w:val="7672BD23"/>
    <w:multiLevelType w:val="hybridMultilevel"/>
    <w:lvl w:ilvl="0">
      <w:lvlJc w:val="left"/>
      <w:lvlText w:val="(%1)"/>
      <w:numFmt w:val="lowerLetter"/>
      <w:start w:val="1"/>
    </w:lvl>
  </w:abstractNum>
  <w:abstractNum w:abstractNumId="49">
    <w:nsid w:val="6FC75AF8"/>
    <w:multiLevelType w:val="hybridMultilevel"/>
    <w:lvl w:ilvl="0">
      <w:lvlJc w:val="left"/>
      <w:lvlText w:val="(%1)"/>
      <w:numFmt w:val="lowerLetter"/>
      <w:start w:val="3"/>
    </w:lvl>
  </w:abstractNum>
  <w:abstractNum w:abstractNumId="50">
    <w:nsid w:val="6A5F7029"/>
    <w:multiLevelType w:val="hybridMultilevel"/>
    <w:lvl w:ilvl="0">
      <w:lvlJc w:val="left"/>
      <w:lvlText w:val="(%1)"/>
      <w:numFmt w:val="lowerLetter"/>
      <w:start w:val="1"/>
    </w:lvl>
  </w:abstractNum>
  <w:abstractNum w:abstractNumId="51">
    <w:nsid w:val="7D5E18F8"/>
    <w:multiLevelType w:val="hybridMultilevel"/>
    <w:lvl w:ilvl="0">
      <w:lvlJc w:val="left"/>
      <w:lvlText w:val="(%1)"/>
      <w:numFmt w:val="lowerLetter"/>
      <w:start w:val="3"/>
    </w:lvl>
  </w:abstractNum>
  <w:abstractNum w:abstractNumId="52">
    <w:nsid w:val="5F3534A4"/>
    <w:multiLevelType w:val="hybridMultilevel"/>
    <w:lvl w:ilvl="0">
      <w:lvlJc w:val="left"/>
      <w:lvlText w:val="(%1)"/>
      <w:numFmt w:val="lowerLetter"/>
      <w:start w:val="1"/>
    </w:lvl>
  </w:abstractNum>
  <w:abstractNum w:abstractNumId="53">
    <w:nsid w:val="73A1821B"/>
    <w:multiLevelType w:val="hybridMultilevel"/>
    <w:lvl w:ilvl="0">
      <w:lvlJc w:val="left"/>
      <w:lvlText w:val="(%1)"/>
      <w:numFmt w:val="lowerLetter"/>
      <w:start w:val="3"/>
    </w:lvl>
  </w:abstractNum>
  <w:abstractNum w:abstractNumId="54">
    <w:nsid w:val="7DE67713"/>
    <w:multiLevelType w:val="hybridMultilevel"/>
    <w:lvl w:ilvl="0">
      <w:lvlJc w:val="left"/>
      <w:lvlText w:val="(%1)"/>
      <w:numFmt w:val="lowerLetter"/>
      <w:start w:val="1"/>
    </w:lvl>
    <w:lvl w:ilvl="1">
      <w:lvlJc w:val="left"/>
      <w:lvlText w:val="(%2)"/>
      <w:numFmt w:val="lowerRoman"/>
      <w:start w:val="1"/>
    </w:lvl>
  </w:abstractNum>
  <w:abstractNum w:abstractNumId="55">
    <w:nsid w:val="555C55B5"/>
    <w:multiLevelType w:val="hybridMultilevel"/>
    <w:lvl w:ilvl="0">
      <w:lvlJc w:val="left"/>
      <w:lvlText w:val="%1"/>
      <w:numFmt w:val="lowerLetter"/>
      <w:start w:val="1"/>
    </w:lvl>
    <w:lvl w:ilvl="1">
      <w:lvlJc w:val="left"/>
      <w:lvlText w:val="(%2)"/>
      <w:numFmt w:val="lowerRoman"/>
      <w:start w:val="4"/>
    </w:lvl>
  </w:abstractNum>
  <w:abstractNum w:abstractNumId="56">
    <w:nsid w:val="3FA62ACA"/>
    <w:multiLevelType w:val="hybridMultilevel"/>
    <w:lvl w:ilvl="0">
      <w:lvlJc w:val="left"/>
      <w:lvlText w:val="(%1)"/>
      <w:numFmt w:val="lowerLetter"/>
      <w:start w:val="4"/>
    </w:lvl>
    <w:lvl w:ilvl="1">
      <w:lvlJc w:val="left"/>
      <w:lvlText w:val="(%2)"/>
      <w:numFmt w:val="lowerRoman"/>
      <w:start w:val="1"/>
    </w:lvl>
  </w:abstractNum>
  <w:abstractNum w:abstractNumId="57">
    <w:nsid w:val="14FCE74E"/>
    <w:multiLevelType w:val="hybridMultilevel"/>
    <w:lvl w:ilvl="0">
      <w:lvlJc w:val="left"/>
      <w:lvlText w:val="%1"/>
      <w:numFmt w:val="lowerLetter"/>
      <w:start w:val="1"/>
    </w:lvl>
    <w:lvl w:ilvl="1">
      <w:lvlJc w:val="left"/>
      <w:lvlText w:val="(%2)"/>
      <w:numFmt w:val="lowerLetter"/>
      <w:start w:val="61"/>
    </w:lvl>
  </w:abstractNum>
  <w:abstractNum w:abstractNumId="58">
    <w:nsid w:val="6A3DD3E8"/>
    <w:multiLevelType w:val="hybridMultilevel"/>
    <w:lvl w:ilvl="0">
      <w:lvlJc w:val="left"/>
      <w:lvlText w:val="(%1)"/>
      <w:numFmt w:val="lowerLetter"/>
      <w:start w:val="8"/>
    </w:lvl>
    <w:lvl w:ilvl="1">
      <w:lvlJc w:val="left"/>
      <w:lvlText w:val="%2"/>
      <w:numFmt w:val="lowerLetter"/>
      <w:start w:val="1"/>
    </w:lvl>
  </w:abstractNum>
  <w:abstractNum w:abstractNumId="59">
    <w:nsid w:val="71C91298"/>
    <w:multiLevelType w:val="hybridMultilevel"/>
    <w:lvl w:ilvl="0">
      <w:lvlJc w:val="left"/>
      <w:lvlText w:val="(%1)"/>
      <w:numFmt w:val="lowerRoman"/>
      <w:start w:val="1"/>
    </w:lvl>
  </w:abstractNum>
  <w:abstractNum w:abstractNumId="60">
    <w:nsid w:val="9DAF632"/>
    <w:multiLevelType w:val="hybridMultilevel"/>
    <w:lvl w:ilvl="0">
      <w:lvlJc w:val="left"/>
      <w:lvlText w:val="%1."/>
      <w:numFmt w:val="decimal"/>
      <w:start w:val="1"/>
    </w:lvl>
  </w:abstractNum>
  <w:abstractNum w:abstractNumId="61">
    <w:nsid w:val="53299938"/>
    <w:multiLevelType w:val="hybridMultilevel"/>
    <w:lvl w:ilvl="0">
      <w:lvlJc w:val="left"/>
      <w:lvlText w:val="(%1)"/>
      <w:numFmt w:val="lowerLetter"/>
      <w:start w:val="1"/>
    </w:lvl>
  </w:abstractNum>
  <w:abstractNum w:abstractNumId="62">
    <w:nsid w:val="1FBFE8E0"/>
    <w:multiLevelType w:val="hybridMultilevel"/>
    <w:lvl w:ilvl="0">
      <w:lvlJc w:val="left"/>
      <w:lvlText w:val="(%1)"/>
      <w:numFmt w:val="lowerLetter"/>
      <w:start w:val="7"/>
    </w:lvl>
  </w:abstractNum>
  <w:abstractNum w:abstractNumId="63">
    <w:nsid w:val="5092CA79"/>
    <w:multiLevelType w:val="hybridMultilevel"/>
    <w:lvl w:ilvl="0">
      <w:lvlJc w:val="left"/>
      <w:lvlText w:val="%1."/>
      <w:numFmt w:val="decimal"/>
      <w:start w:val="3"/>
    </w:lvl>
  </w:abstractNum>
  <w:abstractNum w:abstractNumId="64">
    <w:nsid w:val="1D545C4D"/>
    <w:multiLevelType w:val="hybridMultilevel"/>
    <w:lvl w:ilvl="0">
      <w:lvlJc w:val="left"/>
      <w:lvlText w:val="(%1)"/>
      <w:numFmt w:val="lowerRoman"/>
      <w:start w:val="1"/>
    </w:lvl>
  </w:abstractNum>
  <w:abstractNum w:abstractNumId="65">
    <w:nsid w:val="59ADEA3D"/>
    <w:multiLevelType w:val="hybridMultilevel"/>
    <w:lvl w:ilvl="0">
      <w:lvlJc w:val="left"/>
      <w:lvlText w:val="(%1)"/>
      <w:numFmt w:val="lowerLetter"/>
      <w:start w:val="1"/>
    </w:lvl>
  </w:abstractNum>
  <w:abstractNum w:abstractNumId="66">
    <w:nsid w:val="288F1A34"/>
    <w:multiLevelType w:val="hybridMultilevel"/>
    <w:lvl w:ilvl="0">
      <w:lvlJc w:val="left"/>
      <w:lvlText w:val="%1."/>
      <w:numFmt w:val="decimal"/>
      <w:start w:val="4"/>
    </w:lvl>
  </w:abstractNum>
  <w:abstractNum w:abstractNumId="67">
    <w:nsid w:val="2A155DBC"/>
    <w:multiLevelType w:val="hybridMultilevel"/>
    <w:lvl w:ilvl="0">
      <w:lvlJc w:val="left"/>
      <w:lvlText w:val="(%1)"/>
      <w:numFmt w:val="lowerRoman"/>
      <w:start w:val="1"/>
    </w:lvl>
  </w:abstractNum>
  <w:abstractNum w:abstractNumId="68">
    <w:nsid w:val="1D9F6E5F"/>
    <w:multiLevelType w:val="hybridMultilevel"/>
    <w:lvl w:ilvl="0">
      <w:lvlJc w:val="left"/>
      <w:lvlText w:val="%1."/>
      <w:numFmt w:val="decimal"/>
      <w:start w:val="5"/>
    </w:lvl>
  </w:abstractNum>
  <w:abstractNum w:abstractNumId="69">
    <w:nsid w:val="97E1B4E"/>
    <w:multiLevelType w:val="hybridMultilevel"/>
    <w:lvl w:ilvl="0">
      <w:lvlJc w:val="left"/>
      <w:lvlText w:val="%1."/>
      <w:numFmt w:val="decimal"/>
      <w:start w:val="6"/>
    </w:lvl>
  </w:abstractNum>
  <w:abstractNum w:abstractNumId="70">
    <w:nsid w:val="51088277"/>
    <w:multiLevelType w:val="hybridMultilevel"/>
    <w:lvl w:ilvl="0">
      <w:lvlJc w:val="left"/>
      <w:lvlText w:val="%1."/>
      <w:numFmt w:val="decimal"/>
      <w:start w:val="7"/>
    </w:lvl>
  </w:abstractNum>
  <w:abstractNum w:abstractNumId="71">
    <w:nsid w:val="1CA0C5FA"/>
    <w:multiLevelType w:val="hybridMultilevel"/>
    <w:lvl w:ilvl="0">
      <w:lvlJc w:val="left"/>
      <w:lvlText w:val="(%1)"/>
      <w:numFmt w:val="decimal"/>
      <w:start w:val="15"/>
    </w:lvl>
  </w:abstractNum>
  <w:abstractNum w:abstractNumId="72">
    <w:nsid w:val="53584BCB"/>
    <w:multiLevelType w:val="hybridMultilevel"/>
    <w:lvl w:ilvl="0">
      <w:lvlJc w:val="left"/>
      <w:lvlText w:val="%1."/>
      <w:numFmt w:val="decimal"/>
      <w:start w:val="8"/>
    </w:lvl>
  </w:abstractNum>
  <w:abstractNum w:abstractNumId="73">
    <w:nsid w:val="415E286C"/>
    <w:multiLevelType w:val="hybridMultilevel"/>
    <w:lvl w:ilvl="0">
      <w:lvlJc w:val="left"/>
      <w:lvlText w:val="%1."/>
      <w:numFmt w:val="decimal"/>
      <w:start w:val="9"/>
    </w:lvl>
  </w:abstractNum>
  <w:abstractNum w:abstractNumId="74">
    <w:nsid w:val="7C58FD05"/>
    <w:multiLevelType w:val="hybridMultilevel"/>
    <w:lvl w:ilvl="0">
      <w:lvlJc w:val="left"/>
      <w:lvlText w:val="(%1)"/>
      <w:numFmt w:val="lowerRoman"/>
      <w:start w:val="2"/>
    </w:lvl>
  </w:abstractNum>
  <w:abstractNum w:abstractNumId="75">
    <w:nsid w:val="23D86AAC"/>
    <w:multiLevelType w:val="hybridMultilevel"/>
    <w:lvl w:ilvl="0">
      <w:lvlJc w:val="left"/>
      <w:lvlText w:val="."/>
      <w:numFmt w:val="bullet"/>
      <w:start w:val="1"/>
    </w:lvl>
  </w:abstractNum>
  <w:abstractNum w:abstractNumId="76">
    <w:nsid w:val="45E6D486"/>
    <w:multiLevelType w:val="hybridMultilevel"/>
    <w:lvl w:ilvl="0">
      <w:lvlJc w:val="left"/>
      <w:lvlText w:val="%1."/>
      <w:numFmt w:val="decimal"/>
      <w:start w:val="1"/>
    </w:lvl>
    <w:lvl w:ilvl="1">
      <w:lvlJc w:val="left"/>
      <w:lvlText w:val="(%2)"/>
      <w:numFmt w:val="lowerLetter"/>
      <w:start w:val="1"/>
    </w:lvl>
  </w:abstractNum>
  <w:abstractNum w:abstractNumId="77">
    <w:nsid w:val="5C10FE21"/>
    <w:multiLevelType w:val="hybridMultilevel"/>
    <w:lvl w:ilvl="0">
      <w:lvlJc w:val="left"/>
      <w:lvlText w:val="(%1)"/>
      <w:numFmt w:val="lowerLetter"/>
      <w:start w:val="3"/>
    </w:lvl>
  </w:abstractNum>
  <w:abstractNum w:abstractNumId="78">
    <w:nsid w:val="E7FFA2B"/>
    <w:multiLevelType w:val="hybridMultilevel"/>
    <w:lvl w:ilvl="0">
      <w:lvlJc w:val="left"/>
      <w:lvlText w:val="%1"/>
      <w:numFmt w:val="decimal"/>
      <w:start w:val="1"/>
    </w:lvl>
    <w:lvl w:ilvl="1">
      <w:lvlJc w:val="left"/>
      <w:lvlText w:val="(%2)"/>
      <w:numFmt w:val="lowerLetter"/>
      <w:start w:val="11"/>
    </w:lvl>
  </w:abstractNum>
  <w:abstractNum w:abstractNumId="79">
    <w:nsid w:val="3C5991AA"/>
    <w:multiLevelType w:val="hybridMultilevel"/>
    <w:lvl w:ilvl="0">
      <w:lvlJc w:val="left"/>
      <w:lvlText w:val="%1."/>
      <w:numFmt w:val="decimal"/>
      <w:start w:val="2"/>
    </w:lvl>
    <w:lvl w:ilvl="1">
      <w:lvlJc w:val="left"/>
      <w:lvlText w:val="(%2)"/>
      <w:numFmt w:val="lowerLetter"/>
      <w:start w:val="1"/>
    </w:lvl>
  </w:abstractNum>
  <w:abstractNum w:abstractNumId="80">
    <w:nsid w:val="4BD8591A"/>
    <w:multiLevelType w:val="hybridMultilevel"/>
    <w:lvl w:ilvl="0">
      <w:lvlJc w:val="left"/>
      <w:lvlText w:val="%1"/>
      <w:numFmt w:val="decimal"/>
      <w:start w:val="1"/>
    </w:lvl>
    <w:lvl w:ilvl="1">
      <w:lvlJc w:val="left"/>
      <w:lvlText w:val="(%2)"/>
      <w:numFmt w:val="lowerLetter"/>
      <w:start w:val="4"/>
    </w:lvl>
  </w:abstractNum>
  <w:abstractNum w:abstractNumId="81">
    <w:nsid w:val="78DF6A55"/>
    <w:multiLevelType w:val="hybridMultilevel"/>
    <w:lvl w:ilvl="0">
      <w:lvlJc w:val="left"/>
      <w:lvlText w:val="%1."/>
      <w:numFmt w:val="decimal"/>
      <w:start w:val="3"/>
    </w:lvl>
    <w:lvl w:ilvl="1">
      <w:lvlJc w:val="left"/>
      <w:lvlText w:val="(%2)"/>
      <w:numFmt w:val="lowerLetter"/>
      <w:start w:val="1"/>
    </w:lvl>
  </w:abstractNum>
  <w:abstractNum w:abstractNumId="82">
    <w:nsid w:val="39B7AAA2"/>
    <w:multiLevelType w:val="hybridMultilevel"/>
    <w:lvl w:ilvl="0">
      <w:lvlJc w:val="left"/>
      <w:lvlText w:val="%1"/>
      <w:numFmt w:val="decimal"/>
      <w:start w:val="1"/>
    </w:lvl>
    <w:lvl w:ilvl="1">
      <w:lvlJc w:val="left"/>
      <w:lvlText w:val="(%2)"/>
      <w:numFmt w:val="lowerLetter"/>
      <w:start w:val="7"/>
    </w:lvl>
  </w:abstractNum>
  <w:abstractNum w:abstractNumId="83">
    <w:nsid w:val="2B0D8DBE"/>
    <w:multiLevelType w:val="hybridMultilevel"/>
    <w:lvl w:ilvl="0">
      <w:lvlJc w:val="left"/>
      <w:lvlText w:val="%1."/>
      <w:numFmt w:val="decimal"/>
      <w:start w:val="4"/>
    </w:lvl>
    <w:lvl w:ilvl="1">
      <w:lvlJc w:val="left"/>
      <w:lvlText w:val="(%2)"/>
      <w:numFmt w:val="lowerLetter"/>
      <w:start w:val="1"/>
    </w:lvl>
  </w:abstractNum>
  <w:abstractNum w:abstractNumId="84">
    <w:nsid w:val="6C80EC70"/>
    <w:multiLevelType w:val="hybridMultilevel"/>
    <w:lvl w:ilvl="0">
      <w:lvlJc w:val="left"/>
      <w:lvlText w:val="%1."/>
      <w:numFmt w:val="decimal"/>
      <w:start w:val="6"/>
    </w:lvl>
    <w:lvl w:ilvl="1">
      <w:lvlJc w:val="left"/>
      <w:lvlText w:val="(%2)"/>
      <w:numFmt w:val="lowerLetter"/>
      <w:start w:val="1"/>
    </w:lvl>
  </w:abstractNum>
  <w:abstractNum w:abstractNumId="85">
    <w:nsid w:val="379E21B5"/>
    <w:multiLevelType w:val="hybridMultilevel"/>
    <w:lvl w:ilvl="0">
      <w:lvlJc w:val="left"/>
      <w:lvlText w:val="(%1)"/>
      <w:numFmt w:val="lowerLetter"/>
      <w:start w:val="6"/>
    </w:lvl>
  </w:abstractNum>
  <w:abstractNum w:abstractNumId="86">
    <w:nsid w:val="69E373"/>
    <w:multiLevelType w:val="hybridMultilevel"/>
    <w:lvl w:ilvl="0">
      <w:lvlJc w:val="left"/>
      <w:lvlText w:val="1"/>
      <w:numFmt w:val="bullet"/>
      <w:start w:val="1"/>
    </w:lvl>
  </w:abstractNum>
  <w:abstractNum w:abstractNumId="87">
    <w:nsid w:val="2C27173B"/>
    <w:multiLevelType w:val="hybridMultilevel"/>
    <w:lvl w:ilvl="0">
      <w:lvlJc w:val="left"/>
      <w:lvlText w:val="(%1)"/>
      <w:numFmt w:val="lowerLetter"/>
      <w:start w:val="1"/>
    </w:lvl>
  </w:abstractNum>
  <w:abstractNum w:abstractNumId="88">
    <w:nsid w:val="4C9B0904"/>
    <w:multiLevelType w:val="hybridMultilevel"/>
    <w:lvl w:ilvl="0">
      <w:lvlJc w:val="left"/>
      <w:lvlText w:val="(%1)"/>
      <w:numFmt w:val="lowerLetter"/>
      <w:start w:val="1"/>
    </w:lvl>
  </w:abstractNum>
  <w:abstractNum w:abstractNumId="89">
    <w:nsid w:val="6AA7B75C"/>
    <w:multiLevelType w:val="hybridMultilevel"/>
    <w:lvl w:ilvl="0">
      <w:lvlJc w:val="left"/>
      <w:lvlText w:val="(%1)"/>
      <w:numFmt w:val="lowerRoman"/>
      <w:start w:val="1"/>
    </w:lvl>
  </w:abstractNum>
  <w:abstractNum w:abstractNumId="90">
    <w:nsid w:val="1DF029D3"/>
    <w:multiLevelType w:val="hybridMultilevel"/>
    <w:lvl w:ilvl="0">
      <w:lvlJc w:val="left"/>
      <w:lvlText w:val="(%1)"/>
      <w:numFmt w:val="lowerRoman"/>
      <w:start w:val="1"/>
    </w:lvl>
  </w:abstractNum>
  <w:abstractNum w:abstractNumId="91">
    <w:nsid w:val="5675FF36"/>
    <w:multiLevelType w:val="hybridMultilevel"/>
    <w:lvl w:ilvl="0">
      <w:lvlJc w:val="left"/>
      <w:lvlText w:val="(%1)"/>
      <w:numFmt w:val="lowerRoman"/>
      <w:start w:val="2"/>
    </w:lvl>
    <w:lvl w:ilvl="1">
      <w:lvlJc w:val="left"/>
      <w:lvlText w:val="%2"/>
      <w:numFmt w:val="upperLetter"/>
      <w:start w:val="1"/>
    </w:lvl>
  </w:abstractNum>
  <w:abstractNum w:abstractNumId="92">
    <w:nsid w:val="3DD15094"/>
    <w:multiLevelType w:val="hybridMultilevel"/>
    <w:lvl w:ilvl="0">
      <w:lvlJc w:val="left"/>
      <w:lvlText w:val="%1"/>
      <w:numFmt w:val="upperLetter"/>
      <w:start w:val="1"/>
    </w:lvl>
    <w:lvl w:ilvl="1">
      <w:lvlJc w:val="left"/>
      <w:lvlText w:val="(%2)"/>
      <w:numFmt w:val="lowerRoman"/>
      <w:start w:val="1"/>
    </w:lvl>
  </w:abstractNum>
  <w:abstractNum w:abstractNumId="93">
    <w:nsid w:val="3DB012B3"/>
    <w:multiLevelType w:val="hybridMultilevel"/>
    <w:lvl w:ilvl="0">
      <w:lvlJc w:val="left"/>
      <w:lvlText w:val="%1."/>
      <w:numFmt w:val="upperLetter"/>
      <w:start w:val="3"/>
    </w:lvl>
    <w:lvl w:ilvl="1">
      <w:lvlJc w:val="left"/>
      <w:lvlText w:val="(%2)"/>
      <w:numFmt w:val="lowerRoman"/>
      <w:start w:val="1"/>
    </w:lvl>
  </w:abstractNum>
  <w:abstractNum w:abstractNumId="94">
    <w:nsid w:val="2708C9AF"/>
    <w:multiLevelType w:val="hybridMultilevel"/>
    <w:lvl w:ilvl="0">
      <w:lvlJc w:val="left"/>
      <w:lvlText w:val="(%1)"/>
      <w:numFmt w:val="lowerRoman"/>
      <w:start w:val="3"/>
    </w:lvl>
  </w:abstractNum>
  <w:abstractNum w:abstractNumId="95">
    <w:nsid w:val="5B25ACE2"/>
    <w:multiLevelType w:val="hybridMultilevel"/>
    <w:lvl w:ilvl="0">
      <w:lvlJc w:val="left"/>
      <w:lvlText w:val="%1."/>
      <w:numFmt w:val="decimal"/>
      <w:start w:val="1"/>
    </w:lvl>
  </w:abstractNum>
  <w:abstractNum w:abstractNumId="96">
    <w:nsid w:val="175DFCF0"/>
    <w:multiLevelType w:val="hybridMultilevel"/>
    <w:lvl w:ilvl="0">
      <w:lvlJc w:val="left"/>
      <w:lvlText w:val="%1."/>
      <w:numFmt w:val="decimal"/>
      <w:start w:val="3"/>
    </w:lvl>
  </w:abstractNum>
  <w:abstractNum w:abstractNumId="97">
    <w:nsid w:val="4F97E3E4"/>
    <w:multiLevelType w:val="hybridMultilevel"/>
    <w:lvl w:ilvl="0">
      <w:lvlJc w:val="left"/>
      <w:lvlText w:val="%1."/>
      <w:numFmt w:val="decimal"/>
      <w:start w:val="4"/>
    </w:lvl>
  </w:abstractNum>
  <w:abstractNum w:abstractNumId="98">
    <w:nsid w:val="53B0A9E"/>
    <w:multiLevelType w:val="hybridMultilevel"/>
    <w:lvl w:ilvl="0">
      <w:lvlJc w:val="left"/>
      <w:lvlText w:val="%1"/>
      <w:numFmt w:val="upperLetter"/>
      <w:start w:val="1"/>
    </w:lvl>
    <w:lvl w:ilvl="1">
      <w:lvlJc w:val="left"/>
      <w:lvlText w:val="%2."/>
      <w:numFmt w:val="decimal"/>
      <w:start w:val="6"/>
    </w:lvl>
    <w:lvl w:ilvl="2">
      <w:lvlJc w:val="left"/>
      <w:lvlText w:val="%3"/>
      <w:numFmt w:val="lowerLetter"/>
      <w:start w:val="1"/>
    </w:lvl>
  </w:abstractNum>
  <w:abstractNum w:abstractNumId="99">
    <w:nsid w:val="34FD6B4F"/>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2"/>
    </w:lvl>
  </w:abstractNum>
  <w:abstractNum w:abstractNumId="100">
    <w:nsid w:val="5915FF32"/>
    <w:multiLevelType w:val="hybridMultilevel"/>
    <w:lvl w:ilvl="0">
      <w:lvlJc w:val="left"/>
      <w:lvlText w:val="%1"/>
      <w:numFmt w:val="lowerRoman"/>
      <w:start w:val="1"/>
    </w:lvl>
    <w:lvl w:ilvl="1">
      <w:lvlJc w:val="left"/>
      <w:lvlText w:val="%2."/>
      <w:numFmt w:val="decimal"/>
      <w:start w:val="8"/>
    </w:lvl>
  </w:abstractNum>
  <w:abstractNum w:abstractNumId="101">
    <w:nsid w:val="56438D15"/>
    <w:multiLevelType w:val="hybridMultilevel"/>
    <w:lvl w:ilvl="0">
      <w:lvlJc w:val="left"/>
      <w:lvlText w:val="(%1)"/>
      <w:numFmt w:val="lowerRoman"/>
      <w:start w:val="8"/>
    </w:lvl>
    <w:lvl w:ilvl="1">
      <w:lvlJc w:val="left"/>
      <w:lvlText w:val="%2"/>
      <w:numFmt w:val="decimal"/>
      <w:start w:val="1"/>
    </w:lvl>
  </w:abstractNum>
  <w:abstractNum w:abstractNumId="102">
    <w:nsid w:val="519E3149"/>
    <w:multiLevelType w:val="hybridMultilevel"/>
    <w:lvl w:ilvl="0">
      <w:lvlJc w:val="left"/>
      <w:lvlText w:val="%1."/>
      <w:numFmt w:val="decimal"/>
      <w:start w:val="12"/>
    </w:lvl>
  </w:abstractNum>
  <w:abstractNum w:abstractNumId="103">
    <w:nsid w:val="2C6E4AF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lvl w:ilvl="4">
      <w:lvlJc w:val="left"/>
      <w:lvlText w:val="%5."/>
      <w:numFmt w:val="decimal"/>
      <w:start w:val="1"/>
    </w:lvl>
  </w:abstractNum>
  <w:abstractNum w:abstractNumId="104">
    <w:nsid w:val="17A1B582"/>
    <w:multiLevelType w:val="hybridMultilevel"/>
    <w:lvl w:ilvl="0">
      <w:lvlJc w:val="left"/>
      <w:lvlText w:val="%1"/>
      <w:numFmt w:val="lowerRoman"/>
      <w:start w:val="1"/>
    </w:lvl>
    <w:lvl w:ilvl="1">
      <w:lvlJc w:val="left"/>
      <w:lvlText w:val="(%2)"/>
      <w:numFmt w:val="upperLetter"/>
      <w:start w:val="3"/>
    </w:lvl>
    <w:lvl w:ilvl="2">
      <w:lvlJc w:val="left"/>
      <w:lvlText w:val="%3"/>
      <w:numFmt w:val="upperLetter"/>
      <w:start w:val="1"/>
    </w:lvl>
  </w:abstractNum>
  <w:abstractNum w:abstractNumId="105">
    <w:nsid w:val="4DF72E4E"/>
    <w:multiLevelType w:val="hybridMultilevel"/>
    <w:lvl w:ilvl="0">
      <w:lvlJc w:val="left"/>
      <w:lvlText w:val="(%1)"/>
      <w:numFmt w:val="lowerRoman"/>
      <w:start w:val="3"/>
    </w:lvl>
    <w:lvl w:ilvl="1">
      <w:lvlJc w:val="left"/>
      <w:lvlText w:val="%2"/>
      <w:numFmt w:val="upperLetter"/>
      <w:start w:val="1"/>
    </w:lvl>
    <w:lvl w:ilvl="2">
      <w:lvlJc w:val="left"/>
      <w:lvlText w:val="(%3)"/>
      <w:numFmt w:val="upperLetter"/>
      <w:start w:val="1"/>
    </w:lvl>
  </w:abstractNum>
  <w:abstractNum w:abstractNumId="106">
    <w:nsid w:val="5046B5A9"/>
    <w:multiLevelType w:val="hybridMultilevel"/>
    <w:lvl w:ilvl="0">
      <w:lvlJc w:val="left"/>
      <w:lvlText w:val="(%1)"/>
      <w:numFmt w:val="lowerLetter"/>
      <w:start w:val="2"/>
    </w:lvl>
  </w:abstractNum>
  <w:abstractNum w:abstractNumId="107">
    <w:nsid w:val="5D888A08"/>
    <w:multiLevelType w:val="hybridMultilevel"/>
    <w:lvl w:ilvl="0">
      <w:lvlJc w:val="left"/>
      <w:lvlText w:val="%1."/>
      <w:numFmt w:val="decimal"/>
      <w:start w:val="2"/>
    </w:lvl>
    <w:lvl w:ilvl="1">
      <w:lvlJc w:val="left"/>
      <w:lvlText w:val="(%2)"/>
      <w:numFmt w:val="lowerLetter"/>
      <w:start w:val="1"/>
    </w:lvl>
  </w:abstractNum>
  <w:abstractNum w:abstractNumId="108">
    <w:nsid w:val="2A082C70"/>
    <w:multiLevelType w:val="hybridMultilevel"/>
    <w:lvl w:ilvl="0">
      <w:lvlJc w:val="left"/>
      <w:lvlText w:val="%1"/>
      <w:numFmt w:val="lowerLetter"/>
      <w:start w:val="1"/>
    </w:lvl>
    <w:lvl w:ilvl="1">
      <w:lvlJc w:val="left"/>
      <w:lvlText w:val="(%2)"/>
      <w:numFmt w:val="lowerLetter"/>
      <w:start w:val="4"/>
    </w:lvl>
  </w:abstractNum>
  <w:abstractNum w:abstractNumId="109">
    <w:nsid w:val="5EC6AFD4"/>
    <w:multiLevelType w:val="hybridMultilevel"/>
    <w:lvl w:ilvl="0">
      <w:lvlJc w:val="left"/>
      <w:lvlText w:val="(%1)"/>
      <w:numFmt w:val="lowerLetter"/>
      <w:start w:val="22"/>
    </w:lvl>
    <w:lvl w:ilvl="1">
      <w:lvlJc w:val="left"/>
      <w:lvlText w:val="(%2)"/>
      <w:numFmt w:val="lowerLetter"/>
      <w:start w:val="5"/>
    </w:lvl>
  </w:abstractNum>
  <w:abstractNum w:abstractNumId="110">
    <w:nsid w:val="19E21BB2"/>
    <w:multiLevelType w:val="hybridMultilevel"/>
    <w:lvl w:ilvl="0">
      <w:lvlJc w:val="left"/>
      <w:lvlText w:val="%1"/>
      <w:numFmt w:val="decimal"/>
      <w:start w:val="1"/>
    </w:lvl>
    <w:lvl w:ilvl="1">
      <w:lvlJc w:val="left"/>
      <w:lvlText w:val="(%2)"/>
      <w:numFmt w:val="lowerLetter"/>
      <w:start w:val="12"/>
    </w:lvl>
    <w:lvl w:ilvl="2">
      <w:lvlJc w:val="left"/>
      <w:lvlText w:val="%3"/>
      <w:numFmt w:val="lowerRoman"/>
      <w:start w:val="1"/>
    </w:lvl>
  </w:abstractNum>
  <w:abstractNum w:abstractNumId="111">
    <w:nsid w:val="75E0858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12">
    <w:nsid w:val="57A61A29"/>
    <w:multiLevelType w:val="hybridMultilevel"/>
    <w:lvl w:ilvl="0">
      <w:lvlJc w:val="left"/>
      <w:lvlText w:val="%1"/>
      <w:numFmt w:val="lowerLetter"/>
      <w:start w:val="1"/>
    </w:lvl>
    <w:lvl w:ilvl="1">
      <w:lvlJc w:val="left"/>
      <w:lvlText w:val="(%2)"/>
      <w:numFmt w:val="lowerLetter"/>
      <w:start w:val="4"/>
    </w:lvl>
  </w:abstractNum>
  <w:abstractNum w:abstractNumId="113">
    <w:nsid w:val="5399C654"/>
    <w:multiLevelType w:val="hybridMultilevel"/>
    <w:lvl w:ilvl="0">
      <w:lvlJc w:val="left"/>
      <w:lvlText w:val="(%1)"/>
      <w:numFmt w:val="lowerLetter"/>
      <w:start w:val="22"/>
    </w:lvl>
    <w:lvl w:ilvl="1">
      <w:lvlJc w:val="left"/>
      <w:lvlText w:val="(%2)"/>
      <w:numFmt w:val="lowerLetter"/>
      <w:start w:val="7"/>
    </w:lvl>
  </w:abstractNum>
  <w:abstractNum w:abstractNumId="114">
    <w:nsid w:val="20EE1348"/>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15">
    <w:nsid w:val="4427069A"/>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16">
    <w:nsid w:val="B37E80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17">
    <w:nsid w:val="2157F6BC"/>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18">
    <w:nsid w:val="704E1DD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19">
    <w:nsid w:val="57D2F10E"/>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20">
    <w:nsid w:val="BFFAE18"/>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121">
    <w:nsid w:val="E3E47A8"/>
    <w:multiLevelType w:val="hybridMultilevel"/>
    <w:lvl w:ilvl="0">
      <w:lvlJc w:val="left"/>
      <w:lvlText w:val="(%1)"/>
      <w:numFmt w:val="lowerRoman"/>
      <w:start w:val="2"/>
    </w:lvl>
  </w:abstractNum>
  <w:abstractNum w:abstractNumId="122">
    <w:nsid w:val="2E48F044"/>
    <w:multiLevelType w:val="hybridMultilevel"/>
    <w:lvl w:ilvl="0">
      <w:lvlJc w:val="left"/>
      <w:lvlText w:val="%1."/>
      <w:numFmt w:val="decimal"/>
      <w:start w:val="11"/>
    </w:lvl>
    <w:lvl w:ilvl="1">
      <w:lvlJc w:val="left"/>
      <w:lvlText w:val="(%2)"/>
      <w:numFmt w:val="lowerLetter"/>
      <w:start w:val="1"/>
    </w:lvl>
  </w:abstractNum>
  <w:abstractNum w:abstractNumId="123">
    <w:nsid w:val="49D0FEAC"/>
    <w:multiLevelType w:val="hybridMultilevel"/>
    <w:lvl w:ilvl="0">
      <w:lvlJc w:val="left"/>
      <w:lvlText w:val="(%1)"/>
      <w:numFmt w:val="lowerLetter"/>
      <w:start w:val="2"/>
    </w:lvl>
  </w:abstractNum>
  <w:abstractNum w:abstractNumId="124">
    <w:nsid w:val="4BEE5A5B"/>
    <w:multiLevelType w:val="hybridMultilevel"/>
    <w:lvl w:ilvl="0">
      <w:lvlJc w:val="left"/>
      <w:lvlText w:val="(%1)"/>
      <w:numFmt w:val="lowerLetter"/>
      <w:start w:val="6"/>
    </w:lvl>
  </w:abstractNum>
  <w:abstractNum w:abstractNumId="125">
    <w:nsid w:val="5551B9F3"/>
    <w:multiLevelType w:val="hybridMultilevel"/>
    <w:lvl w:ilvl="0">
      <w:lvlJc w:val="left"/>
      <w:lvlText w:val="(%1)"/>
      <w:numFmt w:val="lowerLetter"/>
      <w:start w:val="15"/>
    </w:lvl>
  </w:abstractNum>
  <w:abstractNum w:abstractNumId="126">
    <w:nsid w:val="24F6AB8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lvl w:ilvl="4">
      <w:lvlJc w:val="left"/>
      <w:lvlText w:val="%5."/>
      <w:numFmt w:val="decimal"/>
      <w:start w:val="1"/>
    </w:lvl>
  </w:abstractNum>
  <w:abstractNum w:abstractNumId="127">
    <w:nsid w:val="634C574C"/>
    <w:multiLevelType w:val="hybridMultilevel"/>
    <w:lvl w:ilvl="0">
      <w:lvlJc w:val="left"/>
      <w:lvlText w:val="%1"/>
      <w:numFmt w:val="lowerRoman"/>
      <w:start w:val="1"/>
    </w:lvl>
    <w:lvl w:ilvl="1">
      <w:lvlJc w:val="left"/>
      <w:lvlText w:val="(%2)"/>
      <w:numFmt w:val="upperLetter"/>
      <w:start w:val="3"/>
    </w:lvl>
    <w:lvl w:ilvl="2">
      <w:lvlJc w:val="left"/>
      <w:lvlText w:val="%3"/>
      <w:numFmt w:val="upperLetter"/>
      <w:start w:val="1"/>
    </w:lvl>
  </w:abstractNum>
  <w:abstractNum w:abstractNumId="128">
    <w:nsid w:val="24E99DD7"/>
    <w:multiLevelType w:val="hybridMultilevel"/>
    <w:lvl w:ilvl="0">
      <w:lvlJc w:val="left"/>
      <w:lvlText w:val="(%1)"/>
      <w:numFmt w:val="lowerRoman"/>
      <w:start w:val="3"/>
    </w:lvl>
    <w:lvl w:ilvl="1">
      <w:lvlJc w:val="left"/>
      <w:lvlText w:val="%2"/>
      <w:numFmt w:val="upperLetter"/>
      <w:start w:val="1"/>
    </w:lvl>
    <w:lvl w:ilvl="2">
      <w:lvlJc w:val="left"/>
      <w:lvlText w:val="(%3)"/>
      <w:numFmt w:val="upperLetter"/>
      <w:start w:val="1"/>
    </w:lvl>
  </w:abstractNum>
  <w:abstractNum w:abstractNumId="129">
    <w:nsid w:val="2A31B62D"/>
    <w:multiLevelType w:val="hybridMultilevel"/>
    <w:lvl w:ilvl="0">
      <w:lvlJc w:val="left"/>
      <w:lvlText w:val="(%1)"/>
      <w:numFmt w:val="lowerLetter"/>
      <w:start w:val="2"/>
    </w:lvl>
  </w:abstractNum>
  <w:abstractNum w:abstractNumId="130">
    <w:nsid w:val="1849C29B"/>
    <w:multiLevelType w:val="hybridMultilevel"/>
    <w:lvl w:ilvl="0">
      <w:lvlJc w:val="left"/>
      <w:lvlText w:val="%1."/>
      <w:numFmt w:val="decimal"/>
      <w:start w:val="2"/>
    </w:lvl>
    <w:lvl w:ilvl="1">
      <w:lvlJc w:val="left"/>
      <w:lvlText w:val="(%2)"/>
      <w:numFmt w:val="lowerLetter"/>
      <w:start w:val="1"/>
    </w:lvl>
  </w:abstractNum>
  <w:abstractNum w:abstractNumId="131">
    <w:nsid w:val="7DFF9D09"/>
    <w:multiLevelType w:val="hybridMultilevel"/>
    <w:lvl w:ilvl="0">
      <w:lvlJc w:val="left"/>
      <w:lvlText w:val="%1"/>
      <w:numFmt w:val="lowerLetter"/>
      <w:start w:val="1"/>
    </w:lvl>
    <w:lvl w:ilvl="1">
      <w:lvlJc w:val="left"/>
      <w:lvlText w:val="(%2)"/>
      <w:numFmt w:val="lowerLetter"/>
      <w:start w:val="4"/>
    </w:lvl>
  </w:abstractNum>
  <w:abstractNum w:abstractNumId="132">
    <w:nsid w:val="754342"/>
    <w:multiLevelType w:val="hybridMultilevel"/>
    <w:lvl w:ilvl="0">
      <w:lvlJc w:val="left"/>
      <w:lvlText w:val="(%1)"/>
      <w:numFmt w:val="lowerLetter"/>
      <w:start w:val="22"/>
    </w:lvl>
    <w:lvl w:ilvl="1">
      <w:lvlJc w:val="left"/>
      <w:lvlText w:val="(%2)"/>
      <w:numFmt w:val="lowerLetter"/>
      <w:start w:val="5"/>
    </w:lvl>
  </w:abstractNum>
  <w:abstractNum w:abstractNumId="133">
    <w:nsid w:val="69E7F3E5"/>
    <w:multiLevelType w:val="hybridMultilevel"/>
    <w:lvl w:ilvl="0">
      <w:lvlJc w:val="left"/>
      <w:lvlText w:val="%1"/>
      <w:numFmt w:val="decimal"/>
      <w:start w:val="1"/>
    </w:lvl>
    <w:lvl w:ilvl="1">
      <w:lvlJc w:val="left"/>
      <w:lvlText w:val="(%2)"/>
      <w:numFmt w:val="lowerLetter"/>
      <w:start w:val="12"/>
    </w:lvl>
    <w:lvl w:ilvl="2">
      <w:lvlJc w:val="left"/>
      <w:lvlText w:val="%3"/>
      <w:numFmt w:val="lowerRoman"/>
      <w:start w:val="1"/>
    </w:lvl>
  </w:abstractNum>
  <w:abstractNum w:abstractNumId="134">
    <w:nsid w:val="2A6DE806"/>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35">
    <w:nsid w:val="1816F8C4"/>
    <w:multiLevelType w:val="hybridMultilevel"/>
    <w:lvl w:ilvl="0">
      <w:lvlJc w:val="left"/>
      <w:lvlText w:val="%1"/>
      <w:numFmt w:val="lowerLetter"/>
      <w:start w:val="1"/>
    </w:lvl>
    <w:lvl w:ilvl="1">
      <w:lvlJc w:val="left"/>
      <w:lvlText w:val="(%2)"/>
      <w:numFmt w:val="lowerLetter"/>
      <w:start w:val="4"/>
    </w:lvl>
  </w:abstractNum>
  <w:abstractNum w:abstractNumId="136">
    <w:nsid w:val="37DF2233"/>
    <w:multiLevelType w:val="hybridMultilevel"/>
    <w:lvl w:ilvl="0">
      <w:lvlJc w:val="left"/>
      <w:lvlText w:val="(%1)"/>
      <w:numFmt w:val="lowerLetter"/>
      <w:start w:val="22"/>
    </w:lvl>
    <w:lvl w:ilvl="1">
      <w:lvlJc w:val="left"/>
      <w:lvlText w:val="(%2)"/>
      <w:numFmt w:val="lowerLetter"/>
      <w:start w:val="7"/>
    </w:lvl>
  </w:abstractNum>
  <w:abstractNum w:abstractNumId="137">
    <w:nsid w:val="7AB49DAF"/>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38">
    <w:nsid w:val="759F82CD"/>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39">
    <w:nsid w:val="61E74EA3"/>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40">
    <w:nsid w:val="597B4D84"/>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41">
    <w:nsid w:val="F819E7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42">
    <w:nsid w:val="57C7D42D"/>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43">
    <w:nsid w:val="312167AD"/>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144">
    <w:nsid w:val="631B64D4"/>
    <w:multiLevelType w:val="hybridMultilevel"/>
    <w:lvl w:ilvl="0">
      <w:lvlJc w:val="left"/>
      <w:lvlText w:val="(%1)"/>
      <w:numFmt w:val="lowerRoman"/>
      <w:start w:val="2"/>
    </w:lvl>
  </w:abstractNum>
  <w:abstractNum w:abstractNumId="145">
    <w:nsid w:val="78B5E776"/>
    <w:multiLevelType w:val="hybridMultilevel"/>
    <w:lvl w:ilvl="0">
      <w:lvlJc w:val="left"/>
      <w:lvlText w:val="%1."/>
      <w:numFmt w:val="decimal"/>
      <w:start w:val="11"/>
    </w:lvl>
    <w:lvl w:ilvl="1">
      <w:lvlJc w:val="left"/>
      <w:lvlText w:val="(%2)"/>
      <w:numFmt w:val="lowerLetter"/>
      <w:start w:val="1"/>
    </w:lvl>
  </w:abstractNum>
  <w:abstractNum w:abstractNumId="146">
    <w:nsid w:val="75486E47"/>
    <w:multiLevelType w:val="hybridMultilevel"/>
    <w:lvl w:ilvl="0">
      <w:lvlJc w:val="left"/>
      <w:lvlText w:val="(%1)"/>
      <w:numFmt w:val="lowerLetter"/>
      <w:start w:val="2"/>
    </w:lvl>
  </w:abstractNum>
  <w:abstractNum w:abstractNumId="147">
    <w:nsid w:val="6E534CDE"/>
    <w:multiLevelType w:val="hybridMultilevel"/>
    <w:lvl w:ilvl="0">
      <w:lvlJc w:val="left"/>
      <w:lvlText w:val="(%1)"/>
      <w:numFmt w:val="lowerLetter"/>
      <w:start w:val="6"/>
    </w:lvl>
  </w:abstractNum>
  <w:abstractNum w:abstractNumId="148">
    <w:nsid w:val="1A0DDE32"/>
    <w:multiLevelType w:val="hybridMultilevel"/>
    <w:lvl w:ilvl="0">
      <w:lvlJc w:val="left"/>
      <w:lvlText w:val="(%1)"/>
      <w:numFmt w:val="lowerLetter"/>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2020-09-04T16:09:23Z</dcterms:created>
  <dcterms:modified xsi:type="dcterms:W3CDTF">2020-09-04T16:09:23Z</dcterms:modified>
</cp:coreProperties>
</file>