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July 21, 2023</w:t>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GeneDx Holdings Corp.</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24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70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001-39482</w:t>
            </w:r>
          </w:p>
        </w:tc>
        <w:tc>
          <w:tcPr>
            <w:tcW w:w="4240" w:type="dxa"/>
            <w:vAlign w:val="bottom"/>
            <w:gridSpan w:val="2"/>
          </w:tcPr>
          <w:p>
            <w:pPr>
              <w:jc w:val="right"/>
              <w:ind w:right="1550"/>
              <w:spacing w:after="0"/>
              <w:rPr>
                <w:sz w:val="20"/>
                <w:szCs w:val="20"/>
                <w:color w:val="auto"/>
              </w:rPr>
            </w:pPr>
            <w:r>
              <w:rPr>
                <w:rFonts w:ascii="Arial" w:cs="Arial" w:eastAsia="Arial" w:hAnsi="Arial"/>
                <w:sz w:val="18"/>
                <w:szCs w:val="18"/>
                <w:b w:val="1"/>
                <w:bCs w:val="1"/>
                <w:color w:val="auto"/>
              </w:rPr>
              <w:t>85-1966622</w:t>
            </w:r>
          </w:p>
        </w:tc>
      </w:tr>
      <w:tr>
        <w:trPr>
          <w:trHeight w:val="27"/>
        </w:trPr>
        <w:tc>
          <w:tcPr>
            <w:tcW w:w="4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169"/>
        </w:trPr>
        <w:tc>
          <w:tcPr>
            <w:tcW w:w="4260" w:type="dxa"/>
            <w:vAlign w:val="bottom"/>
          </w:tcPr>
          <w:p>
            <w:pPr>
              <w:jc w:val="center"/>
              <w:spacing w:after="0" w:line="169"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4"/>
                <w:szCs w:val="14"/>
                <w:color w:val="auto"/>
              </w:rPr>
            </w:pPr>
          </w:p>
        </w:tc>
        <w:tc>
          <w:tcPr>
            <w:tcW w:w="2620" w:type="dxa"/>
            <w:vAlign w:val="bottom"/>
          </w:tcPr>
          <w:p>
            <w:pPr>
              <w:jc w:val="center"/>
              <w:spacing w:after="0" w:line="169"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4"/>
                <w:szCs w:val="14"/>
                <w:color w:val="auto"/>
              </w:rPr>
            </w:pPr>
          </w:p>
        </w:tc>
        <w:tc>
          <w:tcPr>
            <w:tcW w:w="4140" w:type="dxa"/>
            <w:vAlign w:val="bottom"/>
          </w:tcPr>
          <w:p>
            <w:pPr>
              <w:jc w:val="center"/>
              <w:spacing w:after="0" w:line="169"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26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10"/>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64"/>
        </w:trPr>
        <w:tc>
          <w:tcPr>
            <w:tcW w:w="4260" w:type="dxa"/>
            <w:vAlign w:val="bottom"/>
          </w:tcPr>
          <w:p>
            <w:pPr>
              <w:ind w:left="132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240" w:type="dxa"/>
            <w:vAlign w:val="bottom"/>
            <w:gridSpan w:val="2"/>
          </w:tcPr>
          <w:p>
            <w:pPr>
              <w:jc w:val="right"/>
              <w:ind w:right="1750"/>
              <w:spacing w:after="0"/>
              <w:rPr>
                <w:sz w:val="20"/>
                <w:szCs w:val="20"/>
                <w:color w:val="auto"/>
              </w:rPr>
            </w:pPr>
            <w:r>
              <w:rPr>
                <w:rFonts w:ascii="Arial" w:cs="Arial" w:eastAsia="Arial" w:hAnsi="Arial"/>
                <w:sz w:val="18"/>
                <w:szCs w:val="18"/>
                <w:b w:val="1"/>
                <w:bCs w:val="1"/>
                <w:color w:val="auto"/>
              </w:rPr>
              <w:t>06902</w:t>
            </w:r>
          </w:p>
        </w:tc>
      </w:tr>
      <w:tr>
        <w:trPr>
          <w:trHeight w:val="230"/>
        </w:trPr>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50"/>
        </w:trPr>
        <w:tc>
          <w:tcPr>
            <w:tcW w:w="4260" w:type="dxa"/>
            <w:vAlign w:val="bottom"/>
          </w:tcPr>
          <w:p>
            <w:pPr>
              <w:spacing w:after="0"/>
              <w:rPr>
                <w:sz w:val="24"/>
                <w:szCs w:val="24"/>
                <w:color w:val="auto"/>
              </w:rPr>
            </w:pPr>
          </w:p>
        </w:tc>
        <w:tc>
          <w:tcPr>
            <w:tcW w:w="27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(800) 298-6470</w:t>
            </w:r>
          </w:p>
        </w:tc>
        <w:tc>
          <w:tcPr>
            <w:tcW w:w="10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00" w:type="dxa"/>
            <w:vAlign w:val="bottom"/>
            <w:tcBorders>
              <w:bottom w:val="single" w:sz="8" w:color="CCEEFF"/>
            </w:tcBorders>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A common stock, par value $0.0001 per share</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WGS</w:t>
            </w:r>
          </w:p>
        </w:tc>
        <w:tc>
          <w:tcPr>
            <w:tcW w:w="100" w:type="dxa"/>
            <w:vAlign w:val="bottom"/>
            <w:shd w:val="clear" w:color="auto" w:fill="CCEEFF"/>
          </w:tcPr>
          <w:p>
            <w:pPr>
              <w:spacing w:after="0"/>
              <w:rPr>
                <w:sz w:val="19"/>
                <w:szCs w:val="19"/>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75"/>
        </w:trPr>
        <w:tc>
          <w:tcPr>
            <w:tcW w:w="4780" w:type="dxa"/>
            <w:vAlign w:val="bottom"/>
          </w:tcPr>
          <w:p>
            <w:pPr>
              <w:jc w:val="center"/>
              <w:spacing w:after="0" w:line="176" w:lineRule="exact"/>
              <w:rPr>
                <w:sz w:val="20"/>
                <w:szCs w:val="20"/>
                <w:color w:val="auto"/>
              </w:rPr>
            </w:pPr>
            <w:r>
              <w:rPr>
                <w:rFonts w:ascii="Arial" w:cs="Arial" w:eastAsia="Arial" w:hAnsi="Arial"/>
                <w:sz w:val="18"/>
                <w:szCs w:val="18"/>
                <w:color w:val="auto"/>
                <w:w w:val="88"/>
              </w:rPr>
              <w:t>Warrants to purchase one share of Class A common stock, each at</w:t>
            </w:r>
          </w:p>
        </w:tc>
        <w:tc>
          <w:tcPr>
            <w:tcW w:w="100" w:type="dxa"/>
            <w:vAlign w:val="bottom"/>
          </w:tcPr>
          <w:p>
            <w:pPr>
              <w:spacing w:after="0"/>
              <w:rPr>
                <w:sz w:val="15"/>
                <w:szCs w:val="15"/>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w w:val="96"/>
              </w:rPr>
              <w:t>WGSWW</w:t>
            </w:r>
          </w:p>
        </w:tc>
        <w:tc>
          <w:tcPr>
            <w:tcW w:w="100" w:type="dxa"/>
            <w:vAlign w:val="bottom"/>
          </w:tcPr>
          <w:p>
            <w:pPr>
              <w:spacing w:after="0"/>
              <w:rPr>
                <w:sz w:val="15"/>
                <w:szCs w:val="15"/>
                <w:color w:val="auto"/>
              </w:rPr>
            </w:pP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49"/>
        </w:trPr>
        <w:tc>
          <w:tcPr>
            <w:tcW w:w="4780" w:type="dxa"/>
            <w:vAlign w:val="bottom"/>
            <w:vMerge w:val="restart"/>
          </w:tcPr>
          <w:p>
            <w:pPr>
              <w:jc w:val="center"/>
              <w:spacing w:after="0"/>
              <w:rPr>
                <w:sz w:val="20"/>
                <w:szCs w:val="20"/>
                <w:color w:val="auto"/>
              </w:rPr>
            </w:pPr>
            <w:r>
              <w:rPr>
                <w:rFonts w:ascii="Arial" w:cs="Arial" w:eastAsia="Arial" w:hAnsi="Arial"/>
                <w:sz w:val="18"/>
                <w:szCs w:val="18"/>
                <w:color w:val="auto"/>
                <w:w w:val="89"/>
              </w:rPr>
              <w:t>an exercise price of $379.50 per share</w:t>
            </w:r>
          </w:p>
        </w:tc>
        <w:tc>
          <w:tcPr>
            <w:tcW w:w="10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1" w:name="page2"/>
    <w:bookmarkEnd w:id="1"/>
    <w:p>
      <w:pPr>
        <w:ind w:right="72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On July 21, 2023, the Board of Directors (the “Board”) of GeneDx Holdings Corp. (the “Company”) adopted the 2023 Equity Inducement Plan (the “Equity Inducement Plan”) and, subject to the adjustment provisions of the Equity Inducement Plan, reserved 500,000 shares of the Company’s Class A common stock for issuance pursuant to equity awards to be granted under the Equity Inducement Plan.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The Equity Inducement Plan was adopted without stockholder approval pursuant to Rule 5635(c)(4) of the Nasdaq Listing Rules. The Equity Inducement Plan provides for the grant of nonstatutory stock options, restricted stock units, and other types of equity-based incentive compensation. The terms and conditions of the Equity Inducement Plan are substantially similar to the Company’s amended and restated 2021 Equity Incentive Plan, but with such other terms and conditions intended to comply with the Nasdaq inducement award rules. On July 21, 2023, the Board also adopted forms of award agreements for use with the Equity Inducement Plan.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In accordance with Rule 5635(c)(4) of the Nasdaq Listing Rules, the only persons eligible to receive grants of equity awards under the Equity Inducement Plan are individuals who were not previously an employee or director of the Company, or following a bona fide period of non-employment, as an inducement material to such persons entering into employment with the Company.</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above description of the Equity Inducement Plan and the award agreements thereunder is not complete and is qualified in its entirety by reference to the text of the Equity Inducement Plan and its forms of award agreements, complete copies of which are filed herewith as Exhibits 10.1, 10.2, and 10.3, respectively, and are incorporated herein by reference.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00" w:type="dxa"/>
            <w:vAlign w:val="bottom"/>
            <w:gridSpan w:val="2"/>
          </w:tcPr>
          <w:p>
            <w:pPr>
              <w:spacing w:after="0"/>
              <w:rPr>
                <w:sz w:val="20"/>
                <w:szCs w:val="20"/>
                <w:color w:val="auto"/>
              </w:rPr>
            </w:pPr>
            <w:r>
              <w:rPr>
                <w:rFonts w:ascii="Arial" w:cs="Arial" w:eastAsia="Arial" w:hAnsi="Arial"/>
                <w:sz w:val="20"/>
                <w:szCs w:val="20"/>
                <w:b w:val="1"/>
                <w:bCs w:val="1"/>
                <w:color w:val="auto"/>
              </w:rPr>
              <w:t>(d) Exhibits</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280" w:type="dxa"/>
            <w:vAlign w:val="bottom"/>
            <w:vMerge w:val="restart"/>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0"/>
              </w:rPr>
              <w:t>Exhibit No</w:t>
            </w:r>
          </w:p>
        </w:tc>
        <w:tc>
          <w:tcPr>
            <w:tcW w:w="340" w:type="dxa"/>
            <w:vAlign w:val="bottom"/>
            <w:vMerge w:val="restart"/>
          </w:tcPr>
          <w:p>
            <w:pPr>
              <w:spacing w:after="0"/>
              <w:rPr>
                <w:sz w:val="24"/>
                <w:szCs w:val="24"/>
                <w:color w:val="auto"/>
              </w:rPr>
            </w:pPr>
          </w:p>
        </w:tc>
        <w:tc>
          <w:tcPr>
            <w:tcW w:w="9700" w:type="dxa"/>
            <w:vAlign w:val="bottom"/>
            <w:gridSpan w:val="5"/>
            <w:vMerge w:val="restart"/>
          </w:tcPr>
          <w:p>
            <w:pPr>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20"/>
        </w:trPr>
        <w:tc>
          <w:tcPr>
            <w:tcW w:w="280" w:type="dxa"/>
            <w:vAlign w:val="bottom"/>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97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0" w:type="dxa"/>
            <w:vAlign w:val="bottom"/>
            <w:gridSpan w:val="2"/>
            <w:vMerge w:val="restart"/>
          </w:tcPr>
          <w:p>
            <w:pPr>
              <w:jc w:val="center"/>
              <w:ind w:left="181"/>
              <w:spacing w:after="0"/>
              <w:rPr>
                <w:sz w:val="20"/>
                <w:szCs w:val="20"/>
                <w:color w:val="auto"/>
              </w:rPr>
            </w:pPr>
            <w:r>
              <w:rPr>
                <w:rFonts w:ascii="Arial" w:cs="Arial" w:eastAsia="Arial" w:hAnsi="Arial"/>
                <w:sz w:val="20"/>
                <w:szCs w:val="20"/>
                <w:color w:val="auto"/>
                <w:w w:val="92"/>
              </w:rPr>
              <w:t>10.1</w:t>
            </w:r>
          </w:p>
        </w:tc>
        <w:tc>
          <w:tcPr>
            <w:tcW w:w="340" w:type="dxa"/>
            <w:vAlign w:val="bottom"/>
          </w:tcPr>
          <w:p>
            <w:pPr>
              <w:spacing w:after="0"/>
              <w:rPr>
                <w:sz w:val="22"/>
                <w:szCs w:val="22"/>
                <w:color w:val="auto"/>
              </w:rPr>
            </w:pPr>
          </w:p>
        </w:tc>
        <w:tc>
          <w:tcPr>
            <w:tcW w:w="434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0"/>
              </w:rPr>
              <w:t>GeneDx Holdings Corp. 2023 Equity Inducement Plan</w:t>
            </w:r>
          </w:p>
        </w:tc>
        <w:tc>
          <w:tcPr>
            <w:tcW w:w="1580" w:type="dxa"/>
            <w:vAlign w:val="bottom"/>
          </w:tcPr>
          <w:p>
            <w:pPr>
              <w:spacing w:after="0"/>
              <w:rPr>
                <w:sz w:val="22"/>
                <w:szCs w:val="22"/>
                <w:color w:val="auto"/>
              </w:rPr>
            </w:pPr>
          </w:p>
        </w:tc>
        <w:tc>
          <w:tcPr>
            <w:tcW w:w="1160" w:type="dxa"/>
            <w:vAlign w:val="bottom"/>
            <w:vMerge w:val="restart"/>
          </w:tcPr>
          <w:p>
            <w:pPr>
              <w:spacing w:after="0"/>
              <w:rPr>
                <w:sz w:val="22"/>
                <w:szCs w:val="22"/>
                <w:color w:val="auto"/>
              </w:rPr>
            </w:pPr>
          </w:p>
        </w:tc>
        <w:tc>
          <w:tcPr>
            <w:tcW w:w="26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65"/>
        </w:trPr>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920" w:type="dxa"/>
            <w:vAlign w:val="bottom"/>
            <w:gridSpan w:val="3"/>
            <w:vMerge w:val="restart"/>
          </w:tcPr>
          <w:p>
            <w:pPr>
              <w:spacing w:after="0"/>
              <w:rPr>
                <w:sz w:val="20"/>
                <w:szCs w:val="20"/>
                <w:color w:val="auto"/>
              </w:rPr>
            </w:pPr>
            <w:r>
              <w:rPr>
                <w:rFonts w:ascii="Arial" w:cs="Arial" w:eastAsia="Arial" w:hAnsi="Arial"/>
                <w:sz w:val="20"/>
                <w:szCs w:val="20"/>
                <w:color w:val="0000FF"/>
                <w:w w:val="89"/>
              </w:rPr>
              <w:t>Form of Option Award Agreement under the 2023 Equity Inducement Plan</w:t>
            </w:r>
          </w:p>
        </w:tc>
        <w:tc>
          <w:tcPr>
            <w:tcW w:w="116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200" w:type="dxa"/>
            <w:vAlign w:val="bottom"/>
            <w:gridSpan w:val="2"/>
          </w:tcPr>
          <w:p>
            <w:pPr>
              <w:jc w:val="center"/>
              <w:ind w:left="181"/>
              <w:spacing w:after="0"/>
              <w:rPr>
                <w:sz w:val="20"/>
                <w:szCs w:val="20"/>
                <w:color w:val="auto"/>
              </w:rPr>
            </w:pPr>
            <w:r>
              <w:rPr>
                <w:rFonts w:ascii="Arial" w:cs="Arial" w:eastAsia="Arial" w:hAnsi="Arial"/>
                <w:sz w:val="20"/>
                <w:szCs w:val="20"/>
                <w:color w:val="auto"/>
                <w:w w:val="92"/>
              </w:rPr>
              <w:t>10.2</w:t>
            </w:r>
          </w:p>
        </w:tc>
        <w:tc>
          <w:tcPr>
            <w:tcW w:w="340" w:type="dxa"/>
            <w:vAlign w:val="bottom"/>
          </w:tcPr>
          <w:p>
            <w:pPr>
              <w:spacing w:after="0"/>
              <w:rPr>
                <w:sz w:val="21"/>
                <w:szCs w:val="21"/>
                <w:color w:val="auto"/>
              </w:rPr>
            </w:pPr>
          </w:p>
        </w:tc>
        <w:tc>
          <w:tcPr>
            <w:tcW w:w="5920" w:type="dxa"/>
            <w:vAlign w:val="bottom"/>
            <w:tcBorders>
              <w:bottom w:val="single" w:sz="8" w:color="0000FF"/>
            </w:tcBorders>
            <w:gridSpan w:val="3"/>
            <w:vMerge w:val="continue"/>
          </w:tcPr>
          <w:p>
            <w:pPr>
              <w:spacing w:after="0"/>
              <w:rPr>
                <w:sz w:val="21"/>
                <w:szCs w:val="21"/>
                <w:color w:val="auto"/>
              </w:rPr>
            </w:pPr>
          </w:p>
        </w:tc>
        <w:tc>
          <w:tcPr>
            <w:tcW w:w="11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1200" w:type="dxa"/>
            <w:vAlign w:val="bottom"/>
            <w:gridSpan w:val="2"/>
            <w:vMerge w:val="restart"/>
          </w:tcPr>
          <w:p>
            <w:pPr>
              <w:jc w:val="center"/>
              <w:ind w:left="181"/>
              <w:spacing w:after="0"/>
              <w:rPr>
                <w:sz w:val="20"/>
                <w:szCs w:val="20"/>
                <w:color w:val="auto"/>
              </w:rPr>
            </w:pPr>
            <w:r>
              <w:rPr>
                <w:rFonts w:ascii="Arial" w:cs="Arial" w:eastAsia="Arial" w:hAnsi="Arial"/>
                <w:sz w:val="20"/>
                <w:szCs w:val="20"/>
                <w:color w:val="auto"/>
                <w:w w:val="92"/>
              </w:rPr>
              <w:t>10.3</w:t>
            </w:r>
          </w:p>
        </w:tc>
        <w:tc>
          <w:tcPr>
            <w:tcW w:w="340" w:type="dxa"/>
            <w:vAlign w:val="bottom"/>
          </w:tcPr>
          <w:p>
            <w:pPr>
              <w:spacing w:after="0"/>
              <w:rPr>
                <w:sz w:val="24"/>
                <w:szCs w:val="24"/>
                <w:color w:val="auto"/>
              </w:rPr>
            </w:pPr>
          </w:p>
        </w:tc>
        <w:tc>
          <w:tcPr>
            <w:tcW w:w="708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90"/>
              </w:rPr>
              <w:t>Form of Restricted Stock Unit Award Agreement under the 2023 Equity Inducement Plan</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9700" w:type="dxa"/>
            <w:vAlign w:val="bottom"/>
            <w:gridSpan w:val="5"/>
            <w:vMerge w:val="restart"/>
          </w:tcPr>
          <w:p>
            <w:pPr>
              <w:spacing w:after="0"/>
              <w:rPr>
                <w:sz w:val="20"/>
                <w:szCs w:val="20"/>
                <w:color w:val="auto"/>
              </w:rPr>
            </w:pPr>
            <w:r>
              <w:rPr>
                <w:rFonts w:ascii="Arial" w:cs="Arial" w:eastAsia="Arial" w:hAnsi="Arial"/>
                <w:sz w:val="20"/>
                <w:szCs w:val="20"/>
                <w:color w:val="auto"/>
                <w:w w:val="99"/>
              </w:rPr>
              <w:t>Cover Page Interactive Data File (the cover page XBRL tags are embedded within the inline XBRL document)</w:t>
            </w:r>
          </w:p>
        </w:tc>
        <w:tc>
          <w:tcPr>
            <w:tcW w:w="0" w:type="dxa"/>
            <w:vAlign w:val="bottom"/>
          </w:tcPr>
          <w:p>
            <w:pPr>
              <w:spacing w:after="0"/>
              <w:rPr>
                <w:sz w:val="1"/>
                <w:szCs w:val="1"/>
                <w:color w:val="auto"/>
              </w:rPr>
            </w:pPr>
          </w:p>
        </w:tc>
      </w:tr>
      <w:tr>
        <w:trPr>
          <w:trHeight w:val="365"/>
        </w:trPr>
        <w:tc>
          <w:tcPr>
            <w:tcW w:w="1200" w:type="dxa"/>
            <w:vAlign w:val="bottom"/>
            <w:gridSpan w:val="2"/>
          </w:tcPr>
          <w:p>
            <w:pPr>
              <w:jc w:val="center"/>
              <w:ind w:left="181"/>
              <w:spacing w:after="0"/>
              <w:rPr>
                <w:sz w:val="20"/>
                <w:szCs w:val="20"/>
                <w:color w:val="auto"/>
              </w:rPr>
            </w:pPr>
            <w:r>
              <w:rPr>
                <w:rFonts w:ascii="Arial" w:cs="Arial" w:eastAsia="Arial" w:hAnsi="Arial"/>
                <w:sz w:val="20"/>
                <w:szCs w:val="20"/>
                <w:color w:val="auto"/>
                <w:w w:val="83"/>
              </w:rPr>
              <w:t>104</w:t>
            </w:r>
          </w:p>
        </w:tc>
        <w:tc>
          <w:tcPr>
            <w:tcW w:w="340" w:type="dxa"/>
            <w:vAlign w:val="bottom"/>
          </w:tcPr>
          <w:p>
            <w:pPr>
              <w:spacing w:after="0"/>
              <w:rPr>
                <w:sz w:val="24"/>
                <w:szCs w:val="24"/>
                <w:color w:val="auto"/>
              </w:rPr>
            </w:pPr>
          </w:p>
        </w:tc>
        <w:tc>
          <w:tcPr>
            <w:tcW w:w="970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75"/>
        </w:trPr>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46" w:lineRule="exact"/>
        <w:rPr>
          <w:sz w:val="20"/>
          <w:szCs w:val="20"/>
          <w:color w:val="auto"/>
        </w:rPr>
      </w:pPr>
    </w:p>
    <w:p>
      <w:pPr>
        <w:ind w:firstLine="324"/>
        <w:spacing w:after="0" w:line="303"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256"/>
        </w:trPr>
        <w:tc>
          <w:tcPr>
            <w:tcW w:w="6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7100" w:type="dxa"/>
            <w:vAlign w:val="bottom"/>
            <w:gridSpan w:val="2"/>
          </w:tcPr>
          <w:p>
            <w:pPr>
              <w:ind w:left="1520"/>
              <w:spacing w:after="0"/>
              <w:rPr>
                <w:sz w:val="20"/>
                <w:szCs w:val="20"/>
                <w:color w:val="auto"/>
              </w:rPr>
            </w:pPr>
            <w:r>
              <w:rPr>
                <w:rFonts w:ascii="Arial" w:cs="Arial" w:eastAsia="Arial" w:hAnsi="Arial"/>
                <w:sz w:val="20"/>
                <w:szCs w:val="20"/>
                <w:b w:val="1"/>
                <w:bCs w:val="1"/>
                <w:color w:val="auto"/>
              </w:rPr>
              <w:t>GeneDx Holdings Corp.</w:t>
            </w:r>
          </w:p>
        </w:tc>
      </w:tr>
      <w:tr>
        <w:trPr>
          <w:trHeight w:val="617"/>
        </w:trPr>
        <w:tc>
          <w:tcPr>
            <w:tcW w:w="620" w:type="dxa"/>
            <w:vAlign w:val="bottom"/>
          </w:tcPr>
          <w:p>
            <w:pPr>
              <w:spacing w:after="0"/>
              <w:rPr>
                <w:sz w:val="20"/>
                <w:szCs w:val="20"/>
                <w:color w:val="auto"/>
              </w:rPr>
            </w:pPr>
            <w:r>
              <w:rPr>
                <w:rFonts w:ascii="Arial" w:cs="Arial" w:eastAsia="Arial" w:hAnsi="Arial"/>
                <w:sz w:val="20"/>
                <w:szCs w:val="20"/>
                <w:color w:val="auto"/>
              </w:rPr>
              <w:t>Date:</w:t>
            </w:r>
          </w:p>
        </w:tc>
        <w:tc>
          <w:tcPr>
            <w:tcW w:w="2760" w:type="dxa"/>
            <w:vAlign w:val="bottom"/>
          </w:tcPr>
          <w:p>
            <w:pPr>
              <w:ind w:left="180"/>
              <w:spacing w:after="0"/>
              <w:rPr>
                <w:sz w:val="20"/>
                <w:szCs w:val="20"/>
                <w:color w:val="auto"/>
              </w:rPr>
            </w:pPr>
            <w:r>
              <w:rPr>
                <w:rFonts w:ascii="Arial" w:cs="Arial" w:eastAsia="Arial" w:hAnsi="Arial"/>
                <w:sz w:val="20"/>
                <w:szCs w:val="20"/>
                <w:color w:val="auto"/>
              </w:rPr>
              <w:t>July 24, 2023</w:t>
            </w:r>
          </w:p>
        </w:tc>
        <w:tc>
          <w:tcPr>
            <w:tcW w:w="2440" w:type="dxa"/>
            <w:vAlign w:val="bottom"/>
          </w:tcPr>
          <w:p>
            <w:pPr>
              <w:ind w:left="1520"/>
              <w:spacing w:after="0"/>
              <w:rPr>
                <w:sz w:val="20"/>
                <w:szCs w:val="20"/>
                <w:color w:val="auto"/>
              </w:rPr>
            </w:pPr>
            <w:r>
              <w:rPr>
                <w:rFonts w:ascii="Arial" w:cs="Arial" w:eastAsia="Arial" w:hAnsi="Arial"/>
                <w:sz w:val="20"/>
                <w:szCs w:val="20"/>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Devin Schaffer</w:t>
            </w:r>
          </w:p>
        </w:tc>
      </w:tr>
      <w:tr>
        <w:trPr>
          <w:trHeight w:val="244"/>
        </w:trPr>
        <w:tc>
          <w:tcPr>
            <w:tcW w:w="6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440" w:type="dxa"/>
            <w:vAlign w:val="bottom"/>
          </w:tcPr>
          <w:p>
            <w:pPr>
              <w:ind w:left="1520"/>
              <w:spacing w:after="0"/>
              <w:rPr>
                <w:sz w:val="20"/>
                <w:szCs w:val="20"/>
                <w:color w:val="auto"/>
              </w:rPr>
            </w:pPr>
            <w:r>
              <w:rPr>
                <w:rFonts w:ascii="Arial" w:cs="Arial" w:eastAsia="Arial" w:hAnsi="Arial"/>
                <w:sz w:val="20"/>
                <w:szCs w:val="20"/>
                <w:color w:val="auto"/>
              </w:rPr>
              <w:t>Name:</w:t>
            </w:r>
          </w:p>
        </w:tc>
        <w:tc>
          <w:tcPr>
            <w:tcW w:w="4660" w:type="dxa"/>
            <w:vAlign w:val="bottom"/>
          </w:tcPr>
          <w:p>
            <w:pPr>
              <w:ind w:left="20"/>
              <w:spacing w:after="0"/>
              <w:rPr>
                <w:sz w:val="20"/>
                <w:szCs w:val="20"/>
                <w:color w:val="auto"/>
              </w:rPr>
            </w:pPr>
            <w:r>
              <w:rPr>
                <w:rFonts w:ascii="Arial" w:cs="Arial" w:eastAsia="Arial" w:hAnsi="Arial"/>
                <w:sz w:val="20"/>
                <w:szCs w:val="20"/>
                <w:color w:val="auto"/>
              </w:rPr>
              <w:t>Devin Schaffer</w:t>
            </w:r>
          </w:p>
        </w:tc>
      </w:tr>
      <w:tr>
        <w:trPr>
          <w:trHeight w:val="253"/>
        </w:trPr>
        <w:tc>
          <w:tcPr>
            <w:tcW w:w="6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2440" w:type="dxa"/>
            <w:vAlign w:val="bottom"/>
          </w:tcPr>
          <w:p>
            <w:pPr>
              <w:ind w:left="1520"/>
              <w:spacing w:after="0"/>
              <w:rPr>
                <w:sz w:val="20"/>
                <w:szCs w:val="20"/>
                <w:color w:val="auto"/>
              </w:rPr>
            </w:pPr>
            <w:r>
              <w:rPr>
                <w:rFonts w:ascii="Arial" w:cs="Arial" w:eastAsia="Arial" w:hAnsi="Arial"/>
                <w:sz w:val="20"/>
                <w:szCs w:val="20"/>
                <w:color w:val="auto"/>
              </w:rPr>
              <w:t>Title:</w:t>
            </w:r>
          </w:p>
        </w:tc>
        <w:tc>
          <w:tcPr>
            <w:tcW w:w="4660" w:type="dxa"/>
            <w:vAlign w:val="bottom"/>
          </w:tcPr>
          <w:p>
            <w:pPr>
              <w:ind w:left="20"/>
              <w:spacing w:after="0"/>
              <w:rPr>
                <w:sz w:val="20"/>
                <w:szCs w:val="20"/>
                <w:color w:val="auto"/>
              </w:rPr>
            </w:pPr>
            <w:r>
              <w:rPr>
                <w:rFonts w:ascii="Arial" w:cs="Arial" w:eastAsia="Arial" w:hAnsi="Arial"/>
                <w:sz w:val="20"/>
                <w:szCs w:val="20"/>
                <w:color w:val="auto"/>
              </w:rPr>
              <w:t>General Counsel</w:t>
            </w:r>
          </w:p>
        </w:tc>
      </w:tr>
    </w:tbl>
    <w:p>
      <w:pPr>
        <w:sectPr>
          <w:pgSz w:w="11900" w:h="16838" w:orient="portrait"/>
          <w:cols w:equalWidth="0" w:num="1">
            <w:col w:w="11240"/>
          </w:cols>
          <w:pgMar w:left="320" w:top="1372"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GeneDx Holdings Corp.</w:t>
      </w:r>
    </w:p>
    <w:p>
      <w:pPr>
        <w:jc w:val="center"/>
        <w:spacing w:after="0"/>
        <w:rPr>
          <w:sz w:val="20"/>
          <w:szCs w:val="20"/>
          <w:color w:val="auto"/>
        </w:rPr>
      </w:pPr>
      <w:r>
        <w:rPr>
          <w:rFonts w:ascii="Arial" w:cs="Arial" w:eastAsia="Arial" w:hAnsi="Arial"/>
          <w:sz w:val="20"/>
          <w:szCs w:val="20"/>
          <w:b w:val="1"/>
          <w:bCs w:val="1"/>
          <w:color w:val="auto"/>
        </w:rPr>
        <w:t>2023 Equity Inducement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(Adopted July 21, 2023)</w:t>
      </w:r>
    </w:p>
    <w:p>
      <w:pPr>
        <w:spacing w:after="0" w:line="175" w:lineRule="exact"/>
        <w:rPr>
          <w:sz w:val="20"/>
          <w:szCs w:val="20"/>
          <w:color w:val="auto"/>
        </w:rPr>
      </w:pPr>
    </w:p>
    <w:p>
      <w:pPr>
        <w:jc w:val="both"/>
        <w:ind w:right="20" w:firstLine="8"/>
        <w:spacing w:after="0" w:line="221" w:lineRule="auto"/>
        <w:tabs>
          <w:tab w:leader="none" w:pos="64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w:t>
      </w:r>
      <w:r>
        <w:rPr>
          <w:rFonts w:ascii="Arial" w:cs="Arial" w:eastAsia="Arial" w:hAnsi="Arial"/>
          <w:sz w:val="20"/>
          <w:szCs w:val="20"/>
          <w:color w:val="auto"/>
        </w:rPr>
        <w:t>. The purpose of this Plan is to provide incentives to attract, retain and motivate eligible persons whose present and</w:t>
      </w:r>
      <w:r>
        <w:rPr>
          <w:rFonts w:ascii="Arial" w:cs="Arial" w:eastAsia="Arial" w:hAnsi="Arial"/>
          <w:sz w:val="20"/>
          <w:szCs w:val="20"/>
          <w:b w:val="1"/>
          <w:bCs w:val="1"/>
          <w:color w:val="auto"/>
        </w:rPr>
        <w:t xml:space="preserve"> </w:t>
      </w:r>
      <w:r>
        <w:rPr>
          <w:rFonts w:ascii="Arial" w:cs="Arial" w:eastAsia="Arial" w:hAnsi="Arial"/>
          <w:sz w:val="20"/>
          <w:szCs w:val="20"/>
          <w:color w:val="auto"/>
        </w:rPr>
        <w:t>potential 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26.</w:t>
      </w:r>
    </w:p>
    <w:p>
      <w:pPr>
        <w:spacing w:after="0" w:line="165" w:lineRule="exact"/>
        <w:rPr>
          <w:rFonts w:ascii="Arial" w:cs="Arial" w:eastAsia="Arial" w:hAnsi="Arial"/>
          <w:sz w:val="20"/>
          <w:szCs w:val="20"/>
          <w:b w:val="1"/>
          <w:bCs w:val="1"/>
          <w:color w:val="auto"/>
        </w:rPr>
      </w:pPr>
    </w:p>
    <w:p>
      <w:pPr>
        <w:ind w:left="660" w:hanging="652"/>
        <w:spacing w:after="0"/>
        <w:tabs>
          <w:tab w:leader="none" w:pos="66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SHARES SUBJECT TO THE PLAN</w:t>
      </w:r>
      <w:r>
        <w:rPr>
          <w:rFonts w:ascii="Arial" w:cs="Arial" w:eastAsia="Arial" w:hAnsi="Arial"/>
          <w:sz w:val="20"/>
          <w:szCs w:val="20"/>
          <w:color w:val="auto"/>
        </w:rPr>
        <w:t>.</w:t>
      </w:r>
    </w:p>
    <w:p>
      <w:pPr>
        <w:spacing w:after="0" w:line="18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u w:val="single" w:color="auto"/>
          <w:color w:val="auto"/>
        </w:rPr>
        <w:t>Number of Shares Available</w:t>
      </w:r>
      <w:r>
        <w:rPr>
          <w:rFonts w:ascii="Arial" w:cs="Arial" w:eastAsia="Arial" w:hAnsi="Arial"/>
          <w:sz w:val="18"/>
          <w:szCs w:val="18"/>
          <w:color w:val="auto"/>
        </w:rPr>
        <w:t>. Subject to Sections 2.4 and 20 and any other applicable provisions hereof, the total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reserved and available for grant and issuance pursuant to this Plan as of the date of adoption of the Plan by the Board is 500,000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Shares.</w:t>
      </w:r>
    </w:p>
    <w:p>
      <w:pPr>
        <w:spacing w:after="0" w:line="16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u w:val="single" w:color="auto"/>
          <w:color w:val="auto"/>
        </w:rPr>
        <w:t>Lapsed, Returned Awards</w:t>
      </w:r>
      <w:r>
        <w:rPr>
          <w:rFonts w:ascii="Arial" w:cs="Arial" w:eastAsia="Arial" w:hAnsi="Arial"/>
          <w:sz w:val="18"/>
          <w:szCs w:val="18"/>
          <w:color w:val="auto"/>
        </w:rPr>
        <w:t>. Shares subject to Awards, and Shares issued under the Plan under any Award, will again be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grant and issuance in connection with subsequent Awards under this Plan to the extent such Shares: (a) are subject to issuance</w:t>
      </w:r>
    </w:p>
    <w:p>
      <w:pPr>
        <w:spacing w:after="0" w:line="236" w:lineRule="auto"/>
        <w:rPr>
          <w:sz w:val="20"/>
          <w:szCs w:val="20"/>
          <w:color w:val="auto"/>
        </w:rPr>
      </w:pPr>
      <w:r>
        <w:rPr>
          <w:rFonts w:ascii="Arial" w:cs="Arial" w:eastAsia="Arial" w:hAnsi="Arial"/>
          <w:sz w:val="18"/>
          <w:szCs w:val="18"/>
          <w:color w:val="auto"/>
        </w:rPr>
        <w:t>upon exercise of an Option or SAR granted under this Plan but which cease to be subject to the Option or SAR for any reason other than</w:t>
      </w:r>
    </w:p>
    <w:p>
      <w:pPr>
        <w:ind w:right="20"/>
        <w:spacing w:after="0" w:line="226" w:lineRule="auto"/>
        <w:rPr>
          <w:sz w:val="20"/>
          <w:szCs w:val="20"/>
          <w:color w:val="auto"/>
        </w:rPr>
      </w:pPr>
      <w:r>
        <w:rPr>
          <w:rFonts w:ascii="Arial" w:cs="Arial" w:eastAsia="Arial" w:hAnsi="Arial"/>
          <w:sz w:val="18"/>
          <w:szCs w:val="18"/>
          <w:color w:val="auto"/>
        </w:rPr>
        <w:t>exercise of the Option or SAR; (b) are subject to Awards granted under this Plan that are forfeited or are repurchased by the Company at the original issue price; (c) are subject to Awards granted under this Plan that otherwise terminate without such Shares being issued; or (d) are</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surrendered pursuant to an Exchange Program. To the extent an Award under the Plan is paid out in cash or other property rather than Shares, such cash payment will not result in reducing the number of Shares available for issuance under the Plan. Shares used to pay the Exercise</w:t>
      </w:r>
    </w:p>
    <w:p>
      <w:pPr>
        <w:spacing w:after="0" w:line="223" w:lineRule="auto"/>
        <w:rPr>
          <w:sz w:val="20"/>
          <w:szCs w:val="20"/>
          <w:color w:val="auto"/>
        </w:rPr>
      </w:pPr>
      <w:r>
        <w:rPr>
          <w:rFonts w:ascii="Arial" w:cs="Arial" w:eastAsia="Arial" w:hAnsi="Arial"/>
          <w:sz w:val="19"/>
          <w:szCs w:val="19"/>
          <w:color w:val="auto"/>
        </w:rPr>
        <w:t>Price of an Award or withheld to satisfy the tax withholding obligations related to an Award will become available for future grant or</w:t>
      </w:r>
    </w:p>
    <w:p>
      <w:pPr>
        <w:ind w:right="20"/>
        <w:spacing w:after="0" w:line="255" w:lineRule="auto"/>
        <w:rPr>
          <w:sz w:val="20"/>
          <w:szCs w:val="20"/>
          <w:color w:val="auto"/>
        </w:rPr>
      </w:pPr>
      <w:r>
        <w:rPr>
          <w:rFonts w:ascii="Arial" w:cs="Arial" w:eastAsia="Arial" w:hAnsi="Arial"/>
          <w:sz w:val="16"/>
          <w:szCs w:val="16"/>
          <w:color w:val="auto"/>
        </w:rPr>
        <w:t>issuance in connection with subsequent Awards under the Plan. For the avoidance of doubt, Shares that otherwise become available for grant and issuance because of the provisions of this Section 2.2 shall not include Shares subject to Awards that initially became available because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the substitution clause in Section 20.2 hereof.</w:t>
      </w:r>
    </w:p>
    <w:p>
      <w:pPr>
        <w:spacing w:after="0" w:line="167" w:lineRule="exact"/>
        <w:rPr>
          <w:sz w:val="20"/>
          <w:szCs w:val="20"/>
          <w:color w:val="auto"/>
        </w:rPr>
      </w:pPr>
    </w:p>
    <w:p>
      <w:pPr>
        <w:ind w:right="20" w:firstLine="648"/>
        <w:spacing w:after="0" w:line="232" w:lineRule="auto"/>
        <w:rPr>
          <w:sz w:val="20"/>
          <w:szCs w:val="20"/>
          <w:color w:val="auto"/>
        </w:rPr>
      </w:pPr>
      <w:r>
        <w:rPr>
          <w:rFonts w:ascii="Arial" w:cs="Arial" w:eastAsia="Arial" w:hAnsi="Arial"/>
          <w:sz w:val="20"/>
          <w:szCs w:val="20"/>
          <w:b w:val="1"/>
          <w:bCs w:val="1"/>
          <w:color w:val="auto"/>
        </w:rPr>
        <w:t xml:space="preserve">2.3. </w:t>
      </w:r>
      <w:r>
        <w:rPr>
          <w:rFonts w:ascii="Arial" w:cs="Arial" w:eastAsia="Arial" w:hAnsi="Arial"/>
          <w:sz w:val="20"/>
          <w:szCs w:val="20"/>
          <w:u w:val="single" w:color="auto"/>
          <w:color w:val="auto"/>
        </w:rPr>
        <w:t>Minimum Share Reserve</w:t>
      </w:r>
      <w:r>
        <w:rPr>
          <w:rFonts w:ascii="Arial" w:cs="Arial" w:eastAsia="Arial" w:hAnsi="Arial"/>
          <w:sz w:val="20"/>
          <w:szCs w:val="20"/>
          <w:b w:val="1"/>
          <w:bCs w:val="1"/>
          <w:color w:val="auto"/>
        </w:rPr>
        <w:t xml:space="preserve"> </w:t>
      </w:r>
      <w:r>
        <w:rPr>
          <w:rFonts w:ascii="Arial" w:cs="Arial" w:eastAsia="Arial" w:hAnsi="Arial"/>
          <w:sz w:val="20"/>
          <w:szCs w:val="20"/>
          <w:color w:val="auto"/>
        </w:rPr>
        <w:t>. At all times the Company shall reserve and keep available a sufficient number of Shares as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satisfy the requirements of all outstanding Awards granted under this Plan.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u w:val="single" w:color="auto"/>
          <w:color w:val="auto"/>
        </w:rPr>
        <w:t>Adjustment of Shares</w:t>
      </w:r>
      <w:r>
        <w:rPr>
          <w:rFonts w:ascii="Arial" w:cs="Arial" w:eastAsia="Arial" w:hAnsi="Arial"/>
          <w:sz w:val="18"/>
          <w:szCs w:val="18"/>
          <w:color w:val="auto"/>
        </w:rPr>
        <w:t>. If the number or class of outstanding Shares are changed by a stock dividend, extraordinary dividend</w:t>
      </w:r>
    </w:p>
    <w:p>
      <w:pPr>
        <w:ind w:right="20"/>
        <w:spacing w:after="0" w:line="226" w:lineRule="auto"/>
        <w:rPr>
          <w:sz w:val="20"/>
          <w:szCs w:val="20"/>
          <w:color w:val="auto"/>
        </w:rPr>
      </w:pPr>
      <w:r>
        <w:rPr>
          <w:rFonts w:ascii="Arial" w:cs="Arial" w:eastAsia="Arial" w:hAnsi="Arial"/>
          <w:sz w:val="18"/>
          <w:szCs w:val="18"/>
          <w:color w:val="auto"/>
        </w:rPr>
        <w:t>or distribution (whether in cash, shares or other property, other than a regular cash dividend), spin-off, recapitalization, stock split, reverse stock split, subdivision, combination, consolidation, reclassification or similar change in the capital structure of the Company, without</w:t>
      </w:r>
    </w:p>
    <w:p>
      <w:pPr>
        <w:spacing w:after="0" w:line="236" w:lineRule="auto"/>
        <w:rPr>
          <w:sz w:val="20"/>
          <w:szCs w:val="20"/>
          <w:color w:val="auto"/>
        </w:rPr>
      </w:pPr>
      <w:r>
        <w:rPr>
          <w:rFonts w:ascii="Arial" w:cs="Arial" w:eastAsia="Arial" w:hAnsi="Arial"/>
          <w:sz w:val="18"/>
          <w:szCs w:val="18"/>
          <w:color w:val="auto"/>
        </w:rPr>
        <w:t>consideration, then (a) the number and class of Shares reserved for issuance and future grant under the Plan set forth in Section 2.1, (b)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Exercise Prices of and number and class of Shares subject to outstanding Options and SARs, and (c) the number and class of Shares subject to other outstanding Awards, shall be proportionately adjusted, subject to any required action by the Board or the stockholders of the</w:t>
      </w:r>
    </w:p>
    <w:p>
      <w:pPr>
        <w:spacing w:after="0" w:line="236" w:lineRule="auto"/>
        <w:rPr>
          <w:sz w:val="20"/>
          <w:szCs w:val="20"/>
          <w:color w:val="auto"/>
        </w:rPr>
      </w:pPr>
      <w:r>
        <w:rPr>
          <w:rFonts w:ascii="Arial" w:cs="Arial" w:eastAsia="Arial" w:hAnsi="Arial"/>
          <w:sz w:val="18"/>
          <w:szCs w:val="18"/>
          <w:color w:val="auto"/>
        </w:rPr>
        <w:t>Company and in compliance with applicable securities or other laws; provided that fractions of a Share will not be issued. If, by reason of an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adjustment pursuant to this Section 2.4, a Participant’s Award Agreement or other agreement related to any Award or the Shares subject to such Award covers additional or different shares of stock or securities, then such additional or different shares, and the Award Agreement or</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such other agreement in respect thereof, shall be subject to all of the terms, conditions and restrictions which were applicable to the Award or the Shares subject to such Award prior to such adjustment.</w:t>
      </w:r>
    </w:p>
    <w:p>
      <w:pPr>
        <w:spacing w:after="0" w:line="150" w:lineRule="exact"/>
        <w:rPr>
          <w:sz w:val="20"/>
          <w:szCs w:val="20"/>
          <w:color w:val="auto"/>
        </w:rPr>
      </w:pPr>
    </w:p>
    <w:p>
      <w:pPr>
        <w:jc w:val="both"/>
        <w:ind w:right="20" w:firstLine="8"/>
        <w:spacing w:after="0" w:line="230"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ELIGIBILITY</w:t>
      </w:r>
      <w:r>
        <w:rPr>
          <w:rFonts w:ascii="Arial" w:cs="Arial" w:eastAsia="Arial" w:hAnsi="Arial"/>
          <w:sz w:val="20"/>
          <w:szCs w:val="20"/>
          <w:color w:val="auto"/>
        </w:rPr>
        <w:t>. Awards may be granted only to a person who, at the time such Award is granted, has been hired as an Employee or</w:t>
      </w:r>
      <w:r>
        <w:rPr>
          <w:rFonts w:ascii="Arial" w:cs="Arial" w:eastAsia="Arial" w:hAnsi="Arial"/>
          <w:sz w:val="20"/>
          <w:szCs w:val="20"/>
          <w:b w:val="1"/>
          <w:bCs w:val="1"/>
          <w:color w:val="auto"/>
        </w:rPr>
        <w:t xml:space="preserve"> </w:t>
      </w:r>
      <w:r>
        <w:rPr>
          <w:rFonts w:ascii="Arial" w:cs="Arial" w:eastAsia="Arial" w:hAnsi="Arial"/>
          <w:sz w:val="20"/>
          <w:szCs w:val="20"/>
          <w:color w:val="auto"/>
        </w:rPr>
        <w:t>rehired as an Employee following a bona fide period of interruption of employment, and such Award is a material inducement to such person being hired.</w:t>
      </w:r>
    </w:p>
    <w:p>
      <w:pPr>
        <w:spacing w:after="0" w:line="148" w:lineRule="exact"/>
        <w:rPr>
          <w:rFonts w:ascii="Arial" w:cs="Arial" w:eastAsia="Arial" w:hAnsi="Arial"/>
          <w:sz w:val="20"/>
          <w:szCs w:val="20"/>
          <w:b w:val="1"/>
          <w:bCs w:val="1"/>
          <w:color w:val="auto"/>
        </w:rPr>
      </w:pPr>
    </w:p>
    <w:p>
      <w:pPr>
        <w:ind w:left="660" w:hanging="652"/>
        <w:spacing w:after="0"/>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ADMINISTRATION</w:t>
      </w:r>
      <w:r>
        <w:rPr>
          <w:rFonts w:ascii="Arial" w:cs="Arial" w:eastAsia="Arial" w:hAnsi="Arial"/>
          <w:sz w:val="20"/>
          <w:szCs w:val="20"/>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u w:val="single" w:color="auto"/>
          <w:color w:val="auto"/>
        </w:rPr>
        <w:t>Committee Composition; Authority</w:t>
      </w:r>
      <w:r>
        <w:rPr>
          <w:rFonts w:ascii="Arial" w:cs="Arial" w:eastAsia="Arial" w:hAnsi="Arial"/>
          <w:sz w:val="19"/>
          <w:szCs w:val="19"/>
          <w:color w:val="auto"/>
        </w:rPr>
        <w:t>. This Plan will be administered by the Committee or by the Board acting as the</w:t>
      </w:r>
    </w:p>
    <w:p>
      <w:pPr>
        <w:ind w:right="20"/>
        <w:spacing w:after="0" w:line="220" w:lineRule="auto"/>
        <w:rPr>
          <w:sz w:val="20"/>
          <w:szCs w:val="20"/>
          <w:color w:val="auto"/>
        </w:rPr>
      </w:pPr>
      <w:r>
        <w:rPr>
          <w:rFonts w:ascii="Arial" w:cs="Arial" w:eastAsia="Arial" w:hAnsi="Arial"/>
          <w:sz w:val="20"/>
          <w:szCs w:val="20"/>
          <w:color w:val="auto"/>
        </w:rPr>
        <w:t>Committee. Awards granted under this Plan must be approved by the Committee or a majority of the independent members of the Board. Subject to the</w:t>
      </w:r>
    </w:p>
    <w:p>
      <w:pPr>
        <w:sectPr>
          <w:pgSz w:w="11900" w:h="16838" w:orient="portrait"/>
          <w:cols w:equalWidth="0" w:num="1">
            <w:col w:w="11240"/>
          </w:cols>
          <w:pgMar w:left="320" w:top="1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general purposes, terms and conditions of this Plan, and to the direction of the Board, the Committee will have full power to implement and carry out this Plan. The Committee will have the authority to:</w:t>
      </w:r>
    </w:p>
    <w:p>
      <w:pPr>
        <w:spacing w:after="0" w:line="155"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construe and interpret this Plan, any Award Agreement and any other agreement or document executed pursuant to this Plan;</w:t>
      </w:r>
    </w:p>
    <w:p>
      <w:pPr>
        <w:spacing w:after="0" w:line="234" w:lineRule="exact"/>
        <w:rPr>
          <w:rFonts w:ascii="Arial" w:cs="Arial" w:eastAsia="Arial" w:hAnsi="Arial"/>
          <w:sz w:val="16"/>
          <w:szCs w:val="16"/>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prescribe, amend and rescind rules and regulations relating to this Plan or any Award;</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select persons to receive Awards;</w:t>
      </w:r>
    </w:p>
    <w:p>
      <w:pPr>
        <w:spacing w:after="0" w:line="175" w:lineRule="exact"/>
        <w:rPr>
          <w:rFonts w:ascii="Arial" w:cs="Arial" w:eastAsia="Arial" w:hAnsi="Arial"/>
          <w:sz w:val="20"/>
          <w:szCs w:val="20"/>
          <w:color w:val="auto"/>
        </w:rPr>
      </w:pPr>
    </w:p>
    <w:p>
      <w:pPr>
        <w:jc w:val="both"/>
        <w:ind w:right="20" w:firstLine="656"/>
        <w:spacing w:after="0" w:line="218" w:lineRule="auto"/>
        <w:tabs>
          <w:tab w:leader="none" w:pos="1296" w:val="left"/>
        </w:tabs>
        <w:numPr>
          <w:ilvl w:val="0"/>
          <w:numId w:val="4"/>
        </w:numPr>
        <w:rPr>
          <w:rFonts w:ascii="Arial" w:cs="Arial" w:eastAsia="Arial" w:hAnsi="Arial"/>
          <w:sz w:val="20"/>
          <w:szCs w:val="20"/>
          <w:color w:val="auto"/>
        </w:rPr>
      </w:pPr>
      <w:r>
        <w:rPr>
          <w:rFonts w:ascii="Arial" w:cs="Arial" w:eastAsia="Arial" w:hAnsi="Arial"/>
          <w:sz w:val="20"/>
          <w:szCs w:val="20"/>
          <w:color w:val="auto"/>
        </w:rPr>
        <w:t>determine the form and terms and conditions, not inconsistent with the terms of the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70"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determine the number of Shares or other consideration subject to Awards;</w:t>
      </w:r>
    </w:p>
    <w:p>
      <w:pPr>
        <w:spacing w:after="0" w:line="175" w:lineRule="exact"/>
        <w:rPr>
          <w:rFonts w:ascii="Arial" w:cs="Arial" w:eastAsia="Arial" w:hAnsi="Arial"/>
          <w:sz w:val="20"/>
          <w:szCs w:val="20"/>
          <w:color w:val="auto"/>
        </w:rPr>
      </w:pPr>
    </w:p>
    <w:p>
      <w:pPr>
        <w:ind w:right="20" w:firstLine="656"/>
        <w:spacing w:after="0" w:line="236" w:lineRule="auto"/>
        <w:tabs>
          <w:tab w:leader="none" w:pos="1296" w:val="left"/>
        </w:tabs>
        <w:numPr>
          <w:ilvl w:val="0"/>
          <w:numId w:val="4"/>
        </w:numPr>
        <w:rPr>
          <w:rFonts w:ascii="Arial" w:cs="Arial" w:eastAsia="Arial" w:hAnsi="Arial"/>
          <w:sz w:val="20"/>
          <w:szCs w:val="20"/>
          <w:color w:val="auto"/>
        </w:rPr>
      </w:pPr>
      <w:r>
        <w:rPr>
          <w:rFonts w:ascii="Arial" w:cs="Arial" w:eastAsia="Arial" w:hAnsi="Arial"/>
          <w:sz w:val="20"/>
          <w:szCs w:val="20"/>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68" w:lineRule="exact"/>
        <w:rPr>
          <w:rFonts w:ascii="Arial" w:cs="Arial" w:eastAsia="Arial" w:hAnsi="Arial"/>
          <w:sz w:val="20"/>
          <w:szCs w:val="20"/>
          <w:color w:val="auto"/>
        </w:rPr>
      </w:pPr>
    </w:p>
    <w:p>
      <w:pPr>
        <w:ind w:right="20" w:firstLine="656"/>
        <w:spacing w:after="0" w:line="269"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grant waivers of Plan or Award conditions;</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determine the vesting, exercisability and payment of Awards;</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or any Award Agreement;</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determine whether an Award has been earned or has vested;</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determine the terms and conditions of any, and to institute any Exchange Program;</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reduce or modify any criteria with respect to Performance Factors;</w:t>
      </w:r>
    </w:p>
    <w:p>
      <w:pPr>
        <w:spacing w:after="0" w:line="188" w:lineRule="exact"/>
        <w:rPr>
          <w:rFonts w:ascii="Arial" w:cs="Arial" w:eastAsia="Arial" w:hAnsi="Arial"/>
          <w:sz w:val="20"/>
          <w:szCs w:val="20"/>
          <w:color w:val="auto"/>
        </w:rPr>
      </w:pPr>
    </w:p>
    <w:p>
      <w:pPr>
        <w:ind w:right="20" w:firstLine="656"/>
        <w:spacing w:after="0" w:line="269"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143" w:lineRule="exact"/>
        <w:rPr>
          <w:rFonts w:ascii="Arial" w:cs="Arial" w:eastAsia="Arial" w:hAnsi="Arial"/>
          <w:sz w:val="18"/>
          <w:szCs w:val="18"/>
          <w:color w:val="auto"/>
        </w:rPr>
      </w:pPr>
    </w:p>
    <w:p>
      <w:pPr>
        <w:jc w:val="both"/>
        <w:ind w:right="20" w:firstLine="656"/>
        <w:spacing w:after="0" w:line="223" w:lineRule="auto"/>
        <w:tabs>
          <w:tab w:leader="none" w:pos="1296" w:val="left"/>
        </w:tabs>
        <w:numPr>
          <w:ilvl w:val="0"/>
          <w:numId w:val="4"/>
        </w:numPr>
        <w:rPr>
          <w:rFonts w:ascii="Arial" w:cs="Arial" w:eastAsia="Arial" w:hAnsi="Arial"/>
          <w:sz w:val="20"/>
          <w:szCs w:val="20"/>
          <w:color w:val="auto"/>
        </w:rPr>
      </w:pPr>
      <w:r>
        <w:rPr>
          <w:rFonts w:ascii="Arial" w:cs="Arial" w:eastAsia="Arial" w:hAnsi="Arial"/>
          <w:sz w:val="20"/>
          <w:szCs w:val="20"/>
          <w:color w:val="auto"/>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spacing w:after="0" w:line="168"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exercise discretion with respect to Performance Awards;</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make all other determinations necessary or advisable for the administration of this Plan; and</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delegate any of the foregoing to a subcommittee.</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w:t>
      </w:r>
    </w:p>
    <w:p>
      <w:pPr>
        <w:ind w:right="20"/>
        <w:spacing w:after="0" w:line="232" w:lineRule="auto"/>
        <w:rPr>
          <w:sz w:val="20"/>
          <w:szCs w:val="20"/>
          <w:color w:val="auto"/>
        </w:rPr>
      </w:pPr>
      <w:r>
        <w:rPr>
          <w:rFonts w:ascii="Arial" w:cs="Arial" w:eastAsia="Arial" w:hAnsi="Arial"/>
          <w:sz w:val="19"/>
          <w:szCs w:val="19"/>
          <w:color w:val="auto"/>
        </w:rPr>
        <w:t>made in its sole discretion at the time of grant of the Award or, unless in contravention of any express term of the Plan or Award, at any later time, and such determination shall be final and binding on the Company and all persons having an interest in any</w:t>
      </w:r>
    </w:p>
    <w:p>
      <w:pPr>
        <w:sectPr>
          <w:pgSz w:w="11900" w:h="16838" w:orient="portrait"/>
          <w:cols w:equalWidth="0" w:num="1">
            <w:col w:w="11240"/>
          </w:cols>
          <w:pgMar w:left="320" w:top="1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Award under the Plan. Any dispute regarding the interpretation of the Plan or any Award Agreement shall be submitted by the Participant or</w:t>
      </w:r>
    </w:p>
    <w:p>
      <w:pPr>
        <w:spacing w:after="0" w:line="1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Company to the Committee for review. The resolution of such a dispute by the Committee shall be final and binding on the Company and the Participant. The Committee may delegate to one or more executive officers the authority to review and resolve disputes with respect to</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Awards held by Participants who are not Insiders, and such resolution shall be final and binding on the Company and the Participant.</w:t>
      </w:r>
    </w:p>
    <w:p>
      <w:pPr>
        <w:spacing w:after="0" w:line="178" w:lineRule="exact"/>
        <w:rPr>
          <w:sz w:val="20"/>
          <w:szCs w:val="20"/>
          <w:color w:val="auto"/>
        </w:rPr>
      </w:pPr>
    </w:p>
    <w:p>
      <w:pPr>
        <w:ind w:right="20" w:firstLine="648"/>
        <w:spacing w:after="0" w:line="227"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u w:val="single" w:color="auto"/>
          <w:color w:val="auto"/>
        </w:rPr>
        <w:t>Documentation</w:t>
      </w:r>
      <w:r>
        <w:rPr>
          <w:rFonts w:ascii="Arial" w:cs="Arial" w:eastAsia="Arial" w:hAnsi="Arial"/>
          <w:sz w:val="19"/>
          <w:szCs w:val="19"/>
          <w:color w:val="auto"/>
        </w:rPr>
        <w:t>. The Award Agreement for a given Award, the Plan and any other documents may be delivered to, and</w:t>
      </w:r>
      <w:r>
        <w:rPr>
          <w:rFonts w:ascii="Arial" w:cs="Arial" w:eastAsia="Arial" w:hAnsi="Arial"/>
          <w:sz w:val="19"/>
          <w:szCs w:val="19"/>
          <w:b w:val="1"/>
          <w:bCs w:val="1"/>
          <w:color w:val="auto"/>
        </w:rPr>
        <w:t xml:space="preserve"> </w:t>
      </w:r>
      <w:r>
        <w:rPr>
          <w:rFonts w:ascii="Arial" w:cs="Arial" w:eastAsia="Arial" w:hAnsi="Arial"/>
          <w:sz w:val="19"/>
          <w:szCs w:val="19"/>
          <w:color w:val="auto"/>
        </w:rPr>
        <w:t>accepted by, a Participant or any other person in any manner (including electronic distribution or posting) that meets applicable legal</w:t>
      </w:r>
    </w:p>
    <w:p>
      <w:pPr>
        <w:spacing w:after="0"/>
        <w:rPr>
          <w:sz w:val="20"/>
          <w:szCs w:val="20"/>
          <w:color w:val="auto"/>
        </w:rPr>
      </w:pPr>
      <w:r>
        <w:rPr>
          <w:rFonts w:ascii="Arial" w:cs="Arial" w:eastAsia="Arial" w:hAnsi="Arial"/>
          <w:sz w:val="20"/>
          <w:szCs w:val="20"/>
          <w:color w:val="auto"/>
        </w:rPr>
        <w:t>requirements.</w:t>
      </w:r>
    </w:p>
    <w:p>
      <w:pPr>
        <w:spacing w:after="0" w:line="16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u w:val="single" w:color="auto"/>
          <w:color w:val="auto"/>
        </w:rPr>
        <w:t>Foreign Award Recipients</w:t>
      </w:r>
      <w:r>
        <w:rPr>
          <w:rFonts w:ascii="Arial" w:cs="Arial" w:eastAsia="Arial" w:hAnsi="Arial"/>
          <w:sz w:val="18"/>
          <w:szCs w:val="18"/>
          <w:color w:val="auto"/>
        </w:rPr>
        <w:t>. Notwithstanding any provision of the Plan to the contrary, in order to comply with the laws and</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in other countries in which the Company and its Subsidiaries and Affiliates operate or have employees or other persons eligible for</w:t>
      </w:r>
    </w:p>
    <w:p>
      <w:pPr>
        <w:spacing w:after="0" w:line="236" w:lineRule="auto"/>
        <w:rPr>
          <w:sz w:val="20"/>
          <w:szCs w:val="20"/>
          <w:color w:val="auto"/>
        </w:rPr>
      </w:pPr>
      <w:r>
        <w:rPr>
          <w:rFonts w:ascii="Arial" w:cs="Arial" w:eastAsia="Arial" w:hAnsi="Arial"/>
          <w:sz w:val="18"/>
          <w:szCs w:val="18"/>
          <w:color w:val="auto"/>
        </w:rPr>
        <w:t>Awards, the Committee, in its sole discretion, shall have the power and authority to: (a) determine which Subsidiaries and Affiliates shall be</w:t>
      </w:r>
    </w:p>
    <w:p>
      <w:pPr>
        <w:ind w:right="20"/>
        <w:spacing w:after="0" w:line="226" w:lineRule="auto"/>
        <w:rPr>
          <w:sz w:val="20"/>
          <w:szCs w:val="20"/>
          <w:color w:val="auto"/>
        </w:rPr>
      </w:pPr>
      <w:r>
        <w:rPr>
          <w:rFonts w:ascii="Arial" w:cs="Arial" w:eastAsia="Arial" w:hAnsi="Arial"/>
          <w:sz w:val="18"/>
          <w:szCs w:val="18"/>
          <w:color w:val="auto"/>
        </w:rPr>
        <w:t>covered by the Plan; (b) determine which individuals outside the United States are eligible to participate in the Plan, which may include individuals who provide services to the Company, Subsidiary or Affiliate under an agreement with a foreign nation or agency; (c) modify the</w:t>
      </w:r>
    </w:p>
    <w:p>
      <w:pPr>
        <w:spacing w:after="0" w:line="236" w:lineRule="auto"/>
        <w:rPr>
          <w:sz w:val="20"/>
          <w:szCs w:val="20"/>
          <w:color w:val="auto"/>
        </w:rPr>
      </w:pPr>
      <w:r>
        <w:rPr>
          <w:rFonts w:ascii="Arial" w:cs="Arial" w:eastAsia="Arial" w:hAnsi="Arial"/>
          <w:sz w:val="18"/>
          <w:szCs w:val="18"/>
          <w:color w:val="auto"/>
        </w:rPr>
        <w:t>terms and conditions of any Award granted to individuals outside the United States or foreign nationals to comply with applicable foreign</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laws, policies, customs and practices; (d) establish subplans and modify exercise procedures, vesting conditions, and other terms and procedures, to the extent the Committee determines such actions to be necessary or advisable (and such subplans and/or modifications shall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be attached to this Plan as appendices, if necessary); and (e) take any action, before or after an Award is made, that the Committee determines</w:t>
      </w:r>
    </w:p>
    <w:p>
      <w:pPr>
        <w:spacing w:after="0" w:line="19"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to be necessary or advisable to obtain approval or comply with any local governmental regulatory exemptions or approvals; provided, however, that no action taken under this Section 4.4 shall increase the share limitation contained in Section 2.1 hereof. Notwithstanding the</w:t>
      </w:r>
    </w:p>
    <w:p>
      <w:pPr>
        <w:spacing w:after="0" w:line="2"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auto"/>
        </w:rPr>
        <w:t>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163" w:lineRule="exact"/>
        <w:rPr>
          <w:sz w:val="20"/>
          <w:szCs w:val="20"/>
          <w:color w:val="auto"/>
        </w:rPr>
      </w:pPr>
    </w:p>
    <w:p>
      <w:pPr>
        <w:jc w:val="both"/>
        <w:ind w:right="20" w:firstLine="8"/>
        <w:spacing w:after="0" w:line="248" w:lineRule="auto"/>
        <w:tabs>
          <w:tab w:leader="none" w:pos="64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OPTIONS</w:t>
      </w:r>
      <w:r>
        <w:rPr>
          <w:rFonts w:ascii="Arial" w:cs="Arial" w:eastAsia="Arial" w:hAnsi="Arial"/>
          <w:sz w:val="18"/>
          <w:szCs w:val="18"/>
          <w:color w:val="auto"/>
        </w:rPr>
        <w:t>. An Option is the right but not the obligation to purchase a Share, subject to certain conditions. Options granted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will be Nonqualified Stock Options (“</w:t>
      </w:r>
      <w:r>
        <w:rPr>
          <w:rFonts w:ascii="Arial" w:cs="Arial" w:eastAsia="Arial" w:hAnsi="Arial"/>
          <w:sz w:val="18"/>
          <w:szCs w:val="18"/>
          <w:b w:val="1"/>
          <w:bCs w:val="1"/>
          <w:i w:val="1"/>
          <w:iCs w:val="1"/>
          <w:color w:val="auto"/>
        </w:rPr>
        <w:t>NSOs</w:t>
      </w:r>
      <w:r>
        <w:rPr>
          <w:rFonts w:ascii="Arial" w:cs="Arial" w:eastAsia="Arial" w:hAnsi="Arial"/>
          <w:sz w:val="18"/>
          <w:szCs w:val="18"/>
          <w:color w:val="auto"/>
        </w:rPr>
        <w:t>”) and will not be Incentive Stock Options within the meaning of the Code (“</w:t>
      </w:r>
      <w:r>
        <w:rPr>
          <w:rFonts w:ascii="Arial" w:cs="Arial" w:eastAsia="Arial" w:hAnsi="Arial"/>
          <w:sz w:val="18"/>
          <w:szCs w:val="18"/>
          <w:b w:val="1"/>
          <w:bCs w:val="1"/>
          <w:i w:val="1"/>
          <w:iCs w:val="1"/>
          <w:color w:val="auto"/>
        </w:rPr>
        <w:t>ISOs</w:t>
      </w:r>
      <w:r>
        <w:rPr>
          <w:rFonts w:ascii="Arial" w:cs="Arial" w:eastAsia="Arial" w:hAnsi="Arial"/>
          <w:sz w:val="18"/>
          <w:szCs w:val="18"/>
          <w:color w:val="auto"/>
        </w:rPr>
        <w:t>”). The Committee will determine the number of Shares subject to the Option, the Exercise Price of the Option, the period during which the Option may vest and be exercised, and all other terms and conditions of the Option, subject to the following terms of this section.</w:t>
      </w:r>
    </w:p>
    <w:p>
      <w:pPr>
        <w:spacing w:after="0" w:line="157" w:lineRule="exact"/>
        <w:rPr>
          <w:sz w:val="20"/>
          <w:szCs w:val="20"/>
          <w:color w:val="auto"/>
        </w:rPr>
      </w:pPr>
    </w:p>
    <w:p>
      <w:pPr>
        <w:jc w:val="both"/>
        <w:ind w:right="20" w:firstLine="648"/>
        <w:spacing w:after="0" w:line="227"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u w:val="single" w:color="auto"/>
          <w:color w:val="auto"/>
        </w:rPr>
        <w:t>Option Grant</w:t>
      </w:r>
      <w:r>
        <w:rPr>
          <w:rFonts w:ascii="Arial" w:cs="Arial" w:eastAsia="Arial" w:hAnsi="Arial"/>
          <w:sz w:val="19"/>
          <w:szCs w:val="19"/>
          <w:color w:val="auto"/>
        </w:rPr>
        <w:t>. An Option may be, but need not be, awarded upon satisfaction of such Performance Factors during any</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Period as are set out in advance in the Participant’s individual Award Agreement. If the Option is being earned upon the</w:t>
      </w:r>
    </w:p>
    <w:p>
      <w:pPr>
        <w:spacing w:after="0" w:line="235" w:lineRule="auto"/>
        <w:rPr>
          <w:sz w:val="20"/>
          <w:szCs w:val="20"/>
          <w:color w:val="auto"/>
        </w:rPr>
      </w:pPr>
      <w:r>
        <w:rPr>
          <w:rFonts w:ascii="Arial" w:cs="Arial" w:eastAsia="Arial" w:hAnsi="Arial"/>
          <w:sz w:val="18"/>
          <w:szCs w:val="18"/>
          <w:color w:val="auto"/>
        </w:rPr>
        <w:t>satisfaction of Performance Factors, then the Committee will: (a) determine the nature, length and starting date of any Performance Period</w:t>
      </w:r>
    </w:p>
    <w:p>
      <w:pPr>
        <w:jc w:val="both"/>
        <w:ind w:right="20"/>
        <w:spacing w:after="0" w:line="255" w:lineRule="auto"/>
        <w:rPr>
          <w:sz w:val="20"/>
          <w:szCs w:val="20"/>
          <w:color w:val="auto"/>
        </w:rPr>
      </w:pPr>
      <w:r>
        <w:rPr>
          <w:rFonts w:ascii="Arial" w:cs="Arial" w:eastAsia="Arial" w:hAnsi="Arial"/>
          <w:sz w:val="16"/>
          <w:szCs w:val="16"/>
          <w:color w:val="auto"/>
        </w:rPr>
        <w:t>for each Option; and (b) select from among the Performance Factors to be used to measure the performance, if any. Performance Periods may overlap and Participants may participate simultaneously with respect to Options that are subject to different performance goals and other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criteria.</w:t>
      </w:r>
    </w:p>
    <w:p>
      <w:pPr>
        <w:spacing w:after="0" w:line="16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will be the date on which the Committee makes the determination to grant</w:t>
      </w:r>
      <w:r>
        <w:rPr>
          <w:rFonts w:ascii="Arial" w:cs="Arial" w:eastAsia="Arial" w:hAnsi="Arial"/>
          <w:sz w:val="18"/>
          <w:szCs w:val="18"/>
          <w:b w:val="1"/>
          <w:bCs w:val="1"/>
          <w:color w:val="auto"/>
        </w:rPr>
        <w:t xml:space="preserve"> </w:t>
      </w:r>
      <w:r>
        <w:rPr>
          <w:rFonts w:ascii="Arial" w:cs="Arial" w:eastAsia="Arial" w:hAnsi="Arial"/>
          <w:sz w:val="18"/>
          <w:szCs w:val="18"/>
          <w:color w:val="auto"/>
        </w:rPr>
        <w:t>such Option, or a specified future date. The Award Agreement will be delivered to the Participant within a reasonable time after the granting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the Option.</w:t>
      </w:r>
    </w:p>
    <w:p>
      <w:pPr>
        <w:spacing w:after="0" w:line="16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u w:val="single" w:color="auto"/>
          <w:color w:val="auto"/>
        </w:rPr>
        <w:t>Exercise Period</w:t>
      </w:r>
      <w:r>
        <w:rPr>
          <w:rFonts w:ascii="Arial" w:cs="Arial" w:eastAsia="Arial" w:hAnsi="Arial"/>
          <w:sz w:val="18"/>
          <w:szCs w:val="18"/>
          <w:color w:val="auto"/>
        </w:rPr>
        <w:t>. Options may be vested and exercisable within the times or upon the conditions as set forth in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governing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will be exercisable after the expiration of ten (10) years from the date</w:t>
      </w:r>
    </w:p>
    <w:p>
      <w:pPr>
        <w:spacing w:after="0" w:line="1"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the Option is granted. The Committee also may provide for Options to become exercisable at one time or from time to time, periodically or otherwise, in such number of Shares or percentage of Shares as the Committee determines.</w:t>
      </w:r>
    </w:p>
    <w:p>
      <w:pPr>
        <w:spacing w:after="0" w:line="150" w:lineRule="exact"/>
        <w:rPr>
          <w:sz w:val="20"/>
          <w:szCs w:val="20"/>
          <w:color w:val="auto"/>
        </w:rPr>
      </w:pPr>
    </w:p>
    <w:p>
      <w:pPr>
        <w:jc w:val="both"/>
        <w:ind w:right="20" w:firstLine="648"/>
        <w:spacing w:after="0" w:line="230" w:lineRule="auto"/>
        <w:rPr>
          <w:sz w:val="20"/>
          <w:szCs w:val="20"/>
          <w:color w:val="auto"/>
        </w:rPr>
      </w:pPr>
      <w:r>
        <w:rPr>
          <w:rFonts w:ascii="Arial" w:cs="Arial" w:eastAsia="Arial" w:hAnsi="Arial"/>
          <w:sz w:val="20"/>
          <w:szCs w:val="20"/>
          <w:b w:val="1"/>
          <w:bCs w:val="1"/>
          <w:color w:val="auto"/>
        </w:rPr>
        <w:t xml:space="preserve">5.4. </w:t>
      </w:r>
      <w:r>
        <w:rPr>
          <w:rFonts w:ascii="Arial" w:cs="Arial" w:eastAsia="Arial" w:hAnsi="Arial"/>
          <w:sz w:val="20"/>
          <w:szCs w:val="20"/>
          <w:u w:val="single" w:color="auto"/>
          <w:color w:val="auto"/>
        </w:rPr>
        <w:t>Exercise Price</w:t>
      </w:r>
      <w:r>
        <w:rPr>
          <w:rFonts w:ascii="Arial" w:cs="Arial" w:eastAsia="Arial" w:hAnsi="Arial"/>
          <w:sz w:val="20"/>
          <w:szCs w:val="20"/>
          <w:b w:val="1"/>
          <w:bCs w:val="1"/>
          <w:color w:val="auto"/>
        </w:rPr>
        <w:t xml:space="preserve"> </w:t>
      </w:r>
      <w:r>
        <w:rPr>
          <w:rFonts w:ascii="Arial" w:cs="Arial" w:eastAsia="Arial" w:hAnsi="Arial"/>
          <w:sz w:val="20"/>
          <w:szCs w:val="20"/>
          <w:color w:val="auto"/>
        </w:rPr>
        <w:t>. The Exercise Price of each Option will be determined by the Committee when the Option is granted;</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that: (a) the Exercise Price of an Option will be not less than one hundred percent (100%) of the Fair Market Value of the Shares subject to the Option on</w:t>
      </w:r>
    </w:p>
    <w:p>
      <w:pPr>
        <w:sectPr>
          <w:pgSz w:w="11900" w:h="16838" w:orient="portrait"/>
          <w:cols w:equalWidth="0" w:num="1">
            <w:col w:w="11240"/>
          </w:cols>
          <w:pgMar w:left="320" w:top="1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date of grant. Payment for the Shares purchased may be made in accordance with Section 11 and the Award Agreement and in accordance with any procedures established by the Company.</w:t>
      </w:r>
    </w:p>
    <w:p>
      <w:pPr>
        <w:spacing w:after="0" w:line="149"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Method of Exercise</w:t>
      </w:r>
      <w:r>
        <w:rPr>
          <w:rFonts w:ascii="Arial" w:cs="Arial" w:eastAsia="Arial" w:hAnsi="Arial"/>
          <w:sz w:val="18"/>
          <w:szCs w:val="18"/>
          <w:color w:val="auto"/>
        </w:rPr>
        <w:t>. Any Option granted hereunder will be vested and exercisable according to the terms of the Plan and at</w:t>
      </w:r>
      <w:r>
        <w:rPr>
          <w:rFonts w:ascii="Arial" w:cs="Arial" w:eastAsia="Arial" w:hAnsi="Arial"/>
          <w:sz w:val="18"/>
          <w:szCs w:val="18"/>
          <w:b w:val="1"/>
          <w:bCs w:val="1"/>
          <w:color w:val="auto"/>
        </w:rPr>
        <w:t xml:space="preserve"> </w:t>
      </w:r>
      <w:r>
        <w:rPr>
          <w:rFonts w:ascii="Arial" w:cs="Arial" w:eastAsia="Arial" w:hAnsi="Arial"/>
          <w:sz w:val="18"/>
          <w:szCs w:val="18"/>
          <w:color w:val="auto"/>
        </w:rPr>
        <w:t>such times and under such conditions as determined by the Committee and set forth in the Award Agreement. An Option may not be</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exercised for a fraction of a Share. An Option will be deemed exercised when the Company receives: (a) notice of exercise (in such form as the Committee may specify from time to time) from the person entitled to exercise the Option (and/or via electronic execution through an</w:t>
      </w:r>
    </w:p>
    <w:p>
      <w:pPr>
        <w:spacing w:after="0" w:line="224" w:lineRule="auto"/>
        <w:rPr>
          <w:sz w:val="20"/>
          <w:szCs w:val="20"/>
          <w:color w:val="auto"/>
        </w:rPr>
      </w:pPr>
      <w:r>
        <w:rPr>
          <w:rFonts w:ascii="Arial" w:cs="Arial" w:eastAsia="Arial" w:hAnsi="Arial"/>
          <w:sz w:val="19"/>
          <w:szCs w:val="19"/>
          <w:color w:val="auto"/>
        </w:rPr>
        <w:t>authorized third-party administrator) and (b) full payment for the Shares with respect to which the Option is exercised together with</w:t>
      </w:r>
    </w:p>
    <w:p>
      <w:pPr>
        <w:jc w:val="both"/>
        <w:ind w:right="20"/>
        <w:spacing w:after="0" w:line="255" w:lineRule="auto"/>
        <w:rPr>
          <w:sz w:val="20"/>
          <w:szCs w:val="20"/>
          <w:color w:val="auto"/>
        </w:rPr>
      </w:pPr>
      <w:r>
        <w:rPr>
          <w:rFonts w:ascii="Arial" w:cs="Arial" w:eastAsia="Arial" w:hAnsi="Arial"/>
          <w:sz w:val="16"/>
          <w:szCs w:val="16"/>
          <w:color w:val="auto"/>
        </w:rPr>
        <w:t>applicable withholding taxes. Full payment may consist of any consideration and method of payment authorized by the Committee and permitted by the Award Agreement and the Plan. Shares issued upon exercise of an Option will be issued in the name of the Participant. Until</w:t>
      </w:r>
    </w:p>
    <w:p>
      <w:pPr>
        <w:spacing w:after="0" w:line="235" w:lineRule="auto"/>
        <w:rPr>
          <w:sz w:val="20"/>
          <w:szCs w:val="20"/>
          <w:color w:val="auto"/>
        </w:rPr>
      </w:pPr>
      <w:r>
        <w:rPr>
          <w:rFonts w:ascii="Arial" w:cs="Arial" w:eastAsia="Arial" w:hAnsi="Arial"/>
          <w:sz w:val="18"/>
          <w:szCs w:val="18"/>
          <w:color w:val="auto"/>
        </w:rPr>
        <w:t>the Shares are issued (as evidenced by the appropriate entry on the books of the Company or of a duly authorized transfer agent of the</w:t>
      </w:r>
    </w:p>
    <w:p>
      <w:pPr>
        <w:jc w:val="both"/>
        <w:ind w:right="20"/>
        <w:spacing w:after="0" w:line="226" w:lineRule="auto"/>
        <w:rPr>
          <w:sz w:val="20"/>
          <w:szCs w:val="20"/>
          <w:color w:val="auto"/>
        </w:rPr>
      </w:pPr>
      <w:r>
        <w:rPr>
          <w:rFonts w:ascii="Arial" w:cs="Arial" w:eastAsia="Arial" w:hAnsi="Arial"/>
          <w:sz w:val="18"/>
          <w:szCs w:val="18"/>
          <w:color w:val="auto"/>
        </w:rPr>
        <w:t>Company), no right to vote or receive dividends or any other rights as a stockholder will exist with respect to the Shares, notwithstanding the exercise of the Option. The Company will issue (or cause to be issued) such Shares promptly after the Option is exercised. No adjustment</w:t>
      </w:r>
    </w:p>
    <w:p>
      <w:pPr>
        <w:spacing w:after="0" w:line="236" w:lineRule="auto"/>
        <w:rPr>
          <w:sz w:val="20"/>
          <w:szCs w:val="20"/>
          <w:color w:val="auto"/>
        </w:rPr>
      </w:pPr>
      <w:r>
        <w:rPr>
          <w:rFonts w:ascii="Arial" w:cs="Arial" w:eastAsia="Arial" w:hAnsi="Arial"/>
          <w:sz w:val="18"/>
          <w:szCs w:val="18"/>
          <w:color w:val="auto"/>
        </w:rPr>
        <w:t>will be made for any dividend or other right for which the record date is prior to the date the Shares are issued, except as provided in Section</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2.4 of the Plan. Exercising an Option in any manner will decrease the number of Shares thereafter available, both for purposes of the Plan and for sale under the Option, by the number of Shares as to which the Option is exercised.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9"/>
          <w:szCs w:val="19"/>
          <w:u w:val="single" w:color="auto"/>
          <w:color w:val="auto"/>
        </w:rPr>
        <w:t>Termination of Service</w:t>
      </w:r>
      <w:r>
        <w:rPr>
          <w:rFonts w:ascii="Arial" w:cs="Arial" w:eastAsia="Arial" w:hAnsi="Arial"/>
          <w:sz w:val="19"/>
          <w:szCs w:val="19"/>
          <w:color w:val="auto"/>
        </w:rPr>
        <w:t>. If a Participant’s Service terminates for any reason other than for Cause or because of the</w:t>
      </w:r>
    </w:p>
    <w:p>
      <w:pPr>
        <w:jc w:val="both"/>
        <w:ind w:right="20"/>
        <w:spacing w:after="0" w:line="226" w:lineRule="auto"/>
        <w:rPr>
          <w:sz w:val="20"/>
          <w:szCs w:val="20"/>
          <w:color w:val="auto"/>
        </w:rPr>
      </w:pPr>
      <w:r>
        <w:rPr>
          <w:rFonts w:ascii="Arial" w:cs="Arial" w:eastAsia="Arial" w:hAnsi="Arial"/>
          <w:sz w:val="18"/>
          <w:szCs w:val="18"/>
          <w:color w:val="auto"/>
        </w:rPr>
        <w:t>Participant’s death, Disability, or retirement, then the Participant may exercise his or her Options only to the extent that such Options would have been exercisable by the Participant on the date the Participant’s Service terminates no later than three (3) months after the date the</w:t>
      </w:r>
    </w:p>
    <w:p>
      <w:pPr>
        <w:spacing w:after="0" w:line="2"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Participant’s Service terminates (or such shorter or longer time period as may be determined by the Committee), but in any event no later than the expiration date of the Options, except as required by applicable law.</w:t>
      </w:r>
    </w:p>
    <w:p>
      <w:pPr>
        <w:spacing w:after="0" w:line="170" w:lineRule="exact"/>
        <w:rPr>
          <w:sz w:val="20"/>
          <w:szCs w:val="20"/>
          <w:color w:val="auto"/>
        </w:rPr>
      </w:pPr>
    </w:p>
    <w:p>
      <w:pPr>
        <w:jc w:val="both"/>
        <w:ind w:right="20" w:firstLine="656"/>
        <w:spacing w:after="0" w:line="226" w:lineRule="auto"/>
        <w:tabs>
          <w:tab w:leader="none" w:pos="1296"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If a Participant’s Service terminates because of the Participant’s death (or the Participant dies within three (3) months after the Participant’s Service terminates other than for Cause or because of the Participant’s Disability), then the Participant’s Options may be exercised only to the extent that such Options would have been exercisable by the Participant on the date the Participant’s Service terminates and must be exercised by the Participant’s legal representative, or authorized assignee, no later than twelve (12) months after the date the Participant’s Service terminates (or such shorter or longer time period as may be determined by the Committee), but in any event no later than the expiration date of the Options, except as required by applicable law.</w:t>
      </w:r>
    </w:p>
    <w:p>
      <w:pPr>
        <w:spacing w:after="0" w:line="169" w:lineRule="exact"/>
        <w:rPr>
          <w:rFonts w:ascii="Arial" w:cs="Arial" w:eastAsia="Arial" w:hAnsi="Arial"/>
          <w:sz w:val="19"/>
          <w:szCs w:val="19"/>
          <w:color w:val="auto"/>
        </w:rPr>
      </w:pPr>
    </w:p>
    <w:p>
      <w:pPr>
        <w:jc w:val="both"/>
        <w:ind w:right="20" w:firstLine="656"/>
        <w:spacing w:after="0" w:line="218" w:lineRule="auto"/>
        <w:tabs>
          <w:tab w:leader="none" w:pos="1296"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If a Participant’s Service terminates because of the Participant’s Disability, then the Participant’s Options may be exercised only to the extent that such Options would have been exercisable by the Participant on the date the Participant’s Service terminates and must be exercised by the Participant (or the Participant’s legal representative or authorized assignee) no later than twelve (12) months after the date the Participant’s Service terminates (or such shorter or longer time period as may be determined by the Committee), but in any event no later than the expiration date of the Options.</w:t>
      </w:r>
    </w:p>
    <w:p>
      <w:pPr>
        <w:spacing w:after="0" w:line="157" w:lineRule="exact"/>
        <w:rPr>
          <w:rFonts w:ascii="Arial" w:cs="Arial" w:eastAsia="Arial" w:hAnsi="Arial"/>
          <w:sz w:val="20"/>
          <w:szCs w:val="20"/>
          <w:color w:val="auto"/>
        </w:rPr>
      </w:pPr>
    </w:p>
    <w:p>
      <w:pPr>
        <w:jc w:val="both"/>
        <w:ind w:right="20" w:firstLine="656"/>
        <w:spacing w:after="0" w:line="246"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If a Participant’s Service terminates because of such Participant’s retirement (consistent with the Company’s policies regarding retirement), then the Participant may exercise his or her Options only to the extent that such Options would have been exercisable by the Participant on the date the Participant’s Service terminates no later than twenty-four (24) months after the date the Participant’s Service terminates, but in any event no later than the expiration date of the Options, except as required by applicable law.</w:t>
      </w:r>
    </w:p>
    <w:p>
      <w:pPr>
        <w:spacing w:after="0" w:line="163" w:lineRule="exact"/>
        <w:rPr>
          <w:rFonts w:ascii="Arial" w:cs="Arial" w:eastAsia="Arial" w:hAnsi="Arial"/>
          <w:sz w:val="18"/>
          <w:szCs w:val="18"/>
          <w:color w:val="auto"/>
        </w:rPr>
      </w:pPr>
    </w:p>
    <w:p>
      <w:pPr>
        <w:jc w:val="both"/>
        <w:ind w:right="20" w:firstLine="656"/>
        <w:spacing w:after="0" w:line="226" w:lineRule="auto"/>
        <w:tabs>
          <w:tab w:leader="none" w:pos="1296"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If a Participant’s Service is terminated for Cause, then the Participant’s Options shall expire on the Participant’s date of termination of Service if the Committee has reasonably determined in good faith that such cessation of Services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the Award Agreement or other applicable</w:t>
      </w:r>
    </w:p>
    <w:p>
      <w:pPr>
        <w:sectPr>
          <w:pgSz w:w="11900" w:h="16838" w:orient="portrait"/>
          <w:cols w:equalWidth="0" w:num="1">
            <w:col w:w="11240"/>
          </w:cols>
          <w:pgMar w:left="320" w:top="10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agreement between the Participant and the Company or any Parent or Subsidiary, Cause shall have the meaning set forth in the Plan.</w:t>
      </w:r>
    </w:p>
    <w:p>
      <w:pPr>
        <w:spacing w:after="0" w:line="206"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u w:val="single" w:color="auto"/>
          <w:color w:val="auto"/>
        </w:rPr>
        <w:t>Modification, Extension or Renewa</w:t>
      </w:r>
      <w:r>
        <w:rPr>
          <w:rFonts w:ascii="Arial" w:cs="Arial" w:eastAsia="Arial" w:hAnsi="Arial"/>
          <w:sz w:val="18"/>
          <w:szCs w:val="18"/>
          <w:color w:val="auto"/>
        </w:rPr>
        <w:t>l. The Committee may modify, extend or renew outstanding Options and authorize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new Options in substitution therefor, provided that any such action may not, without the written consent of a Participant, impair any</w:t>
      </w:r>
    </w:p>
    <w:p>
      <w:pPr>
        <w:spacing w:after="0" w:line="236" w:lineRule="auto"/>
        <w:rPr>
          <w:sz w:val="20"/>
          <w:szCs w:val="20"/>
          <w:color w:val="auto"/>
        </w:rPr>
      </w:pPr>
      <w:r>
        <w:rPr>
          <w:rFonts w:ascii="Arial" w:cs="Arial" w:eastAsia="Arial" w:hAnsi="Arial"/>
          <w:sz w:val="18"/>
          <w:szCs w:val="18"/>
          <w:color w:val="auto"/>
        </w:rPr>
        <w:t>of such Participant’s rights under any Option previously granted, unless for the purpose of complying with applicable laws and regulations.</w:t>
      </w:r>
    </w:p>
    <w:p>
      <w:pPr>
        <w:ind w:right="20"/>
        <w:spacing w:after="0" w:line="226" w:lineRule="auto"/>
        <w:rPr>
          <w:sz w:val="20"/>
          <w:szCs w:val="20"/>
          <w:color w:val="auto"/>
        </w:rPr>
      </w:pPr>
      <w:r>
        <w:rPr>
          <w:rFonts w:ascii="Arial" w:cs="Arial" w:eastAsia="Arial" w:hAnsi="Arial"/>
          <w:sz w:val="18"/>
          <w:szCs w:val="18"/>
          <w:color w:val="auto"/>
        </w:rPr>
        <w:t xml:space="preserve">Subject to Section 17 of this Plan, by written notice to affected Participants, the Committee may reduce the Exercise Price of outstanding Options without the consent of such Participants;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Exercise Price may not be reduced below the minimum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that would be permitted under Section 5.4 for Options granted on the date the action is taken to reduce the Exercise Price.</w:t>
      </w:r>
    </w:p>
    <w:p>
      <w:pPr>
        <w:spacing w:after="0" w:line="190" w:lineRule="exact"/>
        <w:rPr>
          <w:sz w:val="20"/>
          <w:szCs w:val="20"/>
          <w:color w:val="auto"/>
        </w:rPr>
      </w:pPr>
    </w:p>
    <w:p>
      <w:pPr>
        <w:jc w:val="both"/>
        <w:ind w:right="20" w:firstLine="8"/>
        <w:spacing w:after="0" w:line="221"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RESTRICTED STOCK AWARDS</w:t>
      </w:r>
      <w:r>
        <w:rPr>
          <w:rFonts w:ascii="Arial" w:cs="Arial" w:eastAsia="Arial" w:hAnsi="Arial"/>
          <w:sz w:val="20"/>
          <w:szCs w:val="20"/>
          <w:color w:val="auto"/>
        </w:rPr>
        <w:t>. A Restricted Stock Award is an offer by the Company to sell to an eligible Employee Shares</w:t>
      </w:r>
      <w:r>
        <w:rPr>
          <w:rFonts w:ascii="Arial" w:cs="Arial" w:eastAsia="Arial" w:hAnsi="Arial"/>
          <w:sz w:val="20"/>
          <w:szCs w:val="20"/>
          <w:b w:val="1"/>
          <w:bCs w:val="1"/>
          <w:color w:val="auto"/>
        </w:rPr>
        <w:t xml:space="preserve"> </w:t>
      </w:r>
      <w:r>
        <w:rPr>
          <w:rFonts w:ascii="Arial" w:cs="Arial" w:eastAsia="Arial" w:hAnsi="Arial"/>
          <w:sz w:val="20"/>
          <w:szCs w:val="20"/>
          <w:color w:val="auto"/>
        </w:rPr>
        <w:t>that are subject to restrictions (“</w:t>
      </w:r>
      <w:r>
        <w:rPr>
          <w:rFonts w:ascii="Arial" w:cs="Arial" w:eastAsia="Arial" w:hAnsi="Arial"/>
          <w:sz w:val="20"/>
          <w:szCs w:val="20"/>
          <w:b w:val="1"/>
          <w:bCs w:val="1"/>
          <w:i w:val="1"/>
          <w:iCs w:val="1"/>
          <w:color w:val="auto"/>
        </w:rPr>
        <w:t>Restricted Stock</w:t>
      </w:r>
      <w:r>
        <w:rPr>
          <w:rFonts w:ascii="Arial" w:cs="Arial" w:eastAsia="Arial" w:hAnsi="Arial"/>
          <w:sz w:val="20"/>
          <w:szCs w:val="20"/>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52"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All purchases under a Restricted Stock Award will be evidenced by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Except as may otherwise be provided in an Award Agreement, a Participant accepts a Restricted Stock Award by signing and</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delivering to the Company an Award Agreement with full payment of the Purchase Price, within thirty (30) days from the date the Award Agreement was delivered to the Participant. If the Participant does not accept such Award within thirty (30) days, then the offer to purchase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Restricted Stock Award will terminate, unless the Committee determines otherwise.</w:t>
      </w:r>
    </w:p>
    <w:p>
      <w:pPr>
        <w:spacing w:after="0" w:line="16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for Shares issued pursuant to a Restricted Stock Award will be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on the date the Restricted Stock Award is granted and, if permitted by law, no cash consideration will be required in connection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with the payment for the Purchase Price where the Committee provides that payment shall be in the form of services rendered. Payment of the Purchase Price must be made in accordance with Section 11 of the Plan, the Award Agreement and any procedures established by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16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u w:val="single" w:color="auto"/>
          <w:color w:val="auto"/>
        </w:rPr>
        <w:t>Terms of Restricted Stock Awards</w:t>
      </w:r>
      <w:r>
        <w:rPr>
          <w:rFonts w:ascii="Arial" w:cs="Arial" w:eastAsia="Arial" w:hAnsi="Arial"/>
          <w:sz w:val="18"/>
          <w:szCs w:val="18"/>
          <w:color w:val="auto"/>
        </w:rPr>
        <w:t>. Restricted Stock Awards will be subject to such restrictions as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impose or are required by law. These restrictions may be based on completion of a specified number of years of service with the Company or</w:t>
      </w:r>
    </w:p>
    <w:p>
      <w:pPr>
        <w:spacing w:after="0" w:line="236" w:lineRule="auto"/>
        <w:rPr>
          <w:sz w:val="20"/>
          <w:szCs w:val="20"/>
          <w:color w:val="auto"/>
        </w:rPr>
      </w:pPr>
      <w:r>
        <w:rPr>
          <w:rFonts w:ascii="Arial" w:cs="Arial" w:eastAsia="Arial" w:hAnsi="Arial"/>
          <w:sz w:val="18"/>
          <w:szCs w:val="18"/>
          <w:color w:val="auto"/>
        </w:rPr>
        <w:t>upon completion of Performance Factors, if any, during any Performance Period as set out in advance in the Participant’s Award Agreement.</w:t>
      </w:r>
    </w:p>
    <w:p>
      <w:pPr>
        <w:ind w:right="20"/>
        <w:spacing w:after="0" w:line="226" w:lineRule="auto"/>
        <w:rPr>
          <w:sz w:val="20"/>
          <w:szCs w:val="20"/>
          <w:color w:val="auto"/>
        </w:rPr>
      </w:pPr>
      <w:r>
        <w:rPr>
          <w:rFonts w:ascii="Arial" w:cs="Arial" w:eastAsia="Arial" w:hAnsi="Arial"/>
          <w:sz w:val="18"/>
          <w:szCs w:val="18"/>
          <w:color w:val="auto"/>
        </w:rPr>
        <w:t>Prior to the grant of a Restricted Stock Award, the Committee shall: (a) determine the nature, length and starting date of any Performance Period for the Restricted Stock Award; (b) select from among the Performance Factors to be used to measure performance goals, if any; and</w:t>
      </w:r>
    </w:p>
    <w:p>
      <w:pPr>
        <w:spacing w:after="0" w:line="2" w:lineRule="exact"/>
        <w:rPr>
          <w:sz w:val="20"/>
          <w:szCs w:val="20"/>
          <w:color w:val="auto"/>
        </w:rPr>
      </w:pPr>
    </w:p>
    <w:p>
      <w:pPr>
        <w:jc w:val="both"/>
        <w:ind w:right="20" w:firstLine="8"/>
        <w:spacing w:after="0" w:line="217" w:lineRule="auto"/>
        <w:tabs>
          <w:tab w:leader="none" w:pos="308" w:val="left"/>
        </w:tabs>
        <w:numPr>
          <w:ilvl w:val="0"/>
          <w:numId w:val="8"/>
        </w:numPr>
        <w:rPr>
          <w:rFonts w:ascii="Arial" w:cs="Arial" w:eastAsia="Arial" w:hAnsi="Arial"/>
          <w:sz w:val="20"/>
          <w:szCs w:val="20"/>
          <w:color w:val="auto"/>
        </w:rPr>
      </w:pPr>
      <w:r>
        <w:rPr>
          <w:rFonts w:ascii="Arial" w:cs="Arial" w:eastAsia="Arial" w:hAnsi="Arial"/>
          <w:sz w:val="20"/>
          <w:szCs w:val="20"/>
          <w:color w:val="auto"/>
        </w:rPr>
        <w:t>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64" w:lineRule="exact"/>
        <w:rPr>
          <w:sz w:val="20"/>
          <w:szCs w:val="20"/>
          <w:color w:val="auto"/>
        </w:rPr>
      </w:pPr>
    </w:p>
    <w:p>
      <w:pPr>
        <w:ind w:right="20" w:firstLine="648"/>
        <w:spacing w:after="0" w:line="239" w:lineRule="auto"/>
        <w:rPr>
          <w:sz w:val="20"/>
          <w:szCs w:val="20"/>
          <w:color w:val="auto"/>
        </w:rPr>
      </w:pPr>
      <w:r>
        <w:rPr>
          <w:rFonts w:ascii="Arial" w:cs="Arial" w:eastAsia="Arial" w:hAnsi="Arial"/>
          <w:sz w:val="20"/>
          <w:szCs w:val="20"/>
          <w:b w:val="1"/>
          <w:bCs w:val="1"/>
          <w:color w:val="auto"/>
        </w:rPr>
        <w:t xml:space="preserve">6.4. </w:t>
      </w:r>
      <w:r>
        <w:rPr>
          <w:rFonts w:ascii="Arial" w:cs="Arial" w:eastAsia="Arial" w:hAnsi="Arial"/>
          <w:sz w:val="20"/>
          <w:szCs w:val="20"/>
          <w:u w:val="single" w:color="auto"/>
          <w:color w:val="auto"/>
        </w:rPr>
        <w:t>Termination of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 Except as may be set forth in any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pacing w:after="0" w:line="149" w:lineRule="exact"/>
        <w:rPr>
          <w:sz w:val="20"/>
          <w:szCs w:val="20"/>
          <w:color w:val="auto"/>
        </w:rPr>
      </w:pPr>
    </w:p>
    <w:p>
      <w:pPr>
        <w:jc w:val="both"/>
        <w:ind w:right="20" w:firstLine="8"/>
        <w:spacing w:after="0" w:line="263" w:lineRule="auto"/>
        <w:tabs>
          <w:tab w:leader="none" w:pos="64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BONUS AWARDS</w:t>
      </w:r>
      <w:r>
        <w:rPr>
          <w:rFonts w:ascii="Arial" w:cs="Arial" w:eastAsia="Arial" w:hAnsi="Arial"/>
          <w:sz w:val="18"/>
          <w:szCs w:val="18"/>
          <w:color w:val="auto"/>
        </w:rPr>
        <w:t>. A Stock Bonus Award is an award to an eligible Employee Shares for Services to be rendered or for</w:t>
      </w:r>
      <w:r>
        <w:rPr>
          <w:rFonts w:ascii="Arial" w:cs="Arial" w:eastAsia="Arial" w:hAnsi="Arial"/>
          <w:sz w:val="18"/>
          <w:szCs w:val="18"/>
          <w:b w:val="1"/>
          <w:bCs w:val="1"/>
          <w:color w:val="auto"/>
        </w:rPr>
        <w:t xml:space="preserve"> </w:t>
      </w:r>
      <w:r>
        <w:rPr>
          <w:rFonts w:ascii="Arial" w:cs="Arial" w:eastAsia="Arial" w:hAnsi="Arial"/>
          <w:sz w:val="18"/>
          <w:szCs w:val="18"/>
          <w:color w:val="auto"/>
        </w:rPr>
        <w:t>past Services already rendered to the Company or any Parent, Subsidiary or Affiliate. All Stock Bonus Awards shall be made pursuant to an Award Agreement. No payment from the Participant will be required for Shares awarded pursuant to a Stock Bonus Award.</w:t>
      </w:r>
    </w:p>
    <w:p>
      <w:pPr>
        <w:spacing w:after="0" w:line="130"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u w:val="single" w:color="auto"/>
          <w:color w:val="auto"/>
        </w:rPr>
        <w:t>Terms of Stock Bonus Awards</w:t>
      </w:r>
      <w:r>
        <w:rPr>
          <w:rFonts w:ascii="Arial" w:cs="Arial" w:eastAsia="Arial" w:hAnsi="Arial"/>
          <w:sz w:val="18"/>
          <w:szCs w:val="18"/>
          <w:color w:val="auto"/>
        </w:rPr>
        <w:t>. The Committee will determine the number of Shares to be awarded to the Participant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Stock Bonus Award and any restrictions thereon. These restrictions may be based upon completion of a specified number of years of service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with the Company or upon satisfaction of performance goals based on Performance Factors during any Performance Period as set out in advance in the Participant’s Stock Bonus Agreement. Prior to the grant of any Stock Bonus Award the Committee shall: (a) determine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restrictions to which the</w:t>
      </w:r>
    </w:p>
    <w:p>
      <w:pPr>
        <w:sectPr>
          <w:pgSz w:w="11900" w:h="16838" w:orient="portrait"/>
          <w:cols w:equalWidth="0" w:num="1">
            <w:col w:w="11240"/>
          </w:cols>
          <w:pgMar w:left="320" w:top="1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Stock Bonus Award is subject, including the nature, length and starting date of any Performance Period for the Stock Bonus Award; (b) select</w:t>
      </w:r>
    </w:p>
    <w:p>
      <w:pPr>
        <w:spacing w:after="0" w:line="1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from among the Performance Factors, if any, to be used to measure performance goals; and (c) determine the number of Shares that may be awarded to the Participant. Performance Periods may overlap and a Participant may participate simultaneously with respect to Stock Bonus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Awards that are subject to different Performance Periods and different performance goals and other criteria.</w:t>
      </w:r>
    </w:p>
    <w:p>
      <w:pPr>
        <w:spacing w:after="0" w:line="16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u w:val="single" w:color="auto"/>
          <w:color w:val="auto"/>
        </w:rPr>
        <w:t>Form of Payment to Participant</w:t>
      </w:r>
      <w:r>
        <w:rPr>
          <w:rFonts w:ascii="Arial" w:cs="Arial" w:eastAsia="Arial" w:hAnsi="Arial"/>
          <w:sz w:val="18"/>
          <w:szCs w:val="18"/>
          <w:color w:val="auto"/>
        </w:rPr>
        <w:t>. Payment may be made in the form of cash, whole Shares, or a combination thereof,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Fair Market Value of the Shares earned under a Stock Bonus Award on the date of payment, as determined in the sole discretion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Committee.</w:t>
      </w:r>
    </w:p>
    <w:p>
      <w:pPr>
        <w:spacing w:after="0" w:line="167" w:lineRule="exact"/>
        <w:rPr>
          <w:sz w:val="20"/>
          <w:szCs w:val="20"/>
          <w:color w:val="auto"/>
        </w:rPr>
      </w:pPr>
    </w:p>
    <w:p>
      <w:pPr>
        <w:ind w:right="20" w:firstLine="648"/>
        <w:spacing w:after="0" w:line="232" w:lineRule="auto"/>
        <w:rPr>
          <w:sz w:val="20"/>
          <w:szCs w:val="20"/>
          <w:color w:val="auto"/>
        </w:rPr>
      </w:pPr>
      <w:r>
        <w:rPr>
          <w:rFonts w:ascii="Arial" w:cs="Arial" w:eastAsia="Arial" w:hAnsi="Arial"/>
          <w:sz w:val="20"/>
          <w:szCs w:val="20"/>
          <w:b w:val="1"/>
          <w:bCs w:val="1"/>
          <w:color w:val="auto"/>
        </w:rPr>
        <w:t xml:space="preserve">7.3.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Except as may be set forth in the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pacing w:after="0" w:line="163" w:lineRule="exact"/>
        <w:rPr>
          <w:sz w:val="20"/>
          <w:szCs w:val="20"/>
          <w:color w:val="auto"/>
        </w:rPr>
      </w:pPr>
    </w:p>
    <w:p>
      <w:pPr>
        <w:jc w:val="both"/>
        <w:ind w:right="20" w:firstLine="8"/>
        <w:spacing w:after="0" w:line="219" w:lineRule="auto"/>
        <w:tabs>
          <w:tab w:leader="none" w:pos="648"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 APPRECIATION RIGHTS</w:t>
      </w:r>
      <w:r>
        <w:rPr>
          <w:rFonts w:ascii="Arial" w:cs="Arial" w:eastAsia="Arial" w:hAnsi="Arial"/>
          <w:sz w:val="20"/>
          <w:szCs w:val="20"/>
          <w:color w:val="auto"/>
        </w:rPr>
        <w:t>. A Stock Appreciation Right (“</w:t>
      </w:r>
      <w:r>
        <w:rPr>
          <w:rFonts w:ascii="Arial" w:cs="Arial" w:eastAsia="Arial" w:hAnsi="Arial"/>
          <w:sz w:val="20"/>
          <w:szCs w:val="20"/>
          <w:b w:val="1"/>
          <w:bCs w:val="1"/>
          <w:i w:val="1"/>
          <w:iCs w:val="1"/>
          <w:color w:val="auto"/>
        </w:rPr>
        <w:t>SAR</w:t>
      </w:r>
      <w:r>
        <w:rPr>
          <w:rFonts w:ascii="Arial" w:cs="Arial" w:eastAsia="Arial" w:hAnsi="Arial"/>
          <w:sz w:val="20"/>
          <w:szCs w:val="20"/>
          <w:color w:val="auto"/>
        </w:rPr>
        <w:t>”) is an award to an eligible Employee that may be settled</w:t>
      </w:r>
      <w:r>
        <w:rPr>
          <w:rFonts w:ascii="Arial" w:cs="Arial" w:eastAsia="Arial" w:hAnsi="Arial"/>
          <w:sz w:val="20"/>
          <w:szCs w:val="20"/>
          <w:b w:val="1"/>
          <w:bCs w:val="1"/>
          <w:color w:val="auto"/>
        </w:rPr>
        <w:t xml:space="preserve"> </w:t>
      </w:r>
      <w:r>
        <w:rPr>
          <w:rFonts w:ascii="Arial" w:cs="Arial" w:eastAsia="Arial" w:hAnsi="Arial"/>
          <w:sz w:val="20"/>
          <w:szCs w:val="20"/>
          <w:color w:val="auto"/>
        </w:rPr>
        <w:t>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52" w:lineRule="exact"/>
        <w:rPr>
          <w:sz w:val="20"/>
          <w:szCs w:val="20"/>
          <w:color w:val="auto"/>
        </w:rPr>
      </w:pPr>
    </w:p>
    <w:p>
      <w:pPr>
        <w:ind w:right="20" w:firstLine="648"/>
        <w:spacing w:after="0" w:line="234"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9"/>
          <w:szCs w:val="19"/>
          <w:u w:val="single" w:color="auto"/>
          <w:color w:val="auto"/>
        </w:rPr>
        <w:t>Terms of SARs</w:t>
      </w:r>
      <w:r>
        <w:rPr>
          <w:rFonts w:ascii="Arial" w:cs="Arial" w:eastAsia="Arial" w:hAnsi="Arial"/>
          <w:sz w:val="19"/>
          <w:szCs w:val="19"/>
          <w:color w:val="auto"/>
        </w:rPr>
        <w:t>. The Committee will determine the terms of each SAR including, without limitation: (a) the number of</w:t>
      </w:r>
      <w:r>
        <w:rPr>
          <w:rFonts w:ascii="Arial" w:cs="Arial" w:eastAsia="Arial" w:hAnsi="Arial"/>
          <w:sz w:val="19"/>
          <w:szCs w:val="19"/>
          <w:b w:val="1"/>
          <w:bCs w:val="1"/>
          <w:color w:val="auto"/>
        </w:rPr>
        <w:t xml:space="preserve"> </w:t>
      </w:r>
      <w:r>
        <w:rPr>
          <w:rFonts w:ascii="Arial" w:cs="Arial" w:eastAsia="Arial" w:hAnsi="Arial"/>
          <w:sz w:val="19"/>
          <w:szCs w:val="19"/>
          <w:color w:val="auto"/>
        </w:rPr>
        <w:t>Shares subject to the SAR; (b) the Exercise Price and the time or times during which the SAR may be exercised and settled; (c)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consideration to be distributed on settlement of the SAR; and (d) the effect of the Participant’s termination of Service on each SAR. The Exercise Price of the SAR will be determined by the Committee when the SAR is granted, and may not be less than Fair Market Value of the</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Shares subject to the SAR on the date of grant. A SAR may be subject to satisfaction of Performance Factors, if any, during any Performance Period as are set out in advance in the Participant’s individual Award Agreement. If the SAR is being earned upon the satisfaction of</w:t>
      </w:r>
    </w:p>
    <w:p>
      <w:pPr>
        <w:spacing w:after="0" w:line="235" w:lineRule="auto"/>
        <w:rPr>
          <w:sz w:val="20"/>
          <w:szCs w:val="20"/>
          <w:color w:val="auto"/>
        </w:rPr>
      </w:pPr>
      <w:r>
        <w:rPr>
          <w:rFonts w:ascii="Arial" w:cs="Arial" w:eastAsia="Arial" w:hAnsi="Arial"/>
          <w:sz w:val="18"/>
          <w:szCs w:val="18"/>
          <w:color w:val="auto"/>
        </w:rPr>
        <w:t>Performance Factors, then the Committee will: (i) determine the nature, length and starting date of any Performance Period for each SAR;</w:t>
      </w:r>
    </w:p>
    <w:p>
      <w:pPr>
        <w:ind w:right="20"/>
        <w:spacing w:after="0" w:line="250" w:lineRule="auto"/>
        <w:rPr>
          <w:sz w:val="20"/>
          <w:szCs w:val="20"/>
          <w:color w:val="auto"/>
        </w:rPr>
      </w:pPr>
      <w:r>
        <w:rPr>
          <w:rFonts w:ascii="Arial" w:cs="Arial" w:eastAsia="Arial" w:hAnsi="Arial"/>
          <w:sz w:val="18"/>
          <w:szCs w:val="18"/>
          <w:color w:val="auto"/>
        </w:rPr>
        <w:t>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9"/>
          <w:szCs w:val="19"/>
          <w:u w:val="single" w:color="auto"/>
          <w:color w:val="auto"/>
        </w:rPr>
        <w:t>Exercise Period and Expiration Date</w:t>
      </w:r>
      <w:r>
        <w:rPr>
          <w:rFonts w:ascii="Arial" w:cs="Arial" w:eastAsia="Arial" w:hAnsi="Arial"/>
          <w:sz w:val="19"/>
          <w:szCs w:val="19"/>
          <w:color w:val="auto"/>
        </w:rPr>
        <w:t>. A SAR will be exercisable within the times or upon the occurrence of events</w:t>
      </w:r>
    </w:p>
    <w:p>
      <w:pPr>
        <w:ind w:right="20"/>
        <w:spacing w:after="0" w:line="226" w:lineRule="auto"/>
        <w:rPr>
          <w:sz w:val="20"/>
          <w:szCs w:val="20"/>
          <w:color w:val="auto"/>
        </w:rPr>
      </w:pPr>
      <w:r>
        <w:rPr>
          <w:rFonts w:ascii="Arial" w:cs="Arial" w:eastAsia="Arial" w:hAnsi="Arial"/>
          <w:sz w:val="18"/>
          <w:szCs w:val="18"/>
          <w:color w:val="auto"/>
        </w:rPr>
        <w:t>determined by the Committee and set forth in the Award Agreement governing such SAR. The SAR Agreement shall set forth the expiration date; provided that no SAR will be exercisable after the expiration of ten (10) years from the date the SAR is granted. The Committee may</w:t>
      </w:r>
    </w:p>
    <w:p>
      <w:pPr>
        <w:spacing w:after="0" w:line="236" w:lineRule="auto"/>
        <w:rPr>
          <w:sz w:val="20"/>
          <w:szCs w:val="20"/>
          <w:color w:val="auto"/>
        </w:rPr>
      </w:pPr>
      <w:r>
        <w:rPr>
          <w:rFonts w:ascii="Arial" w:cs="Arial" w:eastAsia="Arial" w:hAnsi="Arial"/>
          <w:sz w:val="18"/>
          <w:szCs w:val="18"/>
          <w:color w:val="auto"/>
        </w:rPr>
        <w:t>also provide for SARs to become exercisable at one time or from time to time, periodically or otherwise (including, without limitation, upon</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attainment during a Performance Period of performance goals based on Performance Factors), in such number of Shares or percentage of the Shares subject to the SAR as the Committee determines. Except as may be set forth in the Participant’s Award Agreement, vesting ceases</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on the date Participant’s Service terminates (unless determined otherwise by the Committee). Notwithstanding the foregoing, the rules of Section 5.6 also will apply to SARs.</w:t>
      </w:r>
    </w:p>
    <w:p>
      <w:pPr>
        <w:spacing w:after="0" w:line="150"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Form of Settlement</w:t>
      </w:r>
      <w:r>
        <w:rPr>
          <w:rFonts w:ascii="Arial" w:cs="Arial" w:eastAsia="Arial" w:hAnsi="Arial"/>
          <w:sz w:val="18"/>
          <w:szCs w:val="18"/>
          <w:color w:val="auto"/>
        </w:rPr>
        <w:t>. Upon exercise of a SAR, a Participant will be entitled to receive payment from the Company in an</w:t>
      </w:r>
      <w:r>
        <w:rPr>
          <w:rFonts w:ascii="Arial" w:cs="Arial" w:eastAsia="Arial" w:hAnsi="Arial"/>
          <w:sz w:val="18"/>
          <w:szCs w:val="18"/>
          <w:b w:val="1"/>
          <w:bCs w:val="1"/>
          <w:color w:val="auto"/>
        </w:rPr>
        <w:t xml:space="preserve"> </w:t>
      </w:r>
      <w:r>
        <w:rPr>
          <w:rFonts w:ascii="Arial" w:cs="Arial" w:eastAsia="Arial" w:hAnsi="Arial"/>
          <w:sz w:val="18"/>
          <w:szCs w:val="18"/>
          <w:color w:val="auto"/>
        </w:rPr>
        <w:t>amount determined by multiplying (a) the difference between the Fair Market Value of a Share on the date of exercise over the Exercise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Price; times (b) the number of Shares with respect to which the SAR is exercised. At the discretion of the Committee, the payment from the Company for the SAR exercise may be in cash, in Shares of equivalent value, or in some combination thereof. The portion of a SAR being</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settled may be paid currently or on a deferred basis with such interest, if any, as the Committee determines, provided that the terms of the SAR and any deferral satisfy the requirements of Section 409A of the Code to the extent applicable.</w:t>
      </w:r>
    </w:p>
    <w:p>
      <w:pPr>
        <w:spacing w:after="0" w:line="150" w:lineRule="exact"/>
        <w:rPr>
          <w:sz w:val="20"/>
          <w:szCs w:val="20"/>
          <w:color w:val="auto"/>
        </w:rPr>
      </w:pPr>
    </w:p>
    <w:p>
      <w:pPr>
        <w:ind w:right="20" w:firstLine="648"/>
        <w:spacing w:after="0" w:line="239" w:lineRule="auto"/>
        <w:rPr>
          <w:sz w:val="20"/>
          <w:szCs w:val="20"/>
          <w:color w:val="auto"/>
        </w:rPr>
      </w:pPr>
      <w:r>
        <w:rPr>
          <w:rFonts w:ascii="Arial" w:cs="Arial" w:eastAsia="Arial" w:hAnsi="Arial"/>
          <w:sz w:val="20"/>
          <w:szCs w:val="20"/>
          <w:b w:val="1"/>
          <w:bCs w:val="1"/>
          <w:color w:val="auto"/>
        </w:rPr>
        <w:t xml:space="preserve">8.4.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Except as may be set forth in the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ectPr>
          <w:pgSz w:w="11900" w:h="16838" w:orient="portrait"/>
          <w:cols w:equalWidth="0" w:num="1">
            <w:col w:w="11240"/>
          </w:cols>
          <w:pgMar w:left="320" w:top="10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firstLine="8"/>
        <w:spacing w:after="0" w:line="225" w:lineRule="auto"/>
        <w:tabs>
          <w:tab w:leader="none" w:pos="648"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RESTRICTED STOCK UNITS</w:t>
      </w:r>
      <w:r>
        <w:rPr>
          <w:rFonts w:ascii="Arial" w:cs="Arial" w:eastAsia="Arial" w:hAnsi="Arial"/>
          <w:sz w:val="20"/>
          <w:szCs w:val="20"/>
          <w:color w:val="auto"/>
        </w:rPr>
        <w:t>. A Restricted Stock Unit (“</w:t>
      </w:r>
      <w:r>
        <w:rPr>
          <w:rFonts w:ascii="Arial" w:cs="Arial" w:eastAsia="Arial" w:hAnsi="Arial"/>
          <w:sz w:val="20"/>
          <w:szCs w:val="20"/>
          <w:b w:val="1"/>
          <w:bCs w:val="1"/>
          <w:i w:val="1"/>
          <w:iCs w:val="1"/>
          <w:color w:val="auto"/>
        </w:rPr>
        <w:t>RSU</w:t>
      </w:r>
      <w:r>
        <w:rPr>
          <w:rFonts w:ascii="Arial" w:cs="Arial" w:eastAsia="Arial" w:hAnsi="Arial"/>
          <w:sz w:val="20"/>
          <w:szCs w:val="20"/>
          <w:color w:val="auto"/>
        </w:rPr>
        <w:t>”) is an award to an eligible Employee covering a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that may be settled in cash or by issuance of those Shares (which may consist of Restricted Stock). No Purchase Price shall apply to an RSU settled in Shares. All RSUs shall be made pursuant to an Award Agreement.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8"/>
          <w:szCs w:val="18"/>
          <w:u w:val="single" w:color="auto"/>
          <w:color w:val="auto"/>
        </w:rPr>
        <w:t>Terms of RSUs</w:t>
      </w:r>
      <w:r>
        <w:rPr>
          <w:rFonts w:ascii="Arial" w:cs="Arial" w:eastAsia="Arial" w:hAnsi="Arial"/>
          <w:sz w:val="18"/>
          <w:szCs w:val="18"/>
          <w:color w:val="auto"/>
        </w:rPr>
        <w:t>. The Committee will determine the terms of an RSU including, without limitation: (a) the number of Shares</w:t>
      </w:r>
    </w:p>
    <w:p>
      <w:pPr>
        <w:ind w:right="20"/>
        <w:spacing w:after="0" w:line="255" w:lineRule="auto"/>
        <w:rPr>
          <w:sz w:val="20"/>
          <w:szCs w:val="20"/>
          <w:color w:val="auto"/>
        </w:rPr>
      </w:pPr>
      <w:r>
        <w:rPr>
          <w:rFonts w:ascii="Arial" w:cs="Arial" w:eastAsia="Arial" w:hAnsi="Arial"/>
          <w:sz w:val="16"/>
          <w:szCs w:val="16"/>
          <w:color w:val="auto"/>
        </w:rPr>
        <w:t>subject to the RSU; (b) the time or times during which the RSU may be vested and settled; (c) the consideration to be distributed on settlement; and (d) the effect of the Participant’s termination of Service on each RSU; provided that no RSU shall have a term longer than ten</w:t>
      </w:r>
    </w:p>
    <w:p>
      <w:pPr>
        <w:spacing w:after="0" w:line="1" w:lineRule="exact"/>
        <w:rPr>
          <w:sz w:val="20"/>
          <w:szCs w:val="20"/>
          <w:color w:val="auto"/>
        </w:rPr>
      </w:pPr>
    </w:p>
    <w:p>
      <w:pPr>
        <w:jc w:val="both"/>
        <w:ind w:right="20" w:firstLine="8"/>
        <w:spacing w:after="0" w:line="223" w:lineRule="auto"/>
        <w:tabs>
          <w:tab w:leader="none" w:pos="387" w:val="left"/>
        </w:tabs>
        <w:numPr>
          <w:ilvl w:val="0"/>
          <w:numId w:val="12"/>
        </w:numPr>
        <w:rPr>
          <w:rFonts w:ascii="Arial" w:cs="Arial" w:eastAsia="Arial" w:hAnsi="Arial"/>
          <w:sz w:val="19"/>
          <w:szCs w:val="19"/>
          <w:color w:val="auto"/>
        </w:rPr>
      </w:pPr>
      <w:r>
        <w:rPr>
          <w:rFonts w:ascii="Arial" w:cs="Arial" w:eastAsia="Arial" w:hAnsi="Arial"/>
          <w:sz w:val="19"/>
          <w:szCs w:val="19"/>
          <w:color w:val="auto"/>
        </w:rPr>
        <w:t>years. An RSU may be subject to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8"/>
          <w:szCs w:val="18"/>
          <w:u w:val="single" w:color="auto"/>
          <w:color w:val="auto"/>
        </w:rPr>
        <w:t>Form and Timing of Settlemen</w:t>
      </w:r>
      <w:r>
        <w:rPr>
          <w:rFonts w:ascii="Arial" w:cs="Arial" w:eastAsia="Arial" w:hAnsi="Arial"/>
          <w:sz w:val="18"/>
          <w:szCs w:val="18"/>
          <w:color w:val="auto"/>
        </w:rPr>
        <w:t>t. Payment of earned RSUs shall be made as soon as practicable after the date(s) determined</w:t>
      </w:r>
    </w:p>
    <w:p>
      <w:pPr>
        <w:ind w:right="20"/>
        <w:spacing w:after="0" w:line="226" w:lineRule="auto"/>
        <w:rPr>
          <w:sz w:val="20"/>
          <w:szCs w:val="20"/>
          <w:color w:val="auto"/>
        </w:rPr>
      </w:pPr>
      <w:r>
        <w:rPr>
          <w:rFonts w:ascii="Arial" w:cs="Arial" w:eastAsia="Arial" w:hAnsi="Arial"/>
          <w:sz w:val="18"/>
          <w:szCs w:val="18"/>
          <w:color w:val="auto"/>
        </w:rPr>
        <w:t>by the Committee and set forth in the Award Agreement. The Committee, in its sole discretion, may settle earned RSUs in cash, Shares or a combination of both. The Committee may also permit a Participant to defer payment under a RSU to a date or dates after the RSU is earned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provided that the terms of the RSU and any deferral satisfy the requirements of Section 409A of the Code to the extent applicable.</w:t>
      </w:r>
    </w:p>
    <w:p>
      <w:pPr>
        <w:spacing w:after="0" w:line="178" w:lineRule="exact"/>
        <w:rPr>
          <w:sz w:val="20"/>
          <w:szCs w:val="20"/>
          <w:color w:val="auto"/>
        </w:rPr>
      </w:pPr>
    </w:p>
    <w:p>
      <w:pPr>
        <w:ind w:right="20" w:firstLine="648"/>
        <w:spacing w:after="0" w:line="232" w:lineRule="auto"/>
        <w:rPr>
          <w:sz w:val="20"/>
          <w:szCs w:val="20"/>
          <w:color w:val="auto"/>
        </w:rPr>
      </w:pPr>
      <w:r>
        <w:rPr>
          <w:rFonts w:ascii="Arial" w:cs="Arial" w:eastAsia="Arial" w:hAnsi="Arial"/>
          <w:sz w:val="20"/>
          <w:szCs w:val="20"/>
          <w:b w:val="1"/>
          <w:bCs w:val="1"/>
          <w:color w:val="auto"/>
        </w:rPr>
        <w:t xml:space="preserve">9.3.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Except as may be set forth in the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pacing w:after="0" w:line="163"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u w:val="single" w:color="auto"/>
          <w:color w:val="auto"/>
        </w:rPr>
        <w:t>Dividend Equivalent Payments</w:t>
      </w:r>
      <w:r>
        <w:rPr>
          <w:rFonts w:ascii="Arial" w:cs="Arial" w:eastAsia="Arial" w:hAnsi="Arial"/>
          <w:sz w:val="18"/>
          <w:szCs w:val="18"/>
          <w:color w:val="auto"/>
        </w:rPr>
        <w:t>. The Committee may permit Participants holding RSUs to receive dividend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on outstanding RSUs if and when dividends are paid to stockholders on Shares. In the discretion of the Committee, such dividend</w:t>
      </w:r>
    </w:p>
    <w:p>
      <w:pPr>
        <w:spacing w:after="0" w:line="223" w:lineRule="auto"/>
        <w:rPr>
          <w:sz w:val="20"/>
          <w:szCs w:val="20"/>
          <w:color w:val="auto"/>
        </w:rPr>
      </w:pPr>
      <w:r>
        <w:rPr>
          <w:rFonts w:ascii="Arial" w:cs="Arial" w:eastAsia="Arial" w:hAnsi="Arial"/>
          <w:sz w:val="19"/>
          <w:szCs w:val="19"/>
          <w:color w:val="auto"/>
        </w:rPr>
        <w:t>equivalent payments may be paid in cash or Shares and they may be either paid at the same time as dividend payments are made to</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stockholders or delayed until Shares are issued pursuant to the RSU grants and may be subject to the same vesting or performance requirements as the RSUs. If the Committee permits dividend equivalent payments to be made on RSUs, the terms and conditions for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dividend equivalent payments will be set forth in the RSU Agreement.</w:t>
      </w:r>
    </w:p>
    <w:p>
      <w:pPr>
        <w:spacing w:after="0" w:line="167" w:lineRule="exact"/>
        <w:rPr>
          <w:sz w:val="20"/>
          <w:szCs w:val="20"/>
          <w:color w:val="auto"/>
        </w:rPr>
      </w:pPr>
    </w:p>
    <w:p>
      <w:pPr>
        <w:jc w:val="both"/>
        <w:ind w:right="20" w:firstLine="8"/>
        <w:spacing w:after="0" w:line="233" w:lineRule="auto"/>
        <w:tabs>
          <w:tab w:leader="none" w:pos="648"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PERFORMANCE AWARDS</w:t>
      </w:r>
      <w:r>
        <w:rPr>
          <w:rFonts w:ascii="Arial" w:cs="Arial" w:eastAsia="Arial" w:hAnsi="Arial"/>
          <w:sz w:val="19"/>
          <w:szCs w:val="19"/>
          <w:color w:val="auto"/>
        </w:rPr>
        <w:t>. A Performance Award is an award to an eligible Employee that is based upon the attainment of</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spacing w:after="0" w:line="151" w:lineRule="exact"/>
        <w:rPr>
          <w:sz w:val="20"/>
          <w:szCs w:val="20"/>
          <w:color w:val="auto"/>
        </w:rPr>
      </w:pPr>
    </w:p>
    <w:p>
      <w:pPr>
        <w:ind w:right="20" w:firstLine="648"/>
        <w:spacing w:after="0" w:line="239" w:lineRule="auto"/>
        <w:rPr>
          <w:sz w:val="20"/>
          <w:szCs w:val="20"/>
          <w:color w:val="auto"/>
        </w:rPr>
      </w:pPr>
      <w:r>
        <w:rPr>
          <w:rFonts w:ascii="Arial" w:cs="Arial" w:eastAsia="Arial" w:hAnsi="Arial"/>
          <w:sz w:val="20"/>
          <w:szCs w:val="20"/>
          <w:b w:val="1"/>
          <w:bCs w:val="1"/>
          <w:color w:val="auto"/>
        </w:rPr>
        <w:t xml:space="preserve">10.1. </w:t>
      </w:r>
      <w:r>
        <w:rPr>
          <w:rFonts w:ascii="Arial" w:cs="Arial" w:eastAsia="Arial" w:hAnsi="Arial"/>
          <w:sz w:val="20"/>
          <w:szCs w:val="20"/>
          <w:u w:val="single" w:color="auto"/>
          <w:color w:val="auto"/>
        </w:rPr>
        <w:t>Types of Performance Awards</w:t>
      </w:r>
      <w:r>
        <w:rPr>
          <w:rFonts w:ascii="Arial" w:cs="Arial" w:eastAsia="Arial" w:hAnsi="Arial"/>
          <w:sz w:val="20"/>
          <w:szCs w:val="20"/>
          <w:color w:val="auto"/>
        </w:rPr>
        <w:t>. Performance Awards shall include Performance Shares, Performance Units and cash- based</w:t>
      </w:r>
      <w:r>
        <w:rPr>
          <w:rFonts w:ascii="Arial" w:cs="Arial" w:eastAsia="Arial" w:hAnsi="Arial"/>
          <w:sz w:val="20"/>
          <w:szCs w:val="20"/>
          <w:b w:val="1"/>
          <w:bCs w:val="1"/>
          <w:color w:val="auto"/>
        </w:rPr>
        <w:t xml:space="preserve"> </w:t>
      </w:r>
      <w:r>
        <w:rPr>
          <w:rFonts w:ascii="Arial" w:cs="Arial" w:eastAsia="Arial" w:hAnsi="Arial"/>
          <w:sz w:val="20"/>
          <w:szCs w:val="20"/>
          <w:color w:val="auto"/>
        </w:rPr>
        <w:t>Awards as set forth in Sections 10.1(a), 10.1(b) and 10.1(c) below.</w:t>
      </w:r>
    </w:p>
    <w:p>
      <w:pPr>
        <w:spacing w:after="0" w:line="169" w:lineRule="exact"/>
        <w:rPr>
          <w:sz w:val="20"/>
          <w:szCs w:val="20"/>
          <w:color w:val="auto"/>
        </w:rPr>
      </w:pPr>
    </w:p>
    <w:p>
      <w:pPr>
        <w:ind w:right="20" w:firstLine="656"/>
        <w:spacing w:after="0" w:line="333" w:lineRule="auto"/>
        <w:tabs>
          <w:tab w:leader="none" w:pos="129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Performance Shares</w:t>
      </w:r>
      <w:r>
        <w:rPr>
          <w:rFonts w:ascii="Arial" w:cs="Arial" w:eastAsia="Arial" w:hAnsi="Arial"/>
          <w:sz w:val="16"/>
          <w:szCs w:val="16"/>
          <w:color w:val="auto"/>
        </w:rPr>
        <w:t>. The Committee may grant Awards of Performance Shares, designate the Participants to whom Performance Shares are to be awarded and determine the number of Performance Shares and the terms and conditions of each such Award.</w:t>
      </w:r>
    </w:p>
    <w:p>
      <w:pPr>
        <w:spacing w:after="0" w:line="96" w:lineRule="exact"/>
        <w:rPr>
          <w:rFonts w:ascii="Arial" w:cs="Arial" w:eastAsia="Arial" w:hAnsi="Arial"/>
          <w:sz w:val="16"/>
          <w:szCs w:val="16"/>
          <w:color w:val="auto"/>
        </w:rPr>
      </w:pPr>
    </w:p>
    <w:p>
      <w:pPr>
        <w:ind w:right="20" w:firstLine="656"/>
        <w:spacing w:after="0" w:line="285"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 The Committee may grant Awards of Performance Units, designate the Participants to whom Performance Units are to be awarded and determine the number of Performance Units and the terms and conditions of each such Award.</w:t>
      </w:r>
    </w:p>
    <w:p>
      <w:pPr>
        <w:spacing w:after="0" w:line="115" w:lineRule="exact"/>
        <w:rPr>
          <w:rFonts w:ascii="Arial" w:cs="Arial" w:eastAsia="Arial" w:hAnsi="Arial"/>
          <w:sz w:val="18"/>
          <w:szCs w:val="18"/>
          <w:color w:val="auto"/>
        </w:rPr>
      </w:pPr>
    </w:p>
    <w:p>
      <w:pPr>
        <w:ind w:right="20" w:firstLine="656"/>
        <w:spacing w:after="0" w:line="236" w:lineRule="auto"/>
        <w:tabs>
          <w:tab w:leader="none" w:pos="1296"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Cash-Settled Performance Awards</w:t>
      </w:r>
      <w:r>
        <w:rPr>
          <w:rFonts w:ascii="Arial" w:cs="Arial" w:eastAsia="Arial" w:hAnsi="Arial"/>
          <w:sz w:val="20"/>
          <w:szCs w:val="20"/>
          <w:color w:val="auto"/>
        </w:rPr>
        <w:t>. The Committee may also grant cash-settled Performance Awards to Participants under the terms of this Plan.</w:t>
      </w:r>
    </w:p>
    <w:p>
      <w:pPr>
        <w:spacing w:after="0" w:line="16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amount to be paid under any Performance Award may be adjusted on the basis of such further consideration as the Committee shall determine in its sole discretion.</w:t>
      </w:r>
    </w:p>
    <w:p>
      <w:pPr>
        <w:sectPr>
          <w:pgSz w:w="11900" w:h="16838" w:orient="portrait"/>
          <w:cols w:equalWidth="0" w:num="1">
            <w:col w:w="11240"/>
          </w:cols>
          <w:pgMar w:left="320" w:top="104"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9"/>
          <w:szCs w:val="19"/>
          <w:u w:val="single" w:color="auto"/>
          <w:color w:val="auto"/>
        </w:rPr>
        <w:t>Terms of Performance Awards</w:t>
      </w:r>
      <w:r>
        <w:rPr>
          <w:rFonts w:ascii="Arial" w:cs="Arial" w:eastAsia="Arial" w:hAnsi="Arial"/>
          <w:sz w:val="19"/>
          <w:szCs w:val="19"/>
          <w:color w:val="auto"/>
        </w:rPr>
        <w:t>. Performance Awards will be based on the attainment of performance goals using the</w:t>
      </w:r>
    </w:p>
    <w:p>
      <w:pPr>
        <w:ind w:right="20"/>
        <w:spacing w:after="0" w:line="226" w:lineRule="auto"/>
        <w:rPr>
          <w:sz w:val="20"/>
          <w:szCs w:val="20"/>
          <w:color w:val="auto"/>
        </w:rPr>
      </w:pPr>
      <w:r>
        <w:rPr>
          <w:rFonts w:ascii="Arial" w:cs="Arial" w:eastAsia="Arial" w:hAnsi="Arial"/>
          <w:sz w:val="18"/>
          <w:szCs w:val="18"/>
          <w:color w:val="auto"/>
        </w:rPr>
        <w:t>Performance Factors within this Plan that are established by the Committee for the relevant Performance Period. The Committee will determine, and each Award Agreement shall set forth, the terms of each Performance Award including, without limitation: (a) the amount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any cash bonus, (b) the number of Shares deemed subject to an award of Performance Shares; (c) the Performance Factors and Performance</w:t>
      </w:r>
    </w:p>
    <w:p>
      <w:pPr>
        <w:spacing w:after="0" w:line="19" w:lineRule="exact"/>
        <w:rPr>
          <w:sz w:val="20"/>
          <w:szCs w:val="20"/>
          <w:color w:val="auto"/>
        </w:rPr>
      </w:pPr>
    </w:p>
    <w:p>
      <w:pPr>
        <w:ind w:right="20"/>
        <w:spacing w:after="0" w:line="215" w:lineRule="auto"/>
        <w:rPr>
          <w:sz w:val="20"/>
          <w:szCs w:val="20"/>
          <w:color w:val="auto"/>
        </w:rPr>
      </w:pPr>
      <w:r>
        <w:rPr>
          <w:rFonts w:ascii="Arial" w:cs="Arial" w:eastAsia="Arial" w:hAnsi="Arial"/>
          <w:sz w:val="19"/>
          <w:szCs w:val="19"/>
          <w:color w:val="auto"/>
        </w:rPr>
        <w:t>Period that shall determine the time and extent to which each award of Performance Shares shall be settled; (d) the consideration to be distributed on settlement, and (e) the effect of the Participant’s termination of Service on each Performance Award. In establishing</w:t>
      </w:r>
    </w:p>
    <w:p>
      <w:pPr>
        <w:spacing w:after="0" w:line="234" w:lineRule="auto"/>
        <w:rPr>
          <w:sz w:val="20"/>
          <w:szCs w:val="20"/>
          <w:color w:val="auto"/>
        </w:rPr>
      </w:pPr>
      <w:r>
        <w:rPr>
          <w:rFonts w:ascii="Arial" w:cs="Arial" w:eastAsia="Arial" w:hAnsi="Arial"/>
          <w:sz w:val="18"/>
          <w:szCs w:val="18"/>
          <w:color w:val="auto"/>
        </w:rPr>
        <w:t>Performance Factors and the Performance Period the Committee will: (i) determine the nature, length and starting date of any Performance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Period; (ii) select from among the Performance Factors to be used; and (z) determine the number of Shares deemed subject to the award of Performance Shares. Each Performance Share will have an initial value equal to the Fair Market Value of a Share on the date of grant. Prior</w:t>
      </w:r>
    </w:p>
    <w:p>
      <w:pPr>
        <w:spacing w:after="0" w:line="236" w:lineRule="auto"/>
        <w:rPr>
          <w:sz w:val="20"/>
          <w:szCs w:val="20"/>
          <w:color w:val="auto"/>
        </w:rPr>
      </w:pPr>
      <w:r>
        <w:rPr>
          <w:rFonts w:ascii="Arial" w:cs="Arial" w:eastAsia="Arial" w:hAnsi="Arial"/>
          <w:sz w:val="18"/>
          <w:szCs w:val="18"/>
          <w:color w:val="auto"/>
        </w:rPr>
        <w:t>to settlement the Committee shall determine the extent to which Performance Awards have been earned. Performance Periods may overlap</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and Participants may participate simultaneously with respect to Performance Awards that are subject to different Performance Periods and different performance goals and other criteria.</w:t>
      </w:r>
    </w:p>
    <w:p>
      <w:pPr>
        <w:spacing w:after="0" w:line="164" w:lineRule="exact"/>
        <w:rPr>
          <w:sz w:val="20"/>
          <w:szCs w:val="20"/>
          <w:color w:val="auto"/>
        </w:rPr>
      </w:pPr>
    </w:p>
    <w:p>
      <w:pPr>
        <w:ind w:right="20" w:firstLine="648"/>
        <w:spacing w:after="0" w:line="239" w:lineRule="auto"/>
        <w:rPr>
          <w:sz w:val="20"/>
          <w:szCs w:val="20"/>
          <w:color w:val="auto"/>
        </w:rPr>
      </w:pPr>
      <w:r>
        <w:rPr>
          <w:rFonts w:ascii="Arial" w:cs="Arial" w:eastAsia="Arial" w:hAnsi="Arial"/>
          <w:sz w:val="20"/>
          <w:szCs w:val="20"/>
          <w:b w:val="1"/>
          <w:bCs w:val="1"/>
          <w:color w:val="auto"/>
        </w:rPr>
        <w:t xml:space="preserve">10.3.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Except as may be set forth in the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pacing w:after="0" w:line="149" w:lineRule="exact"/>
        <w:rPr>
          <w:sz w:val="20"/>
          <w:szCs w:val="20"/>
          <w:color w:val="auto"/>
        </w:rPr>
      </w:pPr>
    </w:p>
    <w:p>
      <w:pPr>
        <w:jc w:val="both"/>
        <w:ind w:right="20" w:firstLine="8"/>
        <w:spacing w:after="0" w:line="230" w:lineRule="auto"/>
        <w:tabs>
          <w:tab w:leader="none" w:pos="637"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PAYMENT FOR SHARE PURCHASES</w:t>
      </w:r>
      <w:r>
        <w:rPr>
          <w:rFonts w:ascii="Arial" w:cs="Arial" w:eastAsia="Arial" w:hAnsi="Arial"/>
          <w:sz w:val="20"/>
          <w:szCs w:val="20"/>
          <w:color w:val="auto"/>
        </w:rPr>
        <w:t>. Payment from a Participant for Shares acquired pursuant to this Plan may be made in</w:t>
      </w:r>
      <w:r>
        <w:rPr>
          <w:rFonts w:ascii="Arial" w:cs="Arial" w:eastAsia="Arial" w:hAnsi="Arial"/>
          <w:sz w:val="20"/>
          <w:szCs w:val="20"/>
          <w:b w:val="1"/>
          <w:bCs w:val="1"/>
          <w:color w:val="auto"/>
        </w:rPr>
        <w:t xml:space="preserve"> </w:t>
      </w:r>
      <w:r>
        <w:rPr>
          <w:rFonts w:ascii="Arial" w:cs="Arial" w:eastAsia="Arial" w:hAnsi="Arial"/>
          <w:sz w:val="20"/>
          <w:szCs w:val="20"/>
          <w:color w:val="auto"/>
        </w:rPr>
        <w:t>cash or cash equivalents or, where expressly approved for the Participant by the Committee and where permitted by law (and to the extent not otherwise set forth in the applicable Award Agreement):</w:t>
      </w:r>
    </w:p>
    <w:p>
      <w:pPr>
        <w:spacing w:after="0" w:line="154" w:lineRule="exact"/>
        <w:rPr>
          <w:rFonts w:ascii="Arial" w:cs="Arial" w:eastAsia="Arial" w:hAnsi="Arial"/>
          <w:sz w:val="20"/>
          <w:szCs w:val="20"/>
          <w:b w:val="1"/>
          <w:bCs w:val="1"/>
          <w:color w:val="auto"/>
        </w:rPr>
      </w:pPr>
    </w:p>
    <w:p>
      <w:pPr>
        <w:ind w:left="1300" w:hanging="644"/>
        <w:spacing w:after="0"/>
        <w:tabs>
          <w:tab w:leader="none" w:pos="13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by cancellation of indebtedness of the Company owed to the Participant;</w:t>
      </w:r>
    </w:p>
    <w:p>
      <w:pPr>
        <w:spacing w:after="0" w:line="188" w:lineRule="exact"/>
        <w:rPr>
          <w:rFonts w:ascii="Arial" w:cs="Arial" w:eastAsia="Arial" w:hAnsi="Arial"/>
          <w:sz w:val="20"/>
          <w:szCs w:val="20"/>
          <w:color w:val="auto"/>
        </w:rPr>
      </w:pPr>
    </w:p>
    <w:p>
      <w:pPr>
        <w:jc w:val="both"/>
        <w:ind w:right="20" w:firstLine="656"/>
        <w:spacing w:after="0" w:line="223" w:lineRule="auto"/>
        <w:tabs>
          <w:tab w:leader="none" w:pos="1296" w:val="left"/>
        </w:tabs>
        <w:numPr>
          <w:ilvl w:val="1"/>
          <w:numId w:val="15"/>
        </w:numPr>
        <w:rPr>
          <w:rFonts w:ascii="Arial" w:cs="Arial" w:eastAsia="Arial" w:hAnsi="Arial"/>
          <w:sz w:val="20"/>
          <w:szCs w:val="20"/>
          <w:color w:val="auto"/>
        </w:rPr>
      </w:pPr>
      <w:r>
        <w:rPr>
          <w:rFonts w:ascii="Arial" w:cs="Arial" w:eastAsia="Arial" w:hAnsi="Arial"/>
          <w:sz w:val="20"/>
          <w:szCs w:val="20"/>
          <w:color w:val="auto"/>
        </w:rPr>
        <w:t>by surrender of shares of the Company’s common stock held by the Participant that are clear of all liens, claims, encumbrances or security interests that have a Fair Market Value on the date of surrender equal to the aggregate Exercise Price of the Shares as to which the Award will be exercised or settled;</w:t>
      </w:r>
    </w:p>
    <w:p>
      <w:pPr>
        <w:spacing w:after="0" w:line="168" w:lineRule="exact"/>
        <w:rPr>
          <w:rFonts w:ascii="Arial" w:cs="Arial" w:eastAsia="Arial" w:hAnsi="Arial"/>
          <w:sz w:val="20"/>
          <w:szCs w:val="20"/>
          <w:color w:val="auto"/>
        </w:rPr>
      </w:pPr>
    </w:p>
    <w:p>
      <w:pPr>
        <w:ind w:right="20" w:firstLine="656"/>
        <w:spacing w:after="0" w:line="229" w:lineRule="auto"/>
        <w:tabs>
          <w:tab w:leader="none" w:pos="1296" w:val="left"/>
        </w:tabs>
        <w:numPr>
          <w:ilvl w:val="1"/>
          <w:numId w:val="15"/>
        </w:numPr>
        <w:rPr>
          <w:rFonts w:ascii="Arial" w:cs="Arial" w:eastAsia="Arial" w:hAnsi="Arial"/>
          <w:sz w:val="20"/>
          <w:szCs w:val="20"/>
          <w:color w:val="auto"/>
        </w:rPr>
      </w:pPr>
      <w:r>
        <w:rPr>
          <w:rFonts w:ascii="Arial" w:cs="Arial" w:eastAsia="Arial" w:hAnsi="Arial"/>
          <w:sz w:val="20"/>
          <w:szCs w:val="20"/>
          <w:color w:val="auto"/>
        </w:rPr>
        <w:t>by waiver of compensation due or accrued to the Participant for services rendered or to be rendered to the Company or a Parent, Subsidiary or Affiliate;</w:t>
      </w:r>
    </w:p>
    <w:p>
      <w:pPr>
        <w:spacing w:after="0" w:line="168" w:lineRule="exact"/>
        <w:rPr>
          <w:rFonts w:ascii="Arial" w:cs="Arial" w:eastAsia="Arial" w:hAnsi="Arial"/>
          <w:sz w:val="20"/>
          <w:szCs w:val="20"/>
          <w:color w:val="auto"/>
        </w:rPr>
      </w:pPr>
    </w:p>
    <w:p>
      <w:pPr>
        <w:ind w:right="20" w:firstLine="656"/>
        <w:spacing w:after="0" w:line="236" w:lineRule="auto"/>
        <w:tabs>
          <w:tab w:leader="none" w:pos="1296" w:val="left"/>
        </w:tabs>
        <w:numPr>
          <w:ilvl w:val="1"/>
          <w:numId w:val="15"/>
        </w:numPr>
        <w:rPr>
          <w:rFonts w:ascii="Arial" w:cs="Arial" w:eastAsia="Arial" w:hAnsi="Arial"/>
          <w:sz w:val="20"/>
          <w:szCs w:val="20"/>
          <w:color w:val="auto"/>
        </w:rPr>
      </w:pPr>
      <w:r>
        <w:rPr>
          <w:rFonts w:ascii="Arial" w:cs="Arial" w:eastAsia="Arial" w:hAnsi="Arial"/>
          <w:sz w:val="20"/>
          <w:szCs w:val="20"/>
          <w:color w:val="auto"/>
        </w:rPr>
        <w:t>by consideration received by the Company pursuant to a broker-assisted or other form of cashless exercise program implemented by the Company in connection with the Plan;</w:t>
      </w:r>
    </w:p>
    <w:p>
      <w:pPr>
        <w:spacing w:after="0" w:line="155" w:lineRule="exact"/>
        <w:rPr>
          <w:rFonts w:ascii="Arial" w:cs="Arial" w:eastAsia="Arial" w:hAnsi="Arial"/>
          <w:sz w:val="20"/>
          <w:szCs w:val="20"/>
          <w:color w:val="auto"/>
        </w:rPr>
      </w:pPr>
    </w:p>
    <w:p>
      <w:pPr>
        <w:ind w:left="1300" w:hanging="644"/>
        <w:spacing w:after="0"/>
        <w:tabs>
          <w:tab w:leader="none" w:pos="13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by any combination of the foregoing; or</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by any other method of payment as is permitted by applicable law.</w:t>
      </w:r>
    </w:p>
    <w:p>
      <w:pPr>
        <w:spacing w:after="0" w:line="18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Committee may limit the availability of any method of payment, to the extent the Committee determines, in its discretion, that such limitation is necessary or advisable to comply with applicable law or facilitate the administration of the Plan.</w:t>
      </w:r>
    </w:p>
    <w:p>
      <w:pPr>
        <w:spacing w:after="0" w:line="16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WITHHOLDING TAXES</w:t>
      </w:r>
      <w:r>
        <w:rPr>
          <w:rFonts w:ascii="Arial" w:cs="Arial" w:eastAsia="Arial" w:hAnsi="Arial"/>
          <w:sz w:val="20"/>
          <w:szCs w:val="20"/>
          <w:color w:val="auto"/>
        </w:rPr>
        <w:t>.</w:t>
      </w:r>
    </w:p>
    <w:p>
      <w:pPr>
        <w:spacing w:after="0" w:line="18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u w:val="single" w:color="auto"/>
          <w:color w:val="auto"/>
        </w:rPr>
        <w:t>Withholding Generally</w:t>
      </w:r>
      <w:r>
        <w:rPr>
          <w:rFonts w:ascii="Arial" w:cs="Arial" w:eastAsia="Arial" w:hAnsi="Arial"/>
          <w:sz w:val="18"/>
          <w:szCs w:val="18"/>
          <w:color w:val="auto"/>
        </w:rPr>
        <w:t>. Prior to any relevant taxable or tax withholding events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Awards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Company or the Parent, Subsidiary, or Affiliate, as applicable, employing the Participant, may require the Participant to pay or</w:t>
      </w:r>
    </w:p>
    <w:p>
      <w:pPr>
        <w:spacing w:after="0" w:line="236" w:lineRule="auto"/>
        <w:rPr>
          <w:sz w:val="20"/>
          <w:szCs w:val="20"/>
          <w:color w:val="auto"/>
        </w:rPr>
      </w:pPr>
      <w:r>
        <w:rPr>
          <w:rFonts w:ascii="Arial" w:cs="Arial" w:eastAsia="Arial" w:hAnsi="Arial"/>
          <w:sz w:val="18"/>
          <w:szCs w:val="18"/>
          <w:color w:val="auto"/>
        </w:rPr>
        <w:t>make adequate arrangements satisfactory to the Company with respect to any or all applicable U.S. federal, state, local, and international</w:t>
      </w:r>
    </w:p>
    <w:p>
      <w:pPr>
        <w:ind w:right="20"/>
        <w:spacing w:after="0" w:line="226" w:lineRule="auto"/>
        <w:rPr>
          <w:sz w:val="20"/>
          <w:szCs w:val="20"/>
          <w:color w:val="auto"/>
        </w:rPr>
      </w:pPr>
      <w:r>
        <w:rPr>
          <w:rFonts w:ascii="Arial" w:cs="Arial" w:eastAsia="Arial" w:hAnsi="Arial"/>
          <w:sz w:val="18"/>
          <w:szCs w:val="18"/>
          <w:color w:val="auto"/>
        </w:rPr>
        <w:t>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8"/>
          <w:szCs w:val="18"/>
          <w:b w:val="1"/>
          <w:bCs w:val="1"/>
          <w:i w:val="1"/>
          <w:iCs w:val="1"/>
          <w:color w:val="auto"/>
        </w:rPr>
        <w:t>Tax-Related Obligations</w:t>
      </w:r>
      <w:r>
        <w:rPr>
          <w:rFonts w:ascii="Arial" w:cs="Arial" w:eastAsia="Arial" w:hAnsi="Arial"/>
          <w:sz w:val="18"/>
          <w:szCs w:val="18"/>
          <w:color w:val="auto"/>
        </w:rPr>
        <w:t>”) prior to the delivery of Shares</w:t>
      </w:r>
    </w:p>
    <w:p>
      <w:pPr>
        <w:spacing w:after="0" w:line="236" w:lineRule="auto"/>
        <w:rPr>
          <w:sz w:val="20"/>
          <w:szCs w:val="20"/>
          <w:color w:val="auto"/>
        </w:rPr>
      </w:pPr>
      <w:r>
        <w:rPr>
          <w:rFonts w:ascii="Arial" w:cs="Arial" w:eastAsia="Arial" w:hAnsi="Arial"/>
          <w:sz w:val="18"/>
          <w:szCs w:val="18"/>
          <w:color w:val="auto"/>
        </w:rPr>
        <w:t>pursuant to exercise or settlement of any Award. Whenever payments in satisfaction of Awards granted under this Plan are to be made in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cash, such payment will be net of an amount sufficient to satisfy applicable withholding obligations for Tax- Related Obligations. Unless otherwise determined by the Committee, the Fair Market Value of the Shares will be determined as of the date that the taxes are required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be withheld.</w:t>
      </w:r>
    </w:p>
    <w:p>
      <w:pPr>
        <w:sectPr>
          <w:pgSz w:w="11900" w:h="16838" w:orient="portrait"/>
          <w:cols w:equalWidth="0" w:num="1">
            <w:col w:w="11240"/>
          </w:cols>
          <w:pgMar w:left="320" w:top="104"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9"/>
          <w:szCs w:val="19"/>
          <w:u w:val="single" w:color="auto"/>
          <w:color w:val="auto"/>
        </w:rPr>
        <w:t>Stock Withholding</w:t>
      </w:r>
      <w:r>
        <w:rPr>
          <w:rFonts w:ascii="Arial" w:cs="Arial" w:eastAsia="Arial" w:hAnsi="Arial"/>
          <w:sz w:val="19"/>
          <w:szCs w:val="19"/>
          <w:color w:val="auto"/>
        </w:rPr>
        <w:t>. The Committee, or its delegate(s), as permitted by applicable law, may, in its sole discretion and</w:t>
      </w:r>
    </w:p>
    <w:p>
      <w:pPr>
        <w:ind w:right="20"/>
        <w:spacing w:after="0" w:line="226" w:lineRule="auto"/>
        <w:rPr>
          <w:sz w:val="20"/>
          <w:szCs w:val="20"/>
          <w:color w:val="auto"/>
        </w:rPr>
      </w:pPr>
      <w:r>
        <w:rPr>
          <w:rFonts w:ascii="Arial" w:cs="Arial" w:eastAsia="Arial" w:hAnsi="Arial"/>
          <w:sz w:val="18"/>
          <w:szCs w:val="18"/>
          <w:color w:val="auto"/>
        </w:rPr>
        <w:t>pursuant to such procedures as it may specify from time to time, require or permit a Participant to satisfy withholding obligations for such Tax-Related Obligations, in whole or in part by (without limitation) (a) paying cash, (b) having the Company withhold otherwise deliverable</w:t>
      </w:r>
    </w:p>
    <w:p>
      <w:pPr>
        <w:spacing w:after="0" w:line="236" w:lineRule="auto"/>
        <w:rPr>
          <w:sz w:val="20"/>
          <w:szCs w:val="20"/>
          <w:color w:val="auto"/>
        </w:rPr>
      </w:pPr>
      <w:r>
        <w:rPr>
          <w:rFonts w:ascii="Arial" w:cs="Arial" w:eastAsia="Arial" w:hAnsi="Arial"/>
          <w:sz w:val="18"/>
          <w:szCs w:val="18"/>
          <w:color w:val="auto"/>
        </w:rPr>
        <w:t>cash or Shares having a Fair Market Value equal to the Tax-Related Obligations to be withheld, (c) delivering to the Company already-owned</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 xml:space="preserve">Shares having a Fair Market Value equal to the Tax-Related Obligations to be withheld, or (d) withholding from proceeds of the sale of Shares issued pursuant to an Award either through a voluntary sale or through a mandatory sale arranged by the Company,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in</w:t>
      </w:r>
    </w:p>
    <w:p>
      <w:pPr>
        <w:spacing w:after="0" w:line="236" w:lineRule="auto"/>
        <w:rPr>
          <w:sz w:val="20"/>
          <w:szCs w:val="20"/>
          <w:color w:val="auto"/>
        </w:rPr>
      </w:pPr>
      <w:r>
        <w:rPr>
          <w:rFonts w:ascii="Arial" w:cs="Arial" w:eastAsia="Arial" w:hAnsi="Arial"/>
          <w:sz w:val="18"/>
          <w:szCs w:val="18"/>
          <w:color w:val="auto"/>
        </w:rPr>
        <w:t>all instances, the satisfaction of the Tax-Related Obligations will not result in any adverse accounting consequence to the Company, as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Committee may determine in its sole discretion. The Company may withhold or account for these Tax-Related Obligations by considering applicable statutory withholding rates or other applicable withholding rates, including maximum rates for the applicable tax jurisdiction to</w:t>
      </w:r>
    </w:p>
    <w:p>
      <w:pPr>
        <w:spacing w:after="0" w:line="236" w:lineRule="auto"/>
        <w:rPr>
          <w:sz w:val="20"/>
          <w:szCs w:val="20"/>
          <w:color w:val="auto"/>
        </w:rPr>
      </w:pPr>
      <w:r>
        <w:rPr>
          <w:rFonts w:ascii="Arial" w:cs="Arial" w:eastAsia="Arial" w:hAnsi="Arial"/>
          <w:sz w:val="18"/>
          <w:szCs w:val="18"/>
          <w:color w:val="auto"/>
        </w:rPr>
        <w:t>the extent consistent with applicable laws. Unless otherwise determined by the Committee, the Fair Market Value of the Shares will be</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determined as of the date that the taxes are required to be withheld and such Shares shall be valued based on the value of the actual trade or, if there is none, the Fair Market Value of the Shares as of the previous trading day.</w:t>
      </w:r>
    </w:p>
    <w:p>
      <w:pPr>
        <w:spacing w:after="0" w:line="16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TRANSFERABILITY</w:t>
      </w:r>
      <w:r>
        <w:rPr>
          <w:rFonts w:ascii="Arial" w:cs="Arial" w:eastAsia="Arial" w:hAnsi="Arial"/>
          <w:sz w:val="20"/>
          <w:szCs w:val="20"/>
          <w:color w:val="auto"/>
        </w:rPr>
        <w:t>.</w:t>
      </w:r>
    </w:p>
    <w:p>
      <w:pPr>
        <w:spacing w:after="0" w:line="18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u w:val="single" w:color="auto"/>
          <w:color w:val="auto"/>
        </w:rPr>
        <w:t>Transfer Generally</w:t>
      </w:r>
      <w:r>
        <w:rPr>
          <w:rFonts w:ascii="Arial" w:cs="Arial" w:eastAsia="Arial" w:hAnsi="Arial"/>
          <w:sz w:val="18"/>
          <w:szCs w:val="18"/>
          <w:color w:val="auto"/>
        </w:rPr>
        <w:t>. Unless determined otherwise by the Committee or pursuant to Section 14.2, an Award may not be sold,</w:t>
      </w:r>
      <w:r>
        <w:rPr>
          <w:rFonts w:ascii="Arial" w:cs="Arial" w:eastAsia="Arial" w:hAnsi="Arial"/>
          <w:sz w:val="18"/>
          <w:szCs w:val="18"/>
          <w:b w:val="1"/>
          <w:bCs w:val="1"/>
          <w:color w:val="auto"/>
        </w:rPr>
        <w:t xml:space="preserve"> </w:t>
      </w:r>
      <w:r>
        <w:rPr>
          <w:rFonts w:ascii="Arial" w:cs="Arial" w:eastAsia="Arial" w:hAnsi="Arial"/>
          <w:sz w:val="18"/>
          <w:szCs w:val="18"/>
          <w:color w:val="auto"/>
        </w:rPr>
        <w:t>pledged, assigned, hypothecated, transferred, or disposed of in any manner other than by will or by the laws of descent or distribution. If the</w:t>
      </w:r>
    </w:p>
    <w:p>
      <w:pPr>
        <w:spacing w:after="0" w:line="236" w:lineRule="auto"/>
        <w:rPr>
          <w:sz w:val="20"/>
          <w:szCs w:val="20"/>
          <w:color w:val="auto"/>
        </w:rPr>
      </w:pPr>
      <w:r>
        <w:rPr>
          <w:rFonts w:ascii="Arial" w:cs="Arial" w:eastAsia="Arial" w:hAnsi="Arial"/>
          <w:sz w:val="18"/>
          <w:szCs w:val="18"/>
          <w:color w:val="auto"/>
        </w:rPr>
        <w:t>Committee makes an Award transferable, including, without limitation, by instrument to an inter vivos or testamentary trust in which the</w:t>
      </w:r>
    </w:p>
    <w:p>
      <w:pPr>
        <w:ind w:right="20"/>
        <w:spacing w:after="0" w:line="226" w:lineRule="auto"/>
        <w:rPr>
          <w:sz w:val="20"/>
          <w:szCs w:val="20"/>
          <w:color w:val="auto"/>
        </w:rPr>
      </w:pPr>
      <w:r>
        <w:rPr>
          <w:rFonts w:ascii="Arial" w:cs="Arial" w:eastAsia="Arial" w:hAnsi="Arial"/>
          <w:sz w:val="18"/>
          <w:szCs w:val="18"/>
          <w:color w:val="auto"/>
        </w:rPr>
        <w:t>Awards are to be passed to beneficiaries upon the death of the trustor (settlor) or by gift or by domestic relations order to a Permitted Transferee, such Award will contain such additional terms and conditions as the Committee deems appropriate and such transfer will be for</w:t>
      </w:r>
    </w:p>
    <w:p>
      <w:pPr>
        <w:spacing w:after="0" w:line="2"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auto"/>
        </w:rPr>
        <w:t>no consideration. All Awards shall be exercisable: (a) during the Participant’s lifetime only by (i) the Participant, or (ii) the Participant’s guardian or legal representative; and (b) after the Participant’s death, by the legal representative of the Participant’s heirs or legatees.</w:t>
      </w:r>
    </w:p>
    <w:p>
      <w:pPr>
        <w:spacing w:after="0" w:line="16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PRIVILEGES OF STOCK OWNERSHIP; RESTRICTIONS ON SHARES</w:t>
      </w:r>
      <w:r>
        <w:rPr>
          <w:rFonts w:ascii="Arial" w:cs="Arial" w:eastAsia="Arial" w:hAnsi="Arial"/>
          <w:sz w:val="20"/>
          <w:szCs w:val="20"/>
          <w:color w:val="auto"/>
        </w:rPr>
        <w:t>.</w:t>
      </w:r>
    </w:p>
    <w:p>
      <w:pPr>
        <w:spacing w:after="0" w:line="18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u w:val="single" w:color="auto"/>
          <w:color w:val="auto"/>
        </w:rPr>
        <w:t>Voting and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 No Participant will have any of the rights of a stockholder with respect to any Shares until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are issued to the Participant, except for any Dividend Equivalent Rights </w:t>
      </w:r>
      <w:r>
        <w:rPr>
          <w:rFonts w:ascii="Arial" w:cs="Arial" w:eastAsia="Arial" w:hAnsi="Arial"/>
          <w:sz w:val="18"/>
          <w:szCs w:val="18"/>
          <w:u w:val="single" w:color="auto"/>
          <w:color w:val="auto"/>
        </w:rPr>
        <w:t>permitted</w:t>
      </w:r>
      <w:r>
        <w:rPr>
          <w:rFonts w:ascii="Arial" w:cs="Arial" w:eastAsia="Arial" w:hAnsi="Arial"/>
          <w:sz w:val="18"/>
          <w:szCs w:val="18"/>
          <w:color w:val="auto"/>
        </w:rPr>
        <w:t xml:space="preserve"> by an applicable Award Agreement. Any Dividend</w:t>
      </w:r>
    </w:p>
    <w:p>
      <w:pPr>
        <w:spacing w:after="0" w:line="236" w:lineRule="auto"/>
        <w:rPr>
          <w:sz w:val="20"/>
          <w:szCs w:val="20"/>
          <w:color w:val="auto"/>
        </w:rPr>
      </w:pPr>
      <w:r>
        <w:rPr>
          <w:rFonts w:ascii="Arial" w:cs="Arial" w:eastAsia="Arial" w:hAnsi="Arial"/>
          <w:sz w:val="18"/>
          <w:szCs w:val="18"/>
          <w:color w:val="auto"/>
        </w:rPr>
        <w:t>Equivalent Rights will be subject to the same vesting or performance conditions as the underlying Award. In addition, the Committee may</w:t>
      </w:r>
    </w:p>
    <w:p>
      <w:pPr>
        <w:ind w:right="20"/>
        <w:spacing w:after="0" w:line="226" w:lineRule="auto"/>
        <w:rPr>
          <w:sz w:val="20"/>
          <w:szCs w:val="20"/>
          <w:color w:val="auto"/>
        </w:rPr>
      </w:pPr>
      <w:r>
        <w:rPr>
          <w:rFonts w:ascii="Arial" w:cs="Arial" w:eastAsia="Arial" w:hAnsi="Arial"/>
          <w:sz w:val="18"/>
          <w:szCs w:val="18"/>
          <w:color w:val="auto"/>
        </w:rPr>
        <w:t>provide that any Dividend Equivalent Rights permitted by an applicable Award Agreement shall be deemed to have been reinvested in additional Shares or otherwise reinvested. After Shares are issued to the Participant, the Participant will be a stockholder and have all the</w:t>
      </w:r>
    </w:p>
    <w:p>
      <w:pPr>
        <w:spacing w:after="0" w:line="236" w:lineRule="auto"/>
        <w:rPr>
          <w:sz w:val="20"/>
          <w:szCs w:val="20"/>
          <w:color w:val="auto"/>
        </w:rPr>
      </w:pPr>
      <w:r>
        <w:rPr>
          <w:rFonts w:ascii="Arial" w:cs="Arial" w:eastAsia="Arial" w:hAnsi="Arial"/>
          <w:sz w:val="18"/>
          <w:szCs w:val="18"/>
          <w:color w:val="auto"/>
        </w:rPr>
        <w:t>rights of a stockholder with respect to such Shares, including the right to vote and receive all dividends or other distributions made or paid</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with respect to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Shares are Restricted Stock, then any new, additional or different securities the Participant may become entitled to receive with respect to such Shares by virtue of a stock dividend, stock split or any other change in the corporate or</w:t>
      </w:r>
    </w:p>
    <w:p>
      <w:pPr>
        <w:spacing w:after="0" w:line="235" w:lineRule="auto"/>
        <w:rPr>
          <w:sz w:val="20"/>
          <w:szCs w:val="20"/>
          <w:color w:val="auto"/>
        </w:rPr>
      </w:pPr>
      <w:r>
        <w:rPr>
          <w:rFonts w:ascii="Arial" w:cs="Arial" w:eastAsia="Arial" w:hAnsi="Arial"/>
          <w:sz w:val="18"/>
          <w:szCs w:val="18"/>
          <w:color w:val="auto"/>
        </w:rPr>
        <w:t xml:space="preserve">capital structure of the Company will be subject to the same restrictions as the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Participant will</w:t>
      </w:r>
    </w:p>
    <w:p>
      <w:pPr>
        <w:ind w:right="20"/>
        <w:spacing w:after="0" w:line="255" w:lineRule="auto"/>
        <w:rPr>
          <w:sz w:val="20"/>
          <w:szCs w:val="20"/>
          <w:color w:val="auto"/>
        </w:rPr>
      </w:pPr>
      <w:r>
        <w:rPr>
          <w:rFonts w:ascii="Arial" w:cs="Arial" w:eastAsia="Arial" w:hAnsi="Arial"/>
          <w:sz w:val="16"/>
          <w:szCs w:val="16"/>
          <w:color w:val="auto"/>
        </w:rPr>
        <w:t>have no right to retain or receive such Dividend Equivalent Rights with respect to Unvested Shares, and any such dividends or stock distributions will be accrued and paid only at such time, if any, as such Unvested Shares become vested Shares. However, the Committee, in</w:t>
      </w:r>
    </w:p>
    <w:p>
      <w:pPr>
        <w:spacing w:after="0" w:line="235" w:lineRule="auto"/>
        <w:rPr>
          <w:sz w:val="20"/>
          <w:szCs w:val="20"/>
          <w:color w:val="auto"/>
        </w:rPr>
      </w:pPr>
      <w:r>
        <w:rPr>
          <w:rFonts w:ascii="Arial" w:cs="Arial" w:eastAsia="Arial" w:hAnsi="Arial"/>
          <w:sz w:val="18"/>
          <w:szCs w:val="18"/>
          <w:color w:val="auto"/>
        </w:rPr>
        <w:t>its discretion, may provide in the Award Agreement evidencing any Award that the Participant shall be entitled to Dividend Equivalent Rights</w:t>
      </w:r>
    </w:p>
    <w:p>
      <w:pPr>
        <w:ind w:right="20"/>
        <w:spacing w:after="0" w:line="226" w:lineRule="auto"/>
        <w:rPr>
          <w:sz w:val="20"/>
          <w:szCs w:val="20"/>
          <w:color w:val="auto"/>
        </w:rPr>
      </w:pPr>
      <w:r>
        <w:rPr>
          <w:rFonts w:ascii="Arial" w:cs="Arial" w:eastAsia="Arial" w:hAnsi="Arial"/>
          <w:sz w:val="18"/>
          <w:szCs w:val="18"/>
          <w:color w:val="auto"/>
        </w:rPr>
        <w:t>with respect to the payment of cash dividends on Shares underlying an Award during the period beginning on the date the Award is granted and ending, with respect to each Share subject to the Award, on the earlier of the date on which the Award is exercised or settled or the date</w:t>
      </w:r>
    </w:p>
    <w:p>
      <w:pPr>
        <w:spacing w:after="0" w:line="236" w:lineRule="auto"/>
        <w:rPr>
          <w:sz w:val="20"/>
          <w:szCs w:val="20"/>
          <w:color w:val="auto"/>
        </w:rPr>
      </w:pPr>
      <w:r>
        <w:rPr>
          <w:rFonts w:ascii="Arial" w:cs="Arial" w:eastAsia="Arial" w:hAnsi="Arial"/>
          <w:sz w:val="18"/>
          <w:szCs w:val="18"/>
          <w:color w:val="auto"/>
        </w:rPr>
        <w:t>on which it is forfeited provided, that no Dividend Equivalent Right will be paid with respect to Unvested Shares, and such dividends or</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stock distributions will be accrued and paid only at such time, if any, as such Unvested Shares become vested Shares. Such Dividend Equivalent Rights, if any, shall be credited to the Participant in the form of additional whole Shares as of the date of payment of such cash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dividends on Shares. Notwithstanding the foregoing, in no event shall Dividend Equivalent Rights be paid with respect to Options or SARs.</w:t>
      </w:r>
    </w:p>
    <w:p>
      <w:pPr>
        <w:spacing w:after="0" w:line="190"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u w:val="single" w:color="auto"/>
          <w:color w:val="auto"/>
        </w:rPr>
        <w:t>Restrictions 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At the discretion of the Committee, the Company may reserve to itself and/or its assignee(s) a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(a “</w:t>
      </w:r>
      <w:r>
        <w:rPr>
          <w:rFonts w:ascii="Arial" w:cs="Arial" w:eastAsia="Arial" w:hAnsi="Arial"/>
          <w:sz w:val="18"/>
          <w:szCs w:val="18"/>
          <w:b w:val="1"/>
          <w:bCs w:val="1"/>
          <w:i w:val="1"/>
          <w:iCs w:val="1"/>
          <w:color w:val="auto"/>
        </w:rPr>
        <w:t>Right of Repurchase</w:t>
      </w:r>
      <w:r>
        <w:rPr>
          <w:rFonts w:ascii="Arial" w:cs="Arial" w:eastAsia="Arial" w:hAnsi="Arial"/>
          <w:sz w:val="18"/>
          <w:szCs w:val="18"/>
          <w:color w:val="auto"/>
        </w:rPr>
        <w:t>”) a portion of any or all Unvested Shares held by a Participant following such Participant’s termination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Service at any time</w:t>
      </w:r>
    </w:p>
    <w:p>
      <w:pPr>
        <w:sectPr>
          <w:pgSz w:w="11900" w:h="16838" w:orient="portrait"/>
          <w:cols w:equalWidth="0" w:num="1">
            <w:col w:w="11240"/>
          </w:cols>
          <w:pgMar w:left="320" w:top="10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within ninety (90) days (or such longer or shorter time determined by the Committee) after the later of the date Participant’s Service</w:t>
      </w:r>
    </w:p>
    <w:p>
      <w:pPr>
        <w:ind w:right="20"/>
        <w:spacing w:after="0" w:line="220" w:lineRule="auto"/>
        <w:rPr>
          <w:sz w:val="20"/>
          <w:szCs w:val="20"/>
          <w:color w:val="auto"/>
        </w:rPr>
      </w:pPr>
      <w:r>
        <w:rPr>
          <w:rFonts w:ascii="Arial" w:cs="Arial" w:eastAsia="Arial" w:hAnsi="Arial"/>
          <w:sz w:val="20"/>
          <w:szCs w:val="20"/>
          <w:color w:val="auto"/>
        </w:rPr>
        <w:t>terminates and the date the Participant purchases Shares under this Plan, for cash and/or cancellation of purchase money indebtedness, at the Participant’s Purchase Price or Exercise Price, as the case may be.</w:t>
      </w:r>
    </w:p>
    <w:p>
      <w:pPr>
        <w:spacing w:after="0" w:line="164" w:lineRule="exact"/>
        <w:rPr>
          <w:sz w:val="20"/>
          <w:szCs w:val="20"/>
          <w:color w:val="auto"/>
        </w:rPr>
      </w:pPr>
    </w:p>
    <w:p>
      <w:pPr>
        <w:jc w:val="both"/>
        <w:ind w:right="20" w:firstLine="8"/>
        <w:spacing w:after="0" w:line="219" w:lineRule="auto"/>
        <w:tabs>
          <w:tab w:leader="none" w:pos="648"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CERTIFICATES</w:t>
      </w:r>
      <w:r>
        <w:rPr>
          <w:rFonts w:ascii="Arial" w:cs="Arial" w:eastAsia="Arial" w:hAnsi="Arial"/>
          <w:sz w:val="20"/>
          <w:szCs w:val="20"/>
          <w:color w:val="auto"/>
        </w:rPr>
        <w:t>. All Shares or other securities whether or not certificated, delivered under this Plan will be subject to such stock</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52" w:lineRule="exact"/>
        <w:rPr>
          <w:rFonts w:ascii="Arial" w:cs="Arial" w:eastAsia="Arial" w:hAnsi="Arial"/>
          <w:sz w:val="20"/>
          <w:szCs w:val="20"/>
          <w:b w:val="1"/>
          <w:bCs w:val="1"/>
          <w:color w:val="auto"/>
        </w:rPr>
      </w:pPr>
    </w:p>
    <w:p>
      <w:pPr>
        <w:jc w:val="both"/>
        <w:ind w:right="20" w:firstLine="8"/>
        <w:spacing w:after="0" w:line="222" w:lineRule="auto"/>
        <w:tabs>
          <w:tab w:leader="none" w:pos="648"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ESCROW; PLEDGE OF SHARES</w:t>
      </w:r>
      <w:r>
        <w:rPr>
          <w:rFonts w:ascii="Arial" w:cs="Arial" w:eastAsia="Arial" w:hAnsi="Arial"/>
          <w:sz w:val="19"/>
          <w:szCs w:val="19"/>
          <w:color w:val="auto"/>
        </w:rPr>
        <w:t>. To enforce any restrictions on a Participant’s Shares, the Committee may require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Participant to deposit all 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66" w:lineRule="exact"/>
        <w:rPr>
          <w:rFonts w:ascii="Arial" w:cs="Arial" w:eastAsia="Arial" w:hAnsi="Arial"/>
          <w:sz w:val="19"/>
          <w:szCs w:val="19"/>
          <w:b w:val="1"/>
          <w:bCs w:val="1"/>
          <w:color w:val="auto"/>
        </w:rPr>
      </w:pPr>
    </w:p>
    <w:p>
      <w:pPr>
        <w:jc w:val="both"/>
        <w:ind w:right="20" w:firstLine="8"/>
        <w:spacing w:after="0" w:line="231" w:lineRule="auto"/>
        <w:tabs>
          <w:tab w:leader="none" w:pos="648"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REPRICING; EXCHANGE AND BUYOUT OF AWARDS</w:t>
      </w:r>
      <w:r>
        <w:rPr>
          <w:rFonts w:ascii="Arial" w:cs="Arial" w:eastAsia="Arial" w:hAnsi="Arial"/>
          <w:sz w:val="19"/>
          <w:szCs w:val="19"/>
          <w:color w:val="auto"/>
        </w:rPr>
        <w:t>. Without prior stockholder approval, the Committee may (a) reprice</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or 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5.7 of the Plan), pay cash or issue new Awards in exchange for the surrender and cancellation of any, or all, outstanding Awards.</w:t>
      </w:r>
    </w:p>
    <w:p>
      <w:pPr>
        <w:spacing w:after="0" w:line="150" w:lineRule="exact"/>
        <w:rPr>
          <w:rFonts w:ascii="Arial" w:cs="Arial" w:eastAsia="Arial" w:hAnsi="Arial"/>
          <w:sz w:val="19"/>
          <w:szCs w:val="19"/>
          <w:b w:val="1"/>
          <w:bCs w:val="1"/>
          <w:color w:val="auto"/>
        </w:rPr>
      </w:pPr>
    </w:p>
    <w:p>
      <w:pPr>
        <w:jc w:val="both"/>
        <w:ind w:right="20" w:firstLine="8"/>
        <w:spacing w:after="0" w:line="223" w:lineRule="auto"/>
        <w:tabs>
          <w:tab w:leader="none" w:pos="648"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SECURITIES LAW AND OTHER REGULATORY COMPLIANCE</w:t>
      </w:r>
      <w:r>
        <w:rPr>
          <w:rFonts w:ascii="Arial" w:cs="Arial" w:eastAsia="Arial" w:hAnsi="Arial"/>
          <w:sz w:val="19"/>
          <w:szCs w:val="19"/>
          <w:color w:val="auto"/>
        </w:rPr>
        <w:t>. An Award will not be effective unless such Award is in</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spacing w:after="0" w:line="169" w:lineRule="exact"/>
        <w:rPr>
          <w:rFonts w:ascii="Arial" w:cs="Arial" w:eastAsia="Arial" w:hAnsi="Arial"/>
          <w:sz w:val="19"/>
          <w:szCs w:val="19"/>
          <w:b w:val="1"/>
          <w:bCs w:val="1"/>
          <w:color w:val="auto"/>
        </w:rPr>
      </w:pPr>
    </w:p>
    <w:p>
      <w:pPr>
        <w:jc w:val="both"/>
        <w:ind w:right="20" w:firstLine="8"/>
        <w:spacing w:after="0" w:line="221" w:lineRule="auto"/>
        <w:tabs>
          <w:tab w:leader="none" w:pos="648"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OBLIGATION TO EMPLOY</w:t>
      </w:r>
      <w:r>
        <w:rPr>
          <w:rFonts w:ascii="Arial" w:cs="Arial" w:eastAsia="Arial" w:hAnsi="Arial"/>
          <w:sz w:val="20"/>
          <w:szCs w:val="20"/>
          <w:color w:val="auto"/>
        </w:rPr>
        <w:t>. Nothing in this Plan or any Award granted under this Plan will confer or be deemed to confer</w:t>
      </w:r>
      <w:r>
        <w:rPr>
          <w:rFonts w:ascii="Arial" w:cs="Arial" w:eastAsia="Arial" w:hAnsi="Arial"/>
          <w:sz w:val="20"/>
          <w:szCs w:val="20"/>
          <w:b w:val="1"/>
          <w:bCs w:val="1"/>
          <w:color w:val="auto"/>
        </w:rPr>
        <w:t xml:space="preserve"> </w:t>
      </w:r>
      <w:r>
        <w:rPr>
          <w:rFonts w:ascii="Arial" w:cs="Arial" w:eastAsia="Arial" w:hAnsi="Arial"/>
          <w:sz w:val="20"/>
          <w:szCs w:val="20"/>
          <w:color w:val="auto"/>
        </w:rPr>
        <w:t>on any 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51" w:lineRule="exact"/>
        <w:rPr>
          <w:rFonts w:ascii="Arial" w:cs="Arial" w:eastAsia="Arial" w:hAnsi="Arial"/>
          <w:sz w:val="20"/>
          <w:szCs w:val="20"/>
          <w:b w:val="1"/>
          <w:bCs w:val="1"/>
          <w:color w:val="auto"/>
        </w:rPr>
      </w:pPr>
    </w:p>
    <w:p>
      <w:pPr>
        <w:ind w:left="660" w:hanging="652"/>
        <w:spacing w:after="0"/>
        <w:tabs>
          <w:tab w:leader="none" w:pos="66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CORPORATE TRANSACTIONS</w:t>
      </w:r>
      <w:r>
        <w:rPr>
          <w:rFonts w:ascii="Arial" w:cs="Arial" w:eastAsia="Arial" w:hAnsi="Arial"/>
          <w:sz w:val="20"/>
          <w:szCs w:val="20"/>
          <w:color w:val="auto"/>
        </w:rPr>
        <w:t>.</w:t>
      </w:r>
    </w:p>
    <w:p>
      <w:pPr>
        <w:spacing w:after="0" w:line="189" w:lineRule="exact"/>
        <w:rPr>
          <w:sz w:val="20"/>
          <w:szCs w:val="20"/>
          <w:color w:val="auto"/>
        </w:rPr>
      </w:pPr>
    </w:p>
    <w:p>
      <w:pPr>
        <w:ind w:right="20" w:firstLine="648"/>
        <w:spacing w:after="0" w:line="239" w:lineRule="auto"/>
        <w:rPr>
          <w:sz w:val="20"/>
          <w:szCs w:val="20"/>
          <w:color w:val="auto"/>
        </w:rPr>
      </w:pPr>
      <w:r>
        <w:rPr>
          <w:rFonts w:ascii="Arial" w:cs="Arial" w:eastAsia="Arial" w:hAnsi="Arial"/>
          <w:sz w:val="20"/>
          <w:szCs w:val="20"/>
          <w:b w:val="1"/>
          <w:bCs w:val="1"/>
          <w:color w:val="auto"/>
        </w:rPr>
        <w:t xml:space="preserve">20.1. </w:t>
      </w:r>
      <w:r>
        <w:rPr>
          <w:rFonts w:ascii="Arial" w:cs="Arial" w:eastAsia="Arial" w:hAnsi="Arial"/>
          <w:sz w:val="20"/>
          <w:szCs w:val="20"/>
          <w:u w:val="single" w:color="auto"/>
          <w:color w:val="auto"/>
        </w:rPr>
        <w:t>Assumption or Replacement of Awards by Successor</w:t>
      </w:r>
      <w:r>
        <w:rPr>
          <w:rFonts w:ascii="Arial" w:cs="Arial" w:eastAsia="Arial" w:hAnsi="Arial"/>
          <w:sz w:val="20"/>
          <w:szCs w:val="20"/>
          <w:color w:val="auto"/>
        </w:rPr>
        <w:t>. In the event that the Company is subject to a Corporate Transaction,</w:t>
      </w:r>
      <w:r>
        <w:rPr>
          <w:rFonts w:ascii="Arial" w:cs="Arial" w:eastAsia="Arial" w:hAnsi="Arial"/>
          <w:sz w:val="20"/>
          <w:szCs w:val="20"/>
          <w:b w:val="1"/>
          <w:bCs w:val="1"/>
          <w:color w:val="auto"/>
        </w:rPr>
        <w:t xml:space="preserve"> </w:t>
      </w:r>
      <w:r>
        <w:rPr>
          <w:rFonts w:ascii="Arial" w:cs="Arial" w:eastAsia="Arial" w:hAnsi="Arial"/>
          <w:sz w:val="20"/>
          <w:szCs w:val="20"/>
          <w:color w:val="auto"/>
        </w:rPr>
        <w:t>outstanding Awards acquired under the Plan shall be subject to</w:t>
      </w:r>
    </w:p>
    <w:p>
      <w:pPr>
        <w:sectPr>
          <w:pgSz w:w="11900" w:h="16838" w:orient="portrait"/>
          <w:cols w:equalWidth="0" w:num="1">
            <w:col w:w="11240"/>
          </w:cols>
          <w:pgMar w:left="320" w:top="104"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agreement evidencing the Corporate Transaction, which need not treat all outstanding Awards in an identical manner. Such agreement,</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without the Participant’s consent, shall provide for one or more of the following with respect to all outstanding Awards as of the effective date of such Corporate Transaction:</w:t>
      </w:r>
    </w:p>
    <w:p>
      <w:pPr>
        <w:spacing w:after="0" w:line="170"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continuation of an outstanding Award by the Company (if the Company is the successor entity).</w:t>
      </w:r>
    </w:p>
    <w:p>
      <w:pPr>
        <w:spacing w:after="0" w:line="188" w:lineRule="exact"/>
        <w:rPr>
          <w:rFonts w:ascii="Arial" w:cs="Arial" w:eastAsia="Arial" w:hAnsi="Arial"/>
          <w:sz w:val="20"/>
          <w:szCs w:val="20"/>
          <w:color w:val="auto"/>
        </w:rPr>
      </w:pPr>
    </w:p>
    <w:p>
      <w:pPr>
        <w:jc w:val="both"/>
        <w:ind w:right="20" w:firstLine="656"/>
        <w:spacing w:after="0" w:line="231" w:lineRule="auto"/>
        <w:tabs>
          <w:tab w:leader="none" w:pos="1296"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57" w:lineRule="exact"/>
        <w:rPr>
          <w:rFonts w:ascii="Arial" w:cs="Arial" w:eastAsia="Arial" w:hAnsi="Arial"/>
          <w:sz w:val="19"/>
          <w:szCs w:val="19"/>
          <w:color w:val="auto"/>
        </w:rPr>
      </w:pPr>
    </w:p>
    <w:p>
      <w:pPr>
        <w:jc w:val="both"/>
        <w:ind w:right="20" w:firstLine="656"/>
        <w:spacing w:after="0" w:line="231" w:lineRule="auto"/>
        <w:tabs>
          <w:tab w:leader="none" w:pos="1296"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71" w:lineRule="exact"/>
        <w:rPr>
          <w:rFonts w:ascii="Arial" w:cs="Arial" w:eastAsia="Arial" w:hAnsi="Arial"/>
          <w:sz w:val="19"/>
          <w:szCs w:val="19"/>
          <w:color w:val="auto"/>
        </w:rPr>
      </w:pPr>
    </w:p>
    <w:p>
      <w:pPr>
        <w:jc w:val="both"/>
        <w:ind w:right="20" w:firstLine="656"/>
        <w:spacing w:after="0" w:line="223" w:lineRule="auto"/>
        <w:tabs>
          <w:tab w:leader="none" w:pos="1296"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168" w:lineRule="exact"/>
        <w:rPr>
          <w:rFonts w:ascii="Arial" w:cs="Arial" w:eastAsia="Arial" w:hAnsi="Arial"/>
          <w:sz w:val="20"/>
          <w:szCs w:val="20"/>
          <w:color w:val="auto"/>
        </w:rPr>
      </w:pPr>
    </w:p>
    <w:p>
      <w:pPr>
        <w:jc w:val="both"/>
        <w:ind w:right="20" w:firstLine="656"/>
        <w:spacing w:after="0" w:line="223" w:lineRule="auto"/>
        <w:tabs>
          <w:tab w:leader="none" w:pos="1296"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20.1(e), the Fair Market Value of any security shall be determined without regard to any vesting conditions that may apply to such security.</w:t>
      </w:r>
    </w:p>
    <w:p>
      <w:pPr>
        <w:spacing w:after="0" w:line="171" w:lineRule="exact"/>
        <w:rPr>
          <w:rFonts w:ascii="Arial" w:cs="Arial" w:eastAsia="Arial" w:hAnsi="Arial"/>
          <w:sz w:val="19"/>
          <w:szCs w:val="19"/>
          <w:color w:val="auto"/>
        </w:rPr>
      </w:pPr>
    </w:p>
    <w:p>
      <w:pPr>
        <w:ind w:left="1300" w:hanging="644"/>
        <w:spacing w:after="0"/>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cancellation of outstanding Awards in exchange for no consideration.</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Board shall have full power and authority to assign the Company’s right to repurchase or re-acquire or forfeiture rights to such successor or acquiring entity. In addition, in the event such successor or acquiring entity (if any) refuses to assume, convert, replace or substitute</w:t>
      </w:r>
    </w:p>
    <w:p>
      <w:pPr>
        <w:spacing w:after="0" w:line="235" w:lineRule="auto"/>
        <w:rPr>
          <w:sz w:val="20"/>
          <w:szCs w:val="20"/>
          <w:color w:val="auto"/>
        </w:rPr>
      </w:pPr>
      <w:r>
        <w:rPr>
          <w:rFonts w:ascii="Arial" w:cs="Arial" w:eastAsia="Arial" w:hAnsi="Arial"/>
          <w:sz w:val="18"/>
          <w:szCs w:val="18"/>
          <w:color w:val="auto"/>
        </w:rPr>
        <w:t>Awards, as provided above, pursuant to a Corporate Transaction, the Committee will notify the Participant in writing or electronically that</w:t>
      </w:r>
    </w:p>
    <w:p>
      <w:pPr>
        <w:ind w:right="20"/>
        <w:spacing w:after="0" w:line="226" w:lineRule="auto"/>
        <w:rPr>
          <w:sz w:val="20"/>
          <w:szCs w:val="20"/>
          <w:color w:val="auto"/>
        </w:rPr>
      </w:pPr>
      <w:r>
        <w:rPr>
          <w:rFonts w:ascii="Arial" w:cs="Arial" w:eastAsia="Arial" w:hAnsi="Arial"/>
          <w:sz w:val="18"/>
          <w:szCs w:val="18"/>
          <w:color w:val="auto"/>
        </w:rPr>
        <w:t>such Award will, if exercisable, be exercisable for a period of time determined by the Committee in its sole discretion, and such Award will terminate upon the expiration of such period. Awards need not be treated similarly in a Corporate Transaction and treatment may vary from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Award to Award and/or from Participant to Participant.</w:t>
      </w:r>
    </w:p>
    <w:p>
      <w:pPr>
        <w:spacing w:after="0" w:line="16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u w:val="single" w:color="auto"/>
          <w:color w:val="auto"/>
        </w:rPr>
        <w:t>Assumption of Awards by the Company</w:t>
      </w:r>
      <w:r>
        <w:rPr>
          <w:rFonts w:ascii="Arial" w:cs="Arial" w:eastAsia="Arial" w:hAnsi="Arial"/>
          <w:sz w:val="18"/>
          <w:szCs w:val="18"/>
          <w:color w:val="auto"/>
        </w:rPr>
        <w:t>. The Company, from time to time, also may substitute or assume outstanding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by another company, whether in connection with an acquisition of such other company or otherwise, by either; (a) granting an Award</w:t>
      </w:r>
    </w:p>
    <w:p>
      <w:pPr>
        <w:spacing w:after="0" w:line="236" w:lineRule="auto"/>
        <w:rPr>
          <w:sz w:val="20"/>
          <w:szCs w:val="20"/>
          <w:color w:val="auto"/>
        </w:rPr>
      </w:pPr>
      <w:r>
        <w:rPr>
          <w:rFonts w:ascii="Arial" w:cs="Arial" w:eastAsia="Arial" w:hAnsi="Arial"/>
          <w:sz w:val="18"/>
          <w:szCs w:val="18"/>
          <w:color w:val="auto"/>
        </w:rPr>
        <w:t>under this Plan in substitution of such other company’s award; or (b) assuming such award as if it had been granted under this Plan if the</w:t>
      </w:r>
    </w:p>
    <w:p>
      <w:pPr>
        <w:ind w:right="20"/>
        <w:spacing w:after="0" w:line="255" w:lineRule="auto"/>
        <w:rPr>
          <w:sz w:val="20"/>
          <w:szCs w:val="20"/>
          <w:color w:val="auto"/>
        </w:rPr>
      </w:pPr>
      <w:r>
        <w:rPr>
          <w:rFonts w:ascii="Arial" w:cs="Arial" w:eastAsia="Arial" w:hAnsi="Arial"/>
          <w:sz w:val="16"/>
          <w:szCs w:val="16"/>
          <w:color w:val="auto"/>
        </w:rPr>
        <w:t>terms of such assumed award could be applied to an Award granted under this Plan. Such substitution or assumption will be permissible if the holder of the substituted or assumed award would have been eligible to be granted an Award under this Plan if the other company had applied</w:t>
      </w:r>
    </w:p>
    <w:p>
      <w:pPr>
        <w:spacing w:after="0" w:line="235" w:lineRule="auto"/>
        <w:rPr>
          <w:sz w:val="20"/>
          <w:szCs w:val="20"/>
          <w:color w:val="auto"/>
        </w:rPr>
      </w:pPr>
      <w:r>
        <w:rPr>
          <w:rFonts w:ascii="Arial" w:cs="Arial" w:eastAsia="Arial" w:hAnsi="Arial"/>
          <w:sz w:val="18"/>
          <w:szCs w:val="18"/>
          <w:color w:val="auto"/>
        </w:rPr>
        <w:t>the rules of this Plan to such grant. In the event the Company assumes an award granted by another company, the terms and conditions of</w:t>
      </w:r>
    </w:p>
    <w:p>
      <w:pPr>
        <w:ind w:right="20"/>
        <w:spacing w:after="0" w:line="226" w:lineRule="auto"/>
        <w:rPr>
          <w:sz w:val="20"/>
          <w:szCs w:val="20"/>
          <w:color w:val="auto"/>
        </w:rPr>
      </w:pPr>
      <w:r>
        <w:rPr>
          <w:rFonts w:ascii="Arial" w:cs="Arial" w:eastAsia="Arial" w:hAnsi="Arial"/>
          <w:sz w:val="18"/>
          <w:szCs w:val="18"/>
          <w:color w:val="auto"/>
        </w:rPr>
        <w:t>such award will remain unchanged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that the Purchase Price or the Exercise Price, as the case may be, and the number and nature of Shares issuable upon exercise or settlement of any such Award will be adjusted appropriately pursuant to Section 424(a) of the Code and/or</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Section 409A of the Code, as applicable). In the event the Company elects to grant a new Option in substitution rather than assuming an existing option, such new Option may be granted with a similarly adjusted Exercise Price. Substitute Awards shall not be</w:t>
      </w:r>
    </w:p>
    <w:p>
      <w:pPr>
        <w:sectPr>
          <w:pgSz w:w="11900" w:h="16838" w:orient="portrait"/>
          <w:cols w:equalWidth="0" w:num="1">
            <w:col w:w="11240"/>
          </w:cols>
          <w:pgMar w:left="320" w:top="104"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deducted from the number of Shares authorized for grant under the Plan or authorized for grant to a Participant in a calendar year.</w:t>
      </w:r>
    </w:p>
    <w:p>
      <w:pPr>
        <w:spacing w:after="0" w:line="194" w:lineRule="exact"/>
        <w:rPr>
          <w:sz w:val="20"/>
          <w:szCs w:val="20"/>
          <w:color w:val="auto"/>
        </w:rPr>
      </w:pPr>
    </w:p>
    <w:p>
      <w:pPr>
        <w:jc w:val="both"/>
        <w:ind w:right="20" w:firstLine="8"/>
        <w:spacing w:after="0" w:line="255" w:lineRule="auto"/>
        <w:tabs>
          <w:tab w:leader="none" w:pos="64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color w:val="auto"/>
        </w:rPr>
        <w:t>. Unless earlier terminated as provided herein, this Plan will become effective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and will terminate ten (10) years from the date this Plan is adopted by the Board. This Plan and all Awards granted hereunder shall be governed by and construed in accordance with the laws of the State of Delaware (excluding its conflict of law rules).</w:t>
      </w:r>
    </w:p>
    <w:p>
      <w:pPr>
        <w:spacing w:after="0" w:line="150" w:lineRule="exact"/>
        <w:rPr>
          <w:rFonts w:ascii="Arial" w:cs="Arial" w:eastAsia="Arial" w:hAnsi="Arial"/>
          <w:sz w:val="18"/>
          <w:szCs w:val="18"/>
          <w:b w:val="1"/>
          <w:bCs w:val="1"/>
          <w:color w:val="auto"/>
        </w:rPr>
      </w:pPr>
    </w:p>
    <w:p>
      <w:pPr>
        <w:jc w:val="both"/>
        <w:ind w:right="20" w:firstLine="8"/>
        <w:spacing w:after="0" w:line="213" w:lineRule="auto"/>
        <w:tabs>
          <w:tab w:leader="none" w:pos="648"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 OR TERMINATION OF PLAN</w:t>
      </w:r>
      <w:r>
        <w:rPr>
          <w:rFonts w:ascii="Arial" w:cs="Arial" w:eastAsia="Arial" w:hAnsi="Arial"/>
          <w:sz w:val="20"/>
          <w:szCs w:val="20"/>
          <w:color w:val="auto"/>
        </w:rPr>
        <w:t>. The Board may at any time terminate or amend this Plan in any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including, without limitation, amendment of any form of Award Agreement or instrument to be executed pursuant to this Plan;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Board will not, without the approval of the stockholders of the Company, amend this Plan in any manner that requires such stockholder approval;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a Participant’s Award shall be governed by the version of this Plan then in effect at the time such Award was granted. No termination or amendment of the Plan shall affect any then-outstanding Award unless expressly provided by the Committee; in any event, no termination or amendment of the Plan or any outstanding Award may materially adversely affect any then outstanding Award without the consent of the Participant, unless such termination or amendment is necessary to comply with applicable law, regulation or rule.</w:t>
      </w:r>
    </w:p>
    <w:p>
      <w:pPr>
        <w:spacing w:after="0" w:line="162" w:lineRule="exact"/>
        <w:rPr>
          <w:rFonts w:ascii="Arial" w:cs="Arial" w:eastAsia="Arial" w:hAnsi="Arial"/>
          <w:sz w:val="20"/>
          <w:szCs w:val="20"/>
          <w:b w:val="1"/>
          <w:bCs w:val="1"/>
          <w:color w:val="auto"/>
        </w:rPr>
      </w:pPr>
    </w:p>
    <w:p>
      <w:pPr>
        <w:jc w:val="both"/>
        <w:ind w:right="20" w:firstLine="8"/>
        <w:spacing w:after="0" w:line="221" w:lineRule="auto"/>
        <w:tabs>
          <w:tab w:leader="none" w:pos="648"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NON-EXCLUSIVITY OF THE PLAN</w:t>
      </w:r>
      <w:r>
        <w:rPr>
          <w:rFonts w:ascii="Arial" w:cs="Arial" w:eastAsia="Arial" w:hAnsi="Arial"/>
          <w:sz w:val="20"/>
          <w:szCs w:val="20"/>
          <w:color w:val="auto"/>
        </w:rPr>
        <w:t>. Neither the adoption of this Plan by the Board nor any provision of this Plan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65" w:lineRule="exact"/>
        <w:rPr>
          <w:rFonts w:ascii="Arial" w:cs="Arial" w:eastAsia="Arial" w:hAnsi="Arial"/>
          <w:sz w:val="20"/>
          <w:szCs w:val="20"/>
          <w:b w:val="1"/>
          <w:bCs w:val="1"/>
          <w:color w:val="auto"/>
        </w:rPr>
      </w:pPr>
    </w:p>
    <w:p>
      <w:pPr>
        <w:jc w:val="both"/>
        <w:ind w:right="20" w:firstLine="8"/>
        <w:spacing w:after="0" w:line="225" w:lineRule="auto"/>
        <w:tabs>
          <w:tab w:leader="none" w:pos="648"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INSIDER TRADING POLICY</w:t>
      </w:r>
      <w:r>
        <w:rPr>
          <w:rFonts w:ascii="Arial" w:cs="Arial" w:eastAsia="Arial" w:hAnsi="Arial"/>
          <w:sz w:val="20"/>
          <w:szCs w:val="20"/>
          <w:color w:val="auto"/>
        </w:rPr>
        <w:t>. Each Participant who receives an Award shall comply with any policy adopted by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from time to time covering transactions in the Company’s securities by Employees, officers and/or directors of the Company, as well as with any applicable insider trading or market abuse laws to which the Participant may be subject.</w:t>
      </w:r>
    </w:p>
    <w:p>
      <w:pPr>
        <w:spacing w:after="0" w:line="149" w:lineRule="exact"/>
        <w:rPr>
          <w:rFonts w:ascii="Arial" w:cs="Arial" w:eastAsia="Arial" w:hAnsi="Arial"/>
          <w:sz w:val="20"/>
          <w:szCs w:val="20"/>
          <w:b w:val="1"/>
          <w:bCs w:val="1"/>
          <w:color w:val="auto"/>
        </w:rPr>
      </w:pPr>
    </w:p>
    <w:p>
      <w:pPr>
        <w:jc w:val="both"/>
        <w:ind w:right="20" w:firstLine="8"/>
        <w:spacing w:after="0" w:line="218" w:lineRule="auto"/>
        <w:tabs>
          <w:tab w:leader="none" w:pos="648"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ALL AWARDS SUBJECT TO COMPANY CLAWBACK OR RECOUPMENT POLICY</w:t>
      </w:r>
      <w:r>
        <w:rPr>
          <w:rFonts w:ascii="Arial" w:cs="Arial" w:eastAsia="Arial" w:hAnsi="Arial"/>
          <w:sz w:val="20"/>
          <w:szCs w:val="20"/>
          <w:color w:val="auto"/>
        </w:rPr>
        <w:t>. All Awards shall,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 be subject 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150" w:lineRule="exact"/>
        <w:rPr>
          <w:rFonts w:ascii="Arial" w:cs="Arial" w:eastAsia="Arial" w:hAnsi="Arial"/>
          <w:sz w:val="20"/>
          <w:szCs w:val="20"/>
          <w:b w:val="1"/>
          <w:bCs w:val="1"/>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Plan, and except as elsewhere defined herein, the following terms will have the following meanings:</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any entity that, directly or indirectly, is controlled by, controls, or is under common control with, the</w:t>
      </w:r>
    </w:p>
    <w:p>
      <w:pPr>
        <w:ind w:right="20"/>
        <w:spacing w:after="0" w:line="220" w:lineRule="auto"/>
        <w:rPr>
          <w:sz w:val="20"/>
          <w:szCs w:val="20"/>
          <w:color w:val="auto"/>
        </w:rPr>
      </w:pPr>
      <w:r>
        <w:rPr>
          <w:rFonts w:ascii="Arial" w:cs="Arial" w:eastAsia="Arial" w:hAnsi="Arial"/>
          <w:sz w:val="20"/>
          <w:szCs w:val="20"/>
          <w:color w:val="auto"/>
        </w:rPr>
        <w:t>Company, and (b) any entity in which the Company has a significant equity interest, in either case as determined by the Committee, whether now or hereafter existing.</w:t>
      </w:r>
    </w:p>
    <w:p>
      <w:pPr>
        <w:spacing w:after="0" w:line="164" w:lineRule="exact"/>
        <w:rPr>
          <w:sz w:val="20"/>
          <w:szCs w:val="20"/>
          <w:color w:val="auto"/>
        </w:rPr>
      </w:pPr>
    </w:p>
    <w:p>
      <w:pPr>
        <w:ind w:right="20" w:firstLine="648"/>
        <w:spacing w:after="0" w:line="239" w:lineRule="auto"/>
        <w:rPr>
          <w:sz w:val="20"/>
          <w:szCs w:val="20"/>
          <w:color w:val="auto"/>
        </w:rPr>
      </w:pPr>
      <w:r>
        <w:rPr>
          <w:rFonts w:ascii="Arial" w:cs="Arial" w:eastAsia="Arial" w:hAnsi="Arial"/>
          <w:sz w:val="20"/>
          <w:szCs w:val="20"/>
          <w:b w:val="1"/>
          <w:bCs w:val="1"/>
          <w:color w:val="auto"/>
        </w:rPr>
        <w:t xml:space="preserve">26.2. </w:t>
      </w:r>
      <w:r>
        <w:rPr>
          <w:rFonts w:ascii="Arial" w:cs="Arial" w:eastAsia="Arial" w:hAnsi="Arial"/>
          <w:sz w:val="20"/>
          <w:szCs w:val="20"/>
          <w:color w:val="auto"/>
        </w:rPr>
        <w:t>“</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means any award under the Plan, including any Option, Performance Award, Restricted Stock, Stock Bonus, Stock</w:t>
      </w:r>
      <w:r>
        <w:rPr>
          <w:rFonts w:ascii="Arial" w:cs="Arial" w:eastAsia="Arial" w:hAnsi="Arial"/>
          <w:sz w:val="20"/>
          <w:szCs w:val="20"/>
          <w:b w:val="1"/>
          <w:bCs w:val="1"/>
          <w:color w:val="auto"/>
        </w:rPr>
        <w:t xml:space="preserve"> </w:t>
      </w:r>
      <w:r>
        <w:rPr>
          <w:rFonts w:ascii="Arial" w:cs="Arial" w:eastAsia="Arial" w:hAnsi="Arial"/>
          <w:sz w:val="20"/>
          <w:szCs w:val="20"/>
          <w:color w:val="auto"/>
        </w:rPr>
        <w:t>Appreciation Right, or Restricted Stock Unit.</w:t>
      </w:r>
    </w:p>
    <w:p>
      <w:pPr>
        <w:spacing w:after="0" w:line="149"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8"/>
          <w:szCs w:val="18"/>
          <w:b w:val="1"/>
          <w:bCs w:val="1"/>
          <w:color w:val="auto"/>
        </w:rPr>
        <w:t>26.3.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with respect to each Award, the written or electronic agreement between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setting forth the terms and conditions of the Award, and country-specific appendix thereto for grants to non-U.S. Participants,</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which shall be in substantially a form (which need not be the same for each Participant) that the Committee has from time to time approved, and will comply with and be subject to the terms and conditions of this Plan.</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8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26.5. </w:t>
      </w: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Participant’s (a) willful failure substantially to perform his or her duties and responsibilities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deliberate violation of a Company policy or code of conduct; (b) commission of, or plea of guilty or no contest to, a felony or other crime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involving</w:t>
      </w:r>
    </w:p>
    <w:p>
      <w:pPr>
        <w:sectPr>
          <w:pgSz w:w="11900" w:h="16838" w:orient="portrait"/>
          <w:cols w:equalWidth="0" w:num="1">
            <w:col w:w="11240"/>
          </w:cols>
          <w:pgMar w:left="320" w:top="104"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dishonesty or moral turpitude or commission of any act of fraud, embezzlement, dishonesty or any other willful misconduct or breach of</w:t>
      </w:r>
    </w:p>
    <w:p>
      <w:pPr>
        <w:spacing w:after="0" w:line="1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fiduciary duty that has caused or is reasonably expected to result in material injury to the Company; (c) unauthorized use or disclosure of any proprietary information or trade secrets of the Company or any other party to whom the Participant owes an obligation of nondisclosure as a</w:t>
      </w:r>
    </w:p>
    <w:p>
      <w:pPr>
        <w:spacing w:after="0" w:line="236" w:lineRule="auto"/>
        <w:rPr>
          <w:sz w:val="20"/>
          <w:szCs w:val="20"/>
          <w:color w:val="auto"/>
        </w:rPr>
      </w:pPr>
      <w:r>
        <w:rPr>
          <w:rFonts w:ascii="Arial" w:cs="Arial" w:eastAsia="Arial" w:hAnsi="Arial"/>
          <w:sz w:val="18"/>
          <w:szCs w:val="18"/>
          <w:color w:val="auto"/>
        </w:rPr>
        <w:t>result of his or her relationship with the Company; (d) misappropriation of a business opportunity of the Company; (e) provision of material</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aid to a competitor of the Company; or (f) willful breach of any of his or her obligations under any written agreement or covenant with the Company, including with respect to any restrictive covenants. The determination as to whether a Participant’s Service is being terminated for</w:t>
      </w:r>
    </w:p>
    <w:p>
      <w:pPr>
        <w:spacing w:after="0" w:line="236" w:lineRule="auto"/>
        <w:rPr>
          <w:sz w:val="20"/>
          <w:szCs w:val="20"/>
          <w:color w:val="auto"/>
        </w:rPr>
      </w:pPr>
      <w:r>
        <w:rPr>
          <w:rFonts w:ascii="Arial" w:cs="Arial" w:eastAsia="Arial" w:hAnsi="Arial"/>
          <w:sz w:val="18"/>
          <w:szCs w:val="18"/>
          <w:color w:val="auto"/>
        </w:rPr>
        <w:t>Cause shall be made in good faith by the Company and shall be final and binding on the Participant. The foregoing definition does not in any</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way limit the Company’s ability to terminate a Participant’s employment or consulting relationship at any time as provided in Section 19 above, and the term “Company” will be interpreted to include any Subsidiary or Parent, as appropriate. Notwithstanding the foregoing, the</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definition of “Cause” may, in part or in whole, be modified or replaced in each individual employment agreement, Award Agreement or other applicable agreement with any Participant, provided that such document supersedes the definition provided in this Section 26.5.</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and the regulations promulgated thereunder.</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Compensation Committee of the Board.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GeneDx Holdings Corp., or any successor corporation.</w:t>
      </w:r>
    </w:p>
    <w:p>
      <w:pPr>
        <w:spacing w:after="0" w:line="175" w:lineRule="exact"/>
        <w:rPr>
          <w:sz w:val="20"/>
          <w:szCs w:val="20"/>
          <w:color w:val="auto"/>
        </w:rPr>
      </w:pPr>
    </w:p>
    <w:p>
      <w:pPr>
        <w:ind w:right="20" w:firstLine="648"/>
        <w:spacing w:after="0" w:line="239" w:lineRule="auto"/>
        <w:rPr>
          <w:sz w:val="20"/>
          <w:szCs w:val="20"/>
          <w:color w:val="auto"/>
        </w:rPr>
      </w:pPr>
      <w:r>
        <w:rPr>
          <w:rFonts w:ascii="Arial" w:cs="Arial" w:eastAsia="Arial" w:hAnsi="Arial"/>
          <w:sz w:val="20"/>
          <w:szCs w:val="20"/>
          <w:b w:val="1"/>
          <w:bCs w:val="1"/>
          <w:color w:val="auto"/>
        </w:rPr>
        <w:t xml:space="preserve">26.9. </w:t>
      </w:r>
      <w:r>
        <w:rPr>
          <w:rFonts w:ascii="Arial" w:cs="Arial" w:eastAsia="Arial" w:hAnsi="Arial"/>
          <w:sz w:val="20"/>
          <w:szCs w:val="20"/>
          <w:color w:val="auto"/>
        </w:rPr>
        <w:t>“</w:t>
      </w:r>
      <w:r>
        <w:rPr>
          <w:rFonts w:ascii="Arial" w:cs="Arial" w:eastAsia="Arial" w:hAnsi="Arial"/>
          <w:sz w:val="20"/>
          <w:szCs w:val="20"/>
          <w:b w:val="1"/>
          <w:bCs w:val="1"/>
          <w:i w:val="1"/>
          <w:iCs w:val="1"/>
          <w:color w:val="auto"/>
        </w:rPr>
        <w:t>Consultant</w:t>
      </w:r>
      <w:r>
        <w:rPr>
          <w:rFonts w:ascii="Arial" w:cs="Arial" w:eastAsia="Arial" w:hAnsi="Arial"/>
          <w:sz w:val="20"/>
          <w:szCs w:val="20"/>
          <w:color w:val="auto"/>
        </w:rPr>
        <w:t>” means any natural person, including an advisor or independent contractor, engaged by the Company or a</w:t>
      </w:r>
      <w:r>
        <w:rPr>
          <w:rFonts w:ascii="Arial" w:cs="Arial" w:eastAsia="Arial" w:hAnsi="Arial"/>
          <w:sz w:val="20"/>
          <w:szCs w:val="20"/>
          <w:b w:val="1"/>
          <w:bCs w:val="1"/>
          <w:color w:val="auto"/>
        </w:rPr>
        <w:t xml:space="preserve"> </w:t>
      </w:r>
      <w:r>
        <w:rPr>
          <w:rFonts w:ascii="Arial" w:cs="Arial" w:eastAsia="Arial" w:hAnsi="Arial"/>
          <w:sz w:val="20"/>
          <w:szCs w:val="20"/>
          <w:color w:val="auto"/>
        </w:rPr>
        <w:t>Parent, Subsidiary or Affiliate to render services to such entity.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26.10.  </w:t>
      </w:r>
      <w:r>
        <w:rPr>
          <w:rFonts w:ascii="Arial" w:cs="Arial" w:eastAsia="Arial" w:hAnsi="Arial"/>
          <w:sz w:val="20"/>
          <w:szCs w:val="20"/>
          <w:color w:val="auto"/>
        </w:rPr>
        <w:t>“</w:t>
      </w:r>
      <w:r>
        <w:rPr>
          <w:rFonts w:ascii="Arial" w:cs="Arial" w:eastAsia="Arial" w:hAnsi="Arial"/>
          <w:sz w:val="20"/>
          <w:szCs w:val="20"/>
          <w:b w:val="1"/>
          <w:bCs w:val="1"/>
          <w:i w:val="1"/>
          <w:iCs w:val="1"/>
          <w:color w:val="auto"/>
        </w:rPr>
        <w:t>Corporate Transaction</w:t>
      </w:r>
      <w:r>
        <w:rPr>
          <w:rFonts w:ascii="Arial" w:cs="Arial" w:eastAsia="Arial" w:hAnsi="Arial"/>
          <w:sz w:val="20"/>
          <w:szCs w:val="20"/>
          <w:color w:val="auto"/>
        </w:rPr>
        <w:t>” means the occurrence of any of the following events:</w:t>
      </w:r>
    </w:p>
    <w:p>
      <w:pPr>
        <w:spacing w:after="0" w:line="181" w:lineRule="exact"/>
        <w:rPr>
          <w:sz w:val="20"/>
          <w:szCs w:val="20"/>
          <w:color w:val="auto"/>
        </w:rPr>
      </w:pPr>
    </w:p>
    <w:p>
      <w:pPr>
        <w:jc w:val="both"/>
        <w:ind w:right="20" w:firstLine="656"/>
        <w:spacing w:after="0" w:line="229" w:lineRule="auto"/>
        <w:tabs>
          <w:tab w:leader="none" w:pos="1296"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spacing w:after="0" w:line="159" w:lineRule="exact"/>
        <w:rPr>
          <w:rFonts w:ascii="Arial" w:cs="Arial" w:eastAsia="Arial" w:hAnsi="Arial"/>
          <w:sz w:val="19"/>
          <w:szCs w:val="19"/>
          <w:color w:val="auto"/>
        </w:rPr>
      </w:pPr>
    </w:p>
    <w:p>
      <w:pPr>
        <w:ind w:left="1300" w:hanging="644"/>
        <w:spacing w:after="0"/>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consummation of the sale or disposition by the Company of all or substantially all of the Company’s assets;</w:t>
      </w:r>
    </w:p>
    <w:p>
      <w:pPr>
        <w:spacing w:after="0" w:line="188" w:lineRule="exact"/>
        <w:rPr>
          <w:rFonts w:ascii="Arial" w:cs="Arial" w:eastAsia="Arial" w:hAnsi="Arial"/>
          <w:sz w:val="20"/>
          <w:szCs w:val="20"/>
          <w:color w:val="auto"/>
        </w:rPr>
      </w:pPr>
    </w:p>
    <w:p>
      <w:pPr>
        <w:jc w:val="both"/>
        <w:ind w:right="20" w:firstLine="656"/>
        <w:spacing w:after="0" w:line="218" w:lineRule="auto"/>
        <w:tabs>
          <w:tab w:leader="none" w:pos="1296"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57" w:lineRule="exact"/>
        <w:rPr>
          <w:rFonts w:ascii="Arial" w:cs="Arial" w:eastAsia="Arial" w:hAnsi="Arial"/>
          <w:sz w:val="20"/>
          <w:szCs w:val="20"/>
          <w:color w:val="auto"/>
        </w:rPr>
      </w:pPr>
    </w:p>
    <w:p>
      <w:pPr>
        <w:jc w:val="both"/>
        <w:ind w:right="20" w:firstLine="656"/>
        <w:spacing w:after="0" w:line="227" w:lineRule="auto"/>
        <w:tabs>
          <w:tab w:leader="none" w:pos="1296"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57" w:lineRule="exact"/>
        <w:rPr>
          <w:rFonts w:ascii="Arial" w:cs="Arial" w:eastAsia="Arial" w:hAnsi="Arial"/>
          <w:sz w:val="20"/>
          <w:szCs w:val="20"/>
          <w:color w:val="auto"/>
        </w:rPr>
      </w:pPr>
    </w:p>
    <w:p>
      <w:pPr>
        <w:jc w:val="both"/>
        <w:ind w:right="20" w:firstLine="656"/>
        <w:spacing w:after="0" w:line="218" w:lineRule="auto"/>
        <w:tabs>
          <w:tab w:leader="none" w:pos="1296"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spacing w:after="0" w:line="17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For purposes of this definition, Persons will be considered to be acting as a group if they are owners of a corporation that enters into a merger, consolidation, purchase or acquisition of stock, or similar</w:t>
      </w:r>
    </w:p>
    <w:p>
      <w:pPr>
        <w:sectPr>
          <w:pgSz w:w="11900" w:h="16838" w:orient="portrait"/>
          <w:cols w:equalWidth="0" w:num="1">
            <w:col w:w="11240"/>
          </w:cols>
          <w:pgMar w:left="320" w:top="104"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business transaction with the Company. Notwithstanding the foregoing, to the extent that any amount constituting deferred compensation (as</w:t>
      </w:r>
    </w:p>
    <w:p>
      <w:pPr>
        <w:spacing w:after="0" w:line="1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defined in Section 409A of the Code) would become payable under this Plan by reason of a Corporate Transaction, such amount shall become payable only if the event constituting a Corporate Transaction would also qualify as a change in ownership or effective control of the</w:t>
      </w:r>
    </w:p>
    <w:p>
      <w:pPr>
        <w:spacing w:after="0" w:line="236" w:lineRule="auto"/>
        <w:rPr>
          <w:sz w:val="20"/>
          <w:szCs w:val="20"/>
          <w:color w:val="auto"/>
        </w:rPr>
      </w:pPr>
      <w:r>
        <w:rPr>
          <w:rFonts w:ascii="Arial" w:cs="Arial" w:eastAsia="Arial" w:hAnsi="Arial"/>
          <w:sz w:val="18"/>
          <w:szCs w:val="18"/>
          <w:color w:val="auto"/>
        </w:rPr>
        <w:t>Company or a change in the ownership of a substantial portion of the assets of the Company, each as defined within the meaning of Code</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Section 409A, as it has been and may be amended from time to time, and any proposed or final Treasury Regulations and IRS guidance that has been promulgated or may be promulgated thereunder from time to time. Notwithstanding the foregoing, the foregoing definition of</w:t>
      </w:r>
    </w:p>
    <w:p>
      <w:pPr>
        <w:spacing w:after="0" w:line="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“Corporate Transaction” may, in part or in whole, be modified or replaced in each individual employment agreement, Award Agreement, or other applicable agreement with any Participant provided that such document specifically references this definition.</w:t>
      </w:r>
    </w:p>
    <w:p>
      <w:pPr>
        <w:spacing w:after="0" w:line="150" w:lineRule="exact"/>
        <w:rPr>
          <w:sz w:val="20"/>
          <w:szCs w:val="20"/>
          <w:color w:val="auto"/>
        </w:rPr>
      </w:pPr>
    </w:p>
    <w:p>
      <w:pPr>
        <w:jc w:val="both"/>
        <w:ind w:right="20" w:firstLine="648"/>
        <w:spacing w:after="0" w:line="230" w:lineRule="auto"/>
        <w:rPr>
          <w:sz w:val="20"/>
          <w:szCs w:val="20"/>
          <w:color w:val="auto"/>
        </w:rPr>
      </w:pPr>
      <w:r>
        <w:rPr>
          <w:rFonts w:ascii="Arial" w:cs="Arial" w:eastAsia="Arial" w:hAnsi="Arial"/>
          <w:sz w:val="20"/>
          <w:szCs w:val="20"/>
          <w:b w:val="1"/>
          <w:bCs w:val="1"/>
          <w:color w:val="auto"/>
        </w:rPr>
        <w:t xml:space="preserve">26.11. </w:t>
      </w:r>
      <w:r>
        <w:rPr>
          <w:rFonts w:ascii="Arial" w:cs="Arial" w:eastAsia="Arial" w:hAnsi="Arial"/>
          <w:sz w:val="20"/>
          <w:szCs w:val="20"/>
          <w:color w:val="auto"/>
        </w:rPr>
        <w:t>“</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means that the Participant is unable to engage in any substantial gainful activity by reason of any medically</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determinable physical or mental impairment that can be expected to result in death or can be expected to last for a continuous period of not less than 12 months.</w:t>
      </w:r>
    </w:p>
    <w:p>
      <w:pPr>
        <w:spacing w:after="0" w:line="149" w:lineRule="exact"/>
        <w:rPr>
          <w:sz w:val="20"/>
          <w:szCs w:val="20"/>
          <w:color w:val="auto"/>
        </w:rPr>
      </w:pPr>
    </w:p>
    <w:p>
      <w:pPr>
        <w:jc w:val="both"/>
        <w:ind w:right="20" w:firstLine="648"/>
        <w:spacing w:after="0" w:line="230" w:lineRule="auto"/>
        <w:rPr>
          <w:sz w:val="20"/>
          <w:szCs w:val="20"/>
          <w:color w:val="auto"/>
        </w:rPr>
      </w:pPr>
      <w:r>
        <w:rPr>
          <w:rFonts w:ascii="Arial" w:cs="Arial" w:eastAsia="Arial" w:hAnsi="Arial"/>
          <w:sz w:val="20"/>
          <w:szCs w:val="20"/>
          <w:b w:val="1"/>
          <w:bCs w:val="1"/>
          <w:color w:val="auto"/>
        </w:rPr>
        <w:t xml:space="preserve">26.12. </w:t>
      </w:r>
      <w:r>
        <w:rPr>
          <w:rFonts w:ascii="Arial" w:cs="Arial" w:eastAsia="Arial" w:hAnsi="Arial"/>
          <w:sz w:val="20"/>
          <w:szCs w:val="20"/>
          <w:color w:val="auto"/>
        </w:rPr>
        <w:t>“</w:t>
      </w:r>
      <w:r>
        <w:rPr>
          <w:rFonts w:ascii="Arial" w:cs="Arial" w:eastAsia="Arial" w:hAnsi="Arial"/>
          <w:sz w:val="20"/>
          <w:szCs w:val="20"/>
          <w:b w:val="1"/>
          <w:bCs w:val="1"/>
          <w:i w:val="1"/>
          <w:iCs w:val="1"/>
          <w:color w:val="auto"/>
        </w:rPr>
        <w:t>Dividend Equivalent Right</w:t>
      </w:r>
      <w:r>
        <w:rPr>
          <w:rFonts w:ascii="Arial" w:cs="Arial" w:eastAsia="Arial" w:hAnsi="Arial"/>
          <w:sz w:val="20"/>
          <w:szCs w:val="20"/>
          <w:color w:val="auto"/>
        </w:rPr>
        <w:t>” means the right of a Participant, granted at the discretion of the Committee or as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by the Plan, to receive a credit for the account of such Participant in an amount equal to the cash, stock or other property dividends for each Share represented by an Award held by such Participant.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26.13.  </w:t>
      </w: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shall mean the date this Plan is adopted by the Board.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26.14.  </w:t>
      </w:r>
      <w:r>
        <w:rPr>
          <w:rFonts w:ascii="Arial" w:cs="Arial" w:eastAsia="Arial" w:hAnsi="Arial"/>
          <w:sz w:val="20"/>
          <w:szCs w:val="20"/>
          <w:color w:val="auto"/>
        </w:rPr>
        <w:t>“</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means any person employed by the Company or any Parent, Subsidiary or Affiliate.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26.15.  </w:t>
      </w: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United States Securities Exchange Act of 1934, as amended.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26.16.  </w:t>
      </w:r>
      <w:r>
        <w:rPr>
          <w:rFonts w:ascii="Arial" w:cs="Arial" w:eastAsia="Arial" w:hAnsi="Arial"/>
          <w:sz w:val="18"/>
          <w:szCs w:val="18"/>
          <w:color w:val="auto"/>
        </w:rPr>
        <w:t>“</w:t>
      </w:r>
      <w:r>
        <w:rPr>
          <w:rFonts w:ascii="Arial" w:cs="Arial" w:eastAsia="Arial" w:hAnsi="Arial"/>
          <w:sz w:val="18"/>
          <w:szCs w:val="18"/>
          <w:b w:val="1"/>
          <w:bCs w:val="1"/>
          <w:i w:val="1"/>
          <w:iCs w:val="1"/>
          <w:color w:val="auto"/>
        </w:rPr>
        <w:t>Exchange Program</w:t>
      </w:r>
      <w:r>
        <w:rPr>
          <w:rFonts w:ascii="Arial" w:cs="Arial" w:eastAsia="Arial" w:hAnsi="Arial"/>
          <w:sz w:val="18"/>
          <w:szCs w:val="18"/>
          <w:color w:val="auto"/>
        </w:rPr>
        <w:t>” means a program pursuant to which (a) outstanding Awards are surrendered, cancelled or exchanged</w:t>
      </w:r>
    </w:p>
    <w:p>
      <w:pPr>
        <w:spacing w:after="0" w:line="18"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for cash, the same type of Award or a different Award (or combination thereof) or (b) the Exercise Price of an outstanding Award is increased or reduced.</w:t>
      </w:r>
    </w:p>
    <w:p>
      <w:pPr>
        <w:spacing w:after="0" w:line="164"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20"/>
          <w:szCs w:val="20"/>
          <w:b w:val="1"/>
          <w:bCs w:val="1"/>
          <w:color w:val="auto"/>
        </w:rPr>
        <w:t xml:space="preserve">26.17. </w:t>
      </w:r>
      <w:r>
        <w:rPr>
          <w:rFonts w:ascii="Arial" w:cs="Arial" w:eastAsia="Arial" w:hAnsi="Arial"/>
          <w:sz w:val="20"/>
          <w:szCs w:val="20"/>
          <w:color w:val="auto"/>
        </w:rPr>
        <w:t>“</w:t>
      </w:r>
      <w:r>
        <w:rPr>
          <w:rFonts w:ascii="Arial" w:cs="Arial" w:eastAsia="Arial" w:hAnsi="Arial"/>
          <w:sz w:val="20"/>
          <w:szCs w:val="20"/>
          <w:b w:val="1"/>
          <w:bCs w:val="1"/>
          <w:i w:val="1"/>
          <w:iCs w:val="1"/>
          <w:color w:val="auto"/>
        </w:rPr>
        <w:t>Exercise Price</w:t>
      </w:r>
      <w:r>
        <w:rPr>
          <w:rFonts w:ascii="Arial" w:cs="Arial" w:eastAsia="Arial" w:hAnsi="Arial"/>
          <w:sz w:val="20"/>
          <w:szCs w:val="20"/>
          <w:color w:val="auto"/>
        </w:rPr>
        <w:t>” means, with respect to an Option, the price at which a holder may purchase the Shares issuable upon</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of an Option and with respect to a SAR, the price at which the SAR is granted to the holder thereof.</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26.18.  </w:t>
      </w: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of the Company’s common stock determined as follows:</w:t>
      </w:r>
    </w:p>
    <w:p>
      <w:pPr>
        <w:spacing w:after="0" w:line="218" w:lineRule="exact"/>
        <w:rPr>
          <w:sz w:val="20"/>
          <w:szCs w:val="20"/>
          <w:color w:val="auto"/>
        </w:rPr>
      </w:pPr>
    </w:p>
    <w:p>
      <w:pPr>
        <w:jc w:val="both"/>
        <w:ind w:right="20" w:firstLine="656"/>
        <w:spacing w:after="0" w:line="223" w:lineRule="auto"/>
        <w:tabs>
          <w:tab w:leader="none" w:pos="1296"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20"/>
          <w:szCs w:val="20"/>
          <w:i w:val="1"/>
          <w:iCs w:val="1"/>
          <w:color w:val="auto"/>
        </w:rPr>
        <w:t>The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Wall Street </w:t>
      </w:r>
      <w:r>
        <w:rPr>
          <w:rFonts w:ascii="Arial" w:cs="Arial" w:eastAsia="Arial" w:hAnsi="Arial"/>
          <w:sz w:val="20"/>
          <w:szCs w:val="20"/>
          <w:color w:val="auto"/>
        </w:rPr>
        <w:t>Journal or such other source as the Committee may determine;</w:t>
      </w:r>
    </w:p>
    <w:p>
      <w:pPr>
        <w:spacing w:after="0" w:line="168" w:lineRule="exact"/>
        <w:rPr>
          <w:rFonts w:ascii="Arial" w:cs="Arial" w:eastAsia="Arial" w:hAnsi="Arial"/>
          <w:sz w:val="20"/>
          <w:szCs w:val="20"/>
          <w:color w:val="auto"/>
        </w:rPr>
      </w:pPr>
    </w:p>
    <w:p>
      <w:pPr>
        <w:jc w:val="both"/>
        <w:ind w:right="20" w:firstLine="656"/>
        <w:spacing w:after="0" w:line="223" w:lineRule="auto"/>
        <w:tabs>
          <w:tab w:leader="none" w:pos="1296"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Committee deems reliable; or</w:t>
      </w:r>
    </w:p>
    <w:p>
      <w:pPr>
        <w:spacing w:after="0" w:line="168" w:lineRule="exact"/>
        <w:rPr>
          <w:rFonts w:ascii="Arial" w:cs="Arial" w:eastAsia="Arial" w:hAnsi="Arial"/>
          <w:sz w:val="20"/>
          <w:szCs w:val="20"/>
          <w:color w:val="auto"/>
        </w:rPr>
      </w:pPr>
    </w:p>
    <w:p>
      <w:pPr>
        <w:ind w:left="1300" w:hanging="644"/>
        <w:spacing w:after="0"/>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if none of the foregoing is applicable, by the Board or the Committee in good faith.</w:t>
      </w:r>
    </w:p>
    <w:p>
      <w:pPr>
        <w:spacing w:after="0" w:line="183" w:lineRule="exact"/>
        <w:rPr>
          <w:sz w:val="20"/>
          <w:szCs w:val="20"/>
          <w:color w:val="auto"/>
        </w:rPr>
      </w:pPr>
    </w:p>
    <w:p>
      <w:pPr>
        <w:ind w:right="20" w:firstLine="648"/>
        <w:spacing w:after="0" w:line="232" w:lineRule="auto"/>
        <w:rPr>
          <w:sz w:val="20"/>
          <w:szCs w:val="20"/>
          <w:color w:val="auto"/>
        </w:rPr>
      </w:pPr>
      <w:r>
        <w:rPr>
          <w:rFonts w:ascii="Arial" w:cs="Arial" w:eastAsia="Arial" w:hAnsi="Arial"/>
          <w:sz w:val="20"/>
          <w:szCs w:val="20"/>
          <w:b w:val="1"/>
          <w:bCs w:val="1"/>
          <w:color w:val="auto"/>
        </w:rPr>
        <w:t>26.19. “</w:t>
      </w:r>
      <w:r>
        <w:rPr>
          <w:rFonts w:ascii="Arial" w:cs="Arial" w:eastAsia="Arial" w:hAnsi="Arial"/>
          <w:sz w:val="20"/>
          <w:szCs w:val="20"/>
          <w:b w:val="1"/>
          <w:bCs w:val="1"/>
          <w:i w:val="1"/>
          <w:iCs w:val="1"/>
          <w:color w:val="auto"/>
        </w:rPr>
        <w:t>Insider</w:t>
      </w:r>
      <w:r>
        <w:rPr>
          <w:rFonts w:ascii="Arial" w:cs="Arial" w:eastAsia="Arial" w:hAnsi="Arial"/>
          <w:sz w:val="20"/>
          <w:szCs w:val="20"/>
          <w:color w:val="auto"/>
        </w:rPr>
        <w:t>” means an officer or director of the Company or any other person whose transactions in the Company’s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are subject to Section 16 of the Exchange Act.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26.20.  </w:t>
      </w:r>
      <w:r>
        <w:rPr>
          <w:rFonts w:ascii="Arial" w:cs="Arial" w:eastAsia="Arial" w:hAnsi="Arial"/>
          <w:sz w:val="20"/>
          <w:szCs w:val="20"/>
          <w:color w:val="auto"/>
        </w:rPr>
        <w:t>“</w:t>
      </w:r>
      <w:r>
        <w:rPr>
          <w:rFonts w:ascii="Arial" w:cs="Arial" w:eastAsia="Arial" w:hAnsi="Arial"/>
          <w:sz w:val="20"/>
          <w:szCs w:val="20"/>
          <w:b w:val="1"/>
          <w:bCs w:val="1"/>
          <w:i w:val="1"/>
          <w:iCs w:val="1"/>
          <w:color w:val="auto"/>
        </w:rPr>
        <w:t>IRS</w:t>
      </w:r>
      <w:r>
        <w:rPr>
          <w:rFonts w:ascii="Arial" w:cs="Arial" w:eastAsia="Arial" w:hAnsi="Arial"/>
          <w:sz w:val="20"/>
          <w:szCs w:val="20"/>
          <w:color w:val="auto"/>
        </w:rPr>
        <w:t>” means the United States Internal Revenue Service.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26.21.  </w:t>
      </w:r>
      <w:r>
        <w:rPr>
          <w:rFonts w:ascii="Arial" w:cs="Arial" w:eastAsia="Arial" w:hAnsi="Arial"/>
          <w:sz w:val="20"/>
          <w:szCs w:val="20"/>
          <w:color w:val="auto"/>
        </w:rPr>
        <w:t>“</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means an award of an option to purchase Shares pursuant to Section 5 of the Plan.</w:t>
      </w:r>
    </w:p>
    <w:p>
      <w:pPr>
        <w:spacing w:after="0" w:line="175" w:lineRule="exact"/>
        <w:rPr>
          <w:sz w:val="20"/>
          <w:szCs w:val="20"/>
          <w:color w:val="auto"/>
        </w:rPr>
      </w:pPr>
    </w:p>
    <w:p>
      <w:pPr>
        <w:ind w:right="20" w:firstLine="648"/>
        <w:spacing w:after="0" w:line="239" w:lineRule="auto"/>
        <w:rPr>
          <w:sz w:val="20"/>
          <w:szCs w:val="20"/>
          <w:color w:val="auto"/>
        </w:rPr>
      </w:pPr>
      <w:r>
        <w:rPr>
          <w:rFonts w:ascii="Arial" w:cs="Arial" w:eastAsia="Arial" w:hAnsi="Arial"/>
          <w:sz w:val="20"/>
          <w:szCs w:val="20"/>
          <w:b w:val="1"/>
          <w:bCs w:val="1"/>
          <w:color w:val="auto"/>
        </w:rPr>
        <w:t xml:space="preserve">26.22. </w:t>
      </w:r>
      <w:r>
        <w:rPr>
          <w:rFonts w:ascii="Arial" w:cs="Arial" w:eastAsia="Arial" w:hAnsi="Arial"/>
          <w:sz w:val="20"/>
          <w:szCs w:val="20"/>
          <w:color w:val="auto"/>
        </w:rPr>
        <w:t>“</w:t>
      </w:r>
      <w:r>
        <w:rPr>
          <w:rFonts w:ascii="Arial" w:cs="Arial" w:eastAsia="Arial" w:hAnsi="Arial"/>
          <w:sz w:val="20"/>
          <w:szCs w:val="20"/>
          <w:b w:val="1"/>
          <w:bCs w:val="1"/>
          <w:i w:val="1"/>
          <w:iCs w:val="1"/>
          <w:color w:val="auto"/>
        </w:rPr>
        <w:t>Parent</w:t>
      </w:r>
      <w:r>
        <w:rPr>
          <w:rFonts w:ascii="Arial" w:cs="Arial" w:eastAsia="Arial" w:hAnsi="Arial"/>
          <w:sz w:val="20"/>
          <w:szCs w:val="20"/>
          <w:color w:val="auto"/>
        </w:rPr>
        <w:t>” means any corporation (other than the Company) in an unbroken chain of corporations ending with the Company if</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such corporations other than the Company owns</w:t>
      </w:r>
    </w:p>
    <w:p>
      <w:pPr>
        <w:sectPr>
          <w:pgSz w:w="11900" w:h="16838" w:orient="portrait"/>
          <w:cols w:equalWidth="0" w:num="1">
            <w:col w:w="11240"/>
          </w:cols>
          <w:pgMar w:left="320" w:top="104"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stock possessing fifty percent (50%) or more of the total combined voting power of all classes of stock in one of the other corporations in such chain.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26.23.  </w:t>
      </w: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means a person who holds an Award under this Plan.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26.24.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covering cash, Shares or other property granted pursuant to Section 10 of the Plan.</w:t>
      </w:r>
    </w:p>
    <w:p>
      <w:pPr>
        <w:spacing w:after="0" w:line="212"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b w:val="1"/>
          <w:bCs w:val="1"/>
          <w:color w:val="auto"/>
        </w:rPr>
        <w:t xml:space="preserve">26.25.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Factors</w:t>
      </w:r>
      <w:r>
        <w:rPr>
          <w:rFonts w:ascii="Arial" w:cs="Arial" w:eastAsia="Arial" w:hAnsi="Arial"/>
          <w:sz w:val="18"/>
          <w:szCs w:val="18"/>
          <w:color w:val="auto"/>
        </w:rPr>
        <w:t>” means any of the factors selected by the Committee and specified in an Award Agreement, from</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following objective measures, either individually, alternatively or in any combination, applied to the Company as a whole or any</w:t>
      </w:r>
    </w:p>
    <w:p>
      <w:pPr>
        <w:spacing w:after="0" w:line="236" w:lineRule="auto"/>
        <w:rPr>
          <w:sz w:val="20"/>
          <w:szCs w:val="20"/>
          <w:color w:val="auto"/>
        </w:rPr>
      </w:pPr>
      <w:r>
        <w:rPr>
          <w:rFonts w:ascii="Arial" w:cs="Arial" w:eastAsia="Arial" w:hAnsi="Arial"/>
          <w:sz w:val="18"/>
          <w:szCs w:val="18"/>
          <w:color w:val="auto"/>
        </w:rPr>
        <w:t>business unit or Subsidiary, either individually, alternatively, or in any combination, on a GAAP or non-GAAP basis, and measured, to the</w:t>
      </w:r>
    </w:p>
    <w:p>
      <w:pPr>
        <w:spacing w:after="0" w:line="219" w:lineRule="auto"/>
        <w:rPr>
          <w:sz w:val="20"/>
          <w:szCs w:val="20"/>
          <w:color w:val="auto"/>
        </w:rPr>
      </w:pPr>
      <w:r>
        <w:rPr>
          <w:rFonts w:ascii="Arial" w:cs="Arial" w:eastAsia="Arial" w:hAnsi="Arial"/>
          <w:sz w:val="18"/>
          <w:szCs w:val="18"/>
          <w:color w:val="auto"/>
        </w:rPr>
        <w:t>extent applicable on an absolute basis or relative to a pre-established target, to determine whether the performance goals established by the</w:t>
      </w:r>
    </w:p>
    <w:p>
      <w:pPr>
        <w:spacing w:after="0"/>
        <w:rPr>
          <w:sz w:val="20"/>
          <w:szCs w:val="20"/>
          <w:color w:val="auto"/>
        </w:rPr>
      </w:pPr>
      <w:r>
        <w:rPr>
          <w:rFonts w:ascii="Arial" w:cs="Arial" w:eastAsia="Arial" w:hAnsi="Arial"/>
          <w:sz w:val="20"/>
          <w:szCs w:val="20"/>
          <w:color w:val="auto"/>
        </w:rPr>
        <w:t>Committee with respect to applicable Awards have been satisfied:</w:t>
      </w:r>
    </w:p>
    <w:p>
      <w:pPr>
        <w:spacing w:after="0" w:line="173"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profit before tax;</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billings;</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revenue;</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net revenue;</w:t>
      </w:r>
    </w:p>
    <w:p>
      <w:pPr>
        <w:spacing w:after="0" w:line="188" w:lineRule="exact"/>
        <w:rPr>
          <w:rFonts w:ascii="Arial" w:cs="Arial" w:eastAsia="Arial" w:hAnsi="Arial"/>
          <w:sz w:val="20"/>
          <w:szCs w:val="20"/>
          <w:color w:val="auto"/>
        </w:rPr>
      </w:pPr>
    </w:p>
    <w:p>
      <w:pPr>
        <w:ind w:right="20" w:firstLine="656"/>
        <w:spacing w:after="0" w:line="229" w:lineRule="auto"/>
        <w:tabs>
          <w:tab w:leader="none" w:pos="1296" w:val="left"/>
        </w:tabs>
        <w:numPr>
          <w:ilvl w:val="0"/>
          <w:numId w:val="24"/>
        </w:numPr>
        <w:rPr>
          <w:rFonts w:ascii="Arial" w:cs="Arial" w:eastAsia="Arial" w:hAnsi="Arial"/>
          <w:sz w:val="20"/>
          <w:szCs w:val="20"/>
          <w:color w:val="auto"/>
        </w:rPr>
      </w:pPr>
      <w:r>
        <w:rPr>
          <w:rFonts w:ascii="Arial" w:cs="Arial" w:eastAsia="Arial" w:hAnsi="Arial"/>
          <w:sz w:val="20"/>
          <w:szCs w:val="20"/>
          <w:color w:val="auto"/>
        </w:rPr>
        <w:t>earnings (which may include earnings before interest and taxes, earnings before taxes, net earnings, stock-based compensation expenses, depreciation, and amortization);</w:t>
      </w:r>
    </w:p>
    <w:p>
      <w:pPr>
        <w:spacing w:after="0" w:line="168"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operating income;</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operating margin;</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operating profit;</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controllable operating profit or net operating profit;</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net profit;</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gross margin;</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operating expenses or operating expenses as a percentage of revenue;</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net income;</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total stockholder return;</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market share;</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return on assets or net assets;</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Company’s stock price;</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growth in stockholder value relative to a pre-determined index;</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return on equity;</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return on invested capital;</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cash flow (including free cash flow or operating cash flows);</w:t>
      </w:r>
    </w:p>
    <w:p>
      <w:pPr>
        <w:sectPr>
          <w:pgSz w:w="11900" w:h="16838" w:orient="portrait"/>
          <w:cols w:equalWidth="0" w:num="1">
            <w:col w:w="11240"/>
          </w:cols>
          <w:pgMar w:left="320" w:top="104"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cash conversion cycle;</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economic value added;</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individual confidential business objectives;</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contract awards or backlog;</w:t>
      </w:r>
    </w:p>
    <w:p>
      <w:pPr>
        <w:spacing w:after="0" w:line="189"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overhead or other expense reduction;</w:t>
      </w:r>
    </w:p>
    <w:p>
      <w:pPr>
        <w:sectPr>
          <w:pgSz w:w="11900" w:h="16838" w:orient="portrait"/>
          <w:cols w:equalWidth="0" w:num="1">
            <w:col w:w="11240"/>
          </w:cols>
          <w:pgMar w:left="320" w:top="104" w:right="339" w:bottom="1440" w:gutter="0" w:footer="0" w:header="0"/>
        </w:sectPr>
      </w:pP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(ab)</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credit rating;</w:t>
      </w:r>
    </w:p>
    <w:p>
      <w:pPr>
        <w:spacing w:after="0" w:line="200" w:lineRule="exact"/>
        <w:rPr>
          <w:sz w:val="20"/>
          <w:szCs w:val="20"/>
          <w:color w:val="auto"/>
        </w:rPr>
      </w:pPr>
    </w:p>
    <w:p>
      <w:pPr>
        <w:sectPr>
          <w:pgSz w:w="11900" w:h="16838" w:orient="portrait"/>
          <w:cols w:equalWidth="0" w:num="2">
            <w:col w:w="980" w:space="320"/>
            <w:col w:w="9940"/>
          </w:cols>
          <w:pgMar w:left="320" w:top="104" w:right="339" w:bottom="1440" w:gutter="0" w:footer="0" w:header="0"/>
          <w:type w:val="continuous"/>
        </w:sectPr>
      </w:pPr>
    </w:p>
    <w:p>
      <w:pPr>
        <w:spacing w:after="0" w:line="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strategic plan development and implementation;</w:t>
      </w:r>
    </w:p>
    <w:p>
      <w:pPr>
        <w:spacing w:after="0" w:line="200" w:lineRule="exact"/>
        <w:rPr>
          <w:sz w:val="20"/>
          <w:szCs w:val="20"/>
          <w:color w:val="auto"/>
        </w:rPr>
      </w:pPr>
    </w:p>
    <w:p>
      <w:pPr>
        <w:sectPr>
          <w:pgSz w:w="11900" w:h="16838" w:orient="portrait"/>
          <w:cols w:equalWidth="0" w:num="2">
            <w:col w:w="960" w:space="340"/>
            <w:col w:w="9940"/>
          </w:cols>
          <w:pgMar w:left="320" w:top="104" w:right="339" w:bottom="1440" w:gutter="0" w:footer="0" w:header="0"/>
          <w:type w:val="continuous"/>
        </w:sectPr>
      </w:pP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succession plan development and implementation;</w:t>
      </w:r>
    </w:p>
    <w:p>
      <w:pPr>
        <w:spacing w:after="0" w:line="200" w:lineRule="exact"/>
        <w:rPr>
          <w:sz w:val="20"/>
          <w:szCs w:val="20"/>
          <w:color w:val="auto"/>
        </w:rPr>
      </w:pPr>
    </w:p>
    <w:p>
      <w:pPr>
        <w:sectPr>
          <w:pgSz w:w="11900" w:h="16838" w:orient="portrait"/>
          <w:cols w:equalWidth="0" w:num="2">
            <w:col w:w="980" w:space="320"/>
            <w:col w:w="9940"/>
          </w:cols>
          <w:pgMar w:left="320" w:top="104" w:right="339" w:bottom="144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improvement in workforce diversity;</w:t>
      </w:r>
    </w:p>
    <w:p>
      <w:pPr>
        <w:spacing w:after="0" w:line="200" w:lineRule="exact"/>
        <w:rPr>
          <w:sz w:val="20"/>
          <w:szCs w:val="20"/>
          <w:color w:val="auto"/>
        </w:rPr>
      </w:pPr>
    </w:p>
    <w:p>
      <w:pPr>
        <w:sectPr>
          <w:pgSz w:w="11900" w:h="16838" w:orient="portrait"/>
          <w:cols w:equalWidth="0" w:num="2">
            <w:col w:w="960" w:space="340"/>
            <w:col w:w="9940"/>
          </w:cols>
          <w:pgMar w:left="320" w:top="104" w:right="339" w:bottom="1440" w:gutter="0" w:footer="0" w:header="0"/>
          <w:type w:val="continuous"/>
        </w:sectPr>
      </w:pP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customer indicators and/or satisfaction;</w:t>
      </w:r>
    </w:p>
    <w:p>
      <w:pPr>
        <w:spacing w:after="0" w:line="222" w:lineRule="exact"/>
        <w:rPr>
          <w:sz w:val="20"/>
          <w:szCs w:val="20"/>
          <w:color w:val="auto"/>
        </w:rPr>
      </w:pPr>
    </w:p>
    <w:p>
      <w:pPr>
        <w:sectPr>
          <w:pgSz w:w="11900" w:h="16838" w:orient="portrait"/>
          <w:cols w:equalWidth="0" w:num="2">
            <w:col w:w="940" w:space="360"/>
            <w:col w:w="9940"/>
          </w:cols>
          <w:pgMar w:left="320" w:top="104" w:right="339" w:bottom="1440" w:gutter="0" w:footer="0" w:header="0"/>
          <w:type w:val="continuous"/>
        </w:sectPr>
      </w:pPr>
    </w:p>
    <w:p>
      <w:pPr>
        <w:spacing w:after="0" w:line="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new product invention or innovation;</w:t>
      </w:r>
    </w:p>
    <w:p>
      <w:pPr>
        <w:spacing w:after="0" w:line="198" w:lineRule="exact"/>
        <w:rPr>
          <w:sz w:val="20"/>
          <w:szCs w:val="20"/>
          <w:color w:val="auto"/>
        </w:rPr>
      </w:pPr>
    </w:p>
    <w:p>
      <w:pPr>
        <w:sectPr>
          <w:pgSz w:w="11900" w:h="16838" w:orient="portrait"/>
          <w:cols w:equalWidth="0" w:num="2">
            <w:col w:w="980" w:space="320"/>
            <w:col w:w="9940"/>
          </w:cols>
          <w:pgMar w:left="320" w:top="104" w:right="3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(ah)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attainment of research and development milestones;</w:t>
      </w:r>
    </w:p>
    <w:p>
      <w:pPr>
        <w:spacing w:after="0" w:line="200" w:lineRule="exact"/>
        <w:rPr>
          <w:sz w:val="20"/>
          <w:szCs w:val="20"/>
          <w:color w:val="auto"/>
        </w:rPr>
      </w:pPr>
    </w:p>
    <w:p>
      <w:pPr>
        <w:sectPr>
          <w:pgSz w:w="11900" w:h="16838" w:orient="portrait"/>
          <w:cols w:equalWidth="0" w:num="2">
            <w:col w:w="980" w:space="320"/>
            <w:col w:w="9940"/>
          </w:cols>
          <w:pgMar w:left="320" w:top="104" w:right="339" w:bottom="1440" w:gutter="0" w:footer="0" w:header="0"/>
          <w:type w:val="continuous"/>
        </w:sectPr>
      </w:pPr>
    </w:p>
    <w:p>
      <w:pPr>
        <w:spacing w:after="0" w:line="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(ai)</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improvements in productivity;</w:t>
      </w:r>
    </w:p>
    <w:p>
      <w:pPr>
        <w:spacing w:after="0" w:line="211" w:lineRule="exact"/>
        <w:rPr>
          <w:sz w:val="20"/>
          <w:szCs w:val="20"/>
          <w:color w:val="auto"/>
        </w:rPr>
      </w:pPr>
    </w:p>
    <w:p>
      <w:pPr>
        <w:sectPr>
          <w:pgSz w:w="11900" w:h="16838" w:orient="portrait"/>
          <w:cols w:equalWidth="0" w:num="2">
            <w:col w:w="940" w:space="420"/>
            <w:col w:w="9880"/>
          </w:cols>
          <w:pgMar w:left="320" w:top="104" w:right="339" w:bottom="1440" w:gutter="0" w:footer="0" w:header="0"/>
          <w:type w:val="continuous"/>
        </w:sectPr>
      </w:pPr>
    </w:p>
    <w:p>
      <w:pPr>
        <w:ind w:left="660"/>
        <w:spacing w:after="0"/>
        <w:rPr>
          <w:sz w:val="20"/>
          <w:szCs w:val="20"/>
          <w:color w:val="auto"/>
        </w:rPr>
      </w:pPr>
      <w:r>
        <w:rPr>
          <w:rFonts w:ascii="Arial" w:cs="Arial" w:eastAsia="Arial" w:hAnsi="Arial"/>
          <w:sz w:val="19"/>
          <w:szCs w:val="19"/>
          <w:color w:val="auto"/>
        </w:rPr>
        <w:t>(aj)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bookings;</w:t>
      </w:r>
    </w:p>
    <w:p>
      <w:pPr>
        <w:spacing w:after="0" w:line="198" w:lineRule="exact"/>
        <w:rPr>
          <w:sz w:val="20"/>
          <w:szCs w:val="20"/>
          <w:color w:val="auto"/>
        </w:rPr>
      </w:pPr>
    </w:p>
    <w:p>
      <w:pPr>
        <w:sectPr>
          <w:pgSz w:w="11900" w:h="16838" w:orient="portrait"/>
          <w:cols w:equalWidth="0" w:num="2">
            <w:col w:w="940" w:space="360"/>
            <w:col w:w="9940"/>
          </w:cols>
          <w:pgMar w:left="320" w:top="104" w:right="3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(ak)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attainment of objective operating goals and employee metrics;</w:t>
      </w:r>
    </w:p>
    <w:p>
      <w:pPr>
        <w:spacing w:after="0" w:line="222" w:lineRule="exact"/>
        <w:rPr>
          <w:sz w:val="20"/>
          <w:szCs w:val="20"/>
          <w:color w:val="auto"/>
        </w:rPr>
      </w:pPr>
    </w:p>
    <w:p>
      <w:pPr>
        <w:sectPr>
          <w:pgSz w:w="11900" w:h="16838" w:orient="portrait"/>
          <w:cols w:equalWidth="0" w:num="2">
            <w:col w:w="980" w:space="320"/>
            <w:col w:w="9940"/>
          </w:cols>
          <w:pgMar w:left="320" w:top="104" w:right="339" w:bottom="1440" w:gutter="0" w:footer="0" w:header="0"/>
          <w:type w:val="continuous"/>
        </w:sectPr>
      </w:pPr>
    </w:p>
    <w:p>
      <w:pPr>
        <w:spacing w:after="0" w:line="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sales;</w:t>
      </w:r>
    </w:p>
    <w:p>
      <w:pPr>
        <w:spacing w:after="0" w:line="234" w:lineRule="exact"/>
        <w:rPr>
          <w:sz w:val="20"/>
          <w:szCs w:val="20"/>
          <w:color w:val="auto"/>
        </w:rPr>
      </w:pPr>
    </w:p>
    <w:p>
      <w:pPr>
        <w:sectPr>
          <w:pgSz w:w="11900" w:h="16838" w:orient="portrait"/>
          <w:cols w:equalWidth="0" w:num="2">
            <w:col w:w="940" w:space="360"/>
            <w:col w:w="9940"/>
          </w:cols>
          <w:pgMar w:left="320" w:top="104" w:right="3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expenses;</w:t>
      </w:r>
    </w:p>
    <w:p>
      <w:pPr>
        <w:spacing w:after="0" w:line="200" w:lineRule="exact"/>
        <w:rPr>
          <w:sz w:val="20"/>
          <w:szCs w:val="20"/>
          <w:color w:val="auto"/>
        </w:rPr>
      </w:pPr>
    </w:p>
    <w:p>
      <w:pPr>
        <w:sectPr>
          <w:pgSz w:w="11900" w:h="16838" w:orient="portrait"/>
          <w:cols w:equalWidth="0" w:num="2">
            <w:col w:w="1020" w:space="280"/>
            <w:col w:w="9940"/>
          </w:cols>
          <w:pgMar w:left="320" w:top="104" w:right="339" w:bottom="144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balance of cash, cash equivalents, and marketable securities;</w:t>
      </w:r>
    </w:p>
    <w:p>
      <w:pPr>
        <w:spacing w:after="0" w:line="200" w:lineRule="exact"/>
        <w:rPr>
          <w:sz w:val="20"/>
          <w:szCs w:val="20"/>
          <w:color w:val="auto"/>
        </w:rPr>
      </w:pPr>
    </w:p>
    <w:p>
      <w:pPr>
        <w:sectPr>
          <w:pgSz w:w="11900" w:h="16838" w:orient="portrait"/>
          <w:cols w:equalWidth="0" w:num="2">
            <w:col w:w="980" w:space="320"/>
            <w:col w:w="9940"/>
          </w:cols>
          <w:pgMar w:left="320" w:top="104" w:right="339" w:bottom="1440" w:gutter="0" w:footer="0" w:header="0"/>
          <w:type w:val="continuous"/>
        </w:sectPr>
      </w:pP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(ao)</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completion of an identified special project;</w:t>
      </w:r>
    </w:p>
    <w:p>
      <w:pPr>
        <w:spacing w:after="0" w:line="198" w:lineRule="exact"/>
        <w:rPr>
          <w:sz w:val="20"/>
          <w:szCs w:val="20"/>
          <w:color w:val="auto"/>
        </w:rPr>
      </w:pPr>
    </w:p>
    <w:p>
      <w:pPr>
        <w:sectPr>
          <w:pgSz w:w="11900" w:h="16838" w:orient="portrait"/>
          <w:cols w:equalWidth="0" w:num="2">
            <w:col w:w="980" w:space="320"/>
            <w:col w:w="9940"/>
          </w:cols>
          <w:pgMar w:left="320" w:top="104" w:right="3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completion of a joint venture or other corporate transaction;</w:t>
      </w:r>
    </w:p>
    <w:p>
      <w:pPr>
        <w:spacing w:after="0" w:line="200" w:lineRule="exact"/>
        <w:rPr>
          <w:sz w:val="20"/>
          <w:szCs w:val="20"/>
          <w:color w:val="auto"/>
        </w:rPr>
      </w:pPr>
    </w:p>
    <w:p>
      <w:pPr>
        <w:sectPr>
          <w:pgSz w:w="11900" w:h="16838" w:orient="portrait"/>
          <w:cols w:equalWidth="0" w:num="2">
            <w:col w:w="980" w:space="320"/>
            <w:col w:w="9940"/>
          </w:cols>
          <w:pgMar w:left="320" w:top="104" w:right="339" w:bottom="1440" w:gutter="0" w:footer="0" w:header="0"/>
          <w:type w:val="continuous"/>
        </w:sectPr>
      </w:pPr>
    </w:p>
    <w:p>
      <w:pPr>
        <w:spacing w:after="0" w:line="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employee satisfaction and/or retention;</w:t>
      </w:r>
    </w:p>
    <w:p>
      <w:pPr>
        <w:spacing w:after="0" w:line="200" w:lineRule="exact"/>
        <w:rPr>
          <w:sz w:val="20"/>
          <w:szCs w:val="20"/>
          <w:color w:val="auto"/>
        </w:rPr>
      </w:pPr>
    </w:p>
    <w:p>
      <w:pPr>
        <w:sectPr>
          <w:pgSz w:w="11900" w:h="16838" w:orient="portrait"/>
          <w:cols w:equalWidth="0" w:num="2">
            <w:col w:w="980" w:space="320"/>
            <w:col w:w="9940"/>
          </w:cols>
          <w:pgMar w:left="320" w:top="104" w:right="339" w:bottom="1440" w:gutter="0" w:footer="0" w:header="0"/>
          <w:type w:val="continuous"/>
        </w:sectPr>
      </w:pP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w:t>
      </w:r>
    </w:p>
    <w:p>
      <w:pPr>
        <w:spacing w:after="0" w:line="220" w:lineRule="exact"/>
        <w:rPr>
          <w:sz w:val="20"/>
          <w:szCs w:val="20"/>
          <w:color w:val="auto"/>
        </w:rPr>
      </w:pPr>
    </w:p>
    <w:p>
      <w:pPr>
        <w:sectPr>
          <w:pgSz w:w="11900" w:h="16838" w:orient="portrait"/>
          <w:cols w:equalWidth="0" w:num="2">
            <w:col w:w="940" w:space="360"/>
            <w:col w:w="9940"/>
          </w:cols>
          <w:pgMar w:left="320" w:top="104" w:right="3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working capital targets and changes in working capital; and</w:t>
      </w:r>
    </w:p>
    <w:p>
      <w:pPr>
        <w:spacing w:after="0" w:line="200" w:lineRule="exact"/>
        <w:rPr>
          <w:sz w:val="20"/>
          <w:szCs w:val="20"/>
          <w:color w:val="auto"/>
        </w:rPr>
      </w:pPr>
    </w:p>
    <w:p>
      <w:pPr>
        <w:sectPr>
          <w:pgSz w:w="11900" w:h="16838" w:orient="portrait"/>
          <w:cols w:equalWidth="0" w:num="2">
            <w:col w:w="960" w:space="340"/>
            <w:col w:w="9940"/>
          </w:cols>
          <w:pgMar w:left="320" w:top="104" w:right="339" w:bottom="1440" w:gutter="0" w:footer="0" w:header="0"/>
          <w:type w:val="continuous"/>
        </w:sectPr>
      </w:pP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other metric that is capable of measurement as determined by the Committee.</w:t>
      </w:r>
    </w:p>
    <w:p>
      <w:pPr>
        <w:spacing w:after="0" w:line="222" w:lineRule="exact"/>
        <w:rPr>
          <w:sz w:val="20"/>
          <w:szCs w:val="20"/>
          <w:color w:val="auto"/>
        </w:rPr>
      </w:pPr>
    </w:p>
    <w:p>
      <w:pPr>
        <w:sectPr>
          <w:pgSz w:w="11900" w:h="16838" w:orient="portrait"/>
          <w:cols w:equalWidth="0" w:num="2">
            <w:col w:w="940" w:space="360"/>
            <w:col w:w="9940"/>
          </w:cols>
          <w:pgMar w:left="320" w:top="104" w:right="339" w:bottom="1440" w:gutter="0" w:footer="0" w:header="0"/>
          <w:type w:val="continuous"/>
        </w:sectPr>
      </w:pPr>
    </w:p>
    <w:p>
      <w:pPr>
        <w:spacing w:after="0" w:line="1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in recognition of unusual or non-recurring</w:t>
      </w:r>
    </w:p>
    <w:p>
      <w:pPr>
        <w:jc w:val="both"/>
        <w:ind w:right="20"/>
        <w:spacing w:after="0" w:line="227" w:lineRule="auto"/>
        <w:rPr>
          <w:sz w:val="20"/>
          <w:szCs w:val="20"/>
          <w:color w:val="auto"/>
        </w:rPr>
      </w:pPr>
      <w:r>
        <w:rPr>
          <w:rFonts w:ascii="Arial" w:cs="Arial" w:eastAsia="Arial" w:hAnsi="Arial"/>
          <w:sz w:val="20"/>
          <w:szCs w:val="20"/>
          <w:color w:val="auto"/>
        </w:rPr>
        <w:t>items such as acquisition-related activities or changes in applicable accounting rules. It is within the sole discretion of the Committee to make or not make any such equitable adjustments.</w:t>
      </w:r>
    </w:p>
    <w:p>
      <w:pPr>
        <w:spacing w:after="0" w:line="150" w:lineRule="exact"/>
        <w:rPr>
          <w:sz w:val="20"/>
          <w:szCs w:val="20"/>
          <w:color w:val="auto"/>
        </w:rPr>
      </w:pPr>
    </w:p>
    <w:p>
      <w:pPr>
        <w:jc w:val="both"/>
        <w:ind w:right="20" w:firstLine="648"/>
        <w:spacing w:after="0" w:line="230" w:lineRule="auto"/>
        <w:rPr>
          <w:sz w:val="20"/>
          <w:szCs w:val="20"/>
          <w:color w:val="auto"/>
        </w:rPr>
      </w:pPr>
      <w:r>
        <w:rPr>
          <w:rFonts w:ascii="Arial" w:cs="Arial" w:eastAsia="Arial" w:hAnsi="Arial"/>
          <w:sz w:val="20"/>
          <w:szCs w:val="20"/>
          <w:b w:val="1"/>
          <w:bCs w:val="1"/>
          <w:color w:val="auto"/>
        </w:rPr>
        <w:t xml:space="preserve">26.26. </w:t>
      </w: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means one or more periods of time, which may be of varying and overlapping durations, as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may select, over which the attainment of one or more Performance Factors will be measured for the purpose of determining a Participant’s right to, and the payment of, a Performance Award.</w:t>
      </w:r>
    </w:p>
    <w:p>
      <w:pPr>
        <w:spacing w:after="0" w:line="149"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20"/>
          <w:szCs w:val="20"/>
          <w:b w:val="1"/>
          <w:bCs w:val="1"/>
          <w:color w:val="auto"/>
        </w:rPr>
        <w:t xml:space="preserve">26.27. </w:t>
      </w: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Share</w:t>
      </w:r>
      <w:r>
        <w:rPr>
          <w:rFonts w:ascii="Arial" w:cs="Arial" w:eastAsia="Arial" w:hAnsi="Arial"/>
          <w:sz w:val="20"/>
          <w:szCs w:val="20"/>
          <w:color w:val="auto"/>
        </w:rPr>
        <w:t>” means an Award granted pursuant to Section 10 of the Plan, consisting of a unit valued by reference</w:t>
      </w:r>
      <w:r>
        <w:rPr>
          <w:rFonts w:ascii="Arial" w:cs="Arial" w:eastAsia="Arial" w:hAnsi="Arial"/>
          <w:sz w:val="20"/>
          <w:szCs w:val="20"/>
          <w:b w:val="1"/>
          <w:bCs w:val="1"/>
          <w:color w:val="auto"/>
        </w:rPr>
        <w:t xml:space="preserve"> </w:t>
      </w:r>
      <w:r>
        <w:rPr>
          <w:rFonts w:ascii="Arial" w:cs="Arial" w:eastAsia="Arial" w:hAnsi="Arial"/>
          <w:sz w:val="20"/>
          <w:szCs w:val="20"/>
          <w:color w:val="auto"/>
        </w:rPr>
        <w:t>to a designated number of Shares, the value of which may be</w:t>
      </w:r>
    </w:p>
    <w:p>
      <w:pPr>
        <w:sectPr>
          <w:pgSz w:w="11900" w:h="16838" w:orient="portrait"/>
          <w:cols w:equalWidth="0" w:num="1">
            <w:col w:w="11240"/>
          </w:cols>
          <w:pgMar w:left="320" w:top="104" w:right="33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paid to the Participant by delivery of Shares or, if set forth in the instrument evidencing the Award, of such property as the Committee shall</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determine, including, without limitation, cash, other property, or any combination thereof, upon the attainment of performance goals, as established by the Committee, and other terms and conditions specified by the Committee.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26.28.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 Award granted pursuant to Section 10 of the Plan, consisting of a unit valued by reference to</w:t>
      </w:r>
    </w:p>
    <w:p>
      <w:pPr>
        <w:spacing w:after="0" w:line="1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 designated amount of property other than Shares, which value may be paid to the Participant by delivery of such property as the Committee shall determine, including, without limitation, cash, Shares, other property, or any combination thereof, upon the attainment of performance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goals, as established by the Committee, and other terms and conditions specified by the Committee.</w:t>
      </w:r>
    </w:p>
    <w:p>
      <w:pPr>
        <w:spacing w:after="0" w:line="16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26.29.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w:t>
      </w:r>
      <w:r>
        <w:rPr>
          <w:rFonts w:ascii="Arial" w:cs="Arial" w:eastAsia="Arial" w:hAnsi="Arial"/>
          <w:sz w:val="18"/>
          <w:szCs w:val="18"/>
          <w:b w:val="1"/>
          <w:bCs w:val="1"/>
          <w:color w:val="auto"/>
        </w:rPr>
        <w:t xml:space="preserve"> </w:t>
      </w:r>
      <w:r>
        <w:rPr>
          <w:rFonts w:ascii="Arial" w:cs="Arial" w:eastAsia="Arial" w:hAnsi="Arial"/>
          <w:sz w:val="18"/>
          <w:szCs w:val="18"/>
          <w:color w:val="auto"/>
        </w:rPr>
        <w:t>sibling, niece, nephew, mother-in-law, father-in-law, son-in-law, daughter-in-law, brother-in-law, or sister-in-law (including adoptive</w:t>
      </w:r>
    </w:p>
    <w:p>
      <w:pPr>
        <w:spacing w:after="0" w:line="236" w:lineRule="auto"/>
        <w:rPr>
          <w:sz w:val="20"/>
          <w:szCs w:val="20"/>
          <w:color w:val="auto"/>
        </w:rPr>
      </w:pPr>
      <w:r>
        <w:rPr>
          <w:rFonts w:ascii="Arial" w:cs="Arial" w:eastAsia="Arial" w:hAnsi="Arial"/>
          <w:sz w:val="18"/>
          <w:szCs w:val="18"/>
          <w:color w:val="auto"/>
        </w:rPr>
        <w:t>relationships) of the Employee, any person sharing the Employee’s household (other than a tenant or employee), a trust in which these</w:t>
      </w:r>
    </w:p>
    <w:p>
      <w:pPr>
        <w:ind w:right="20"/>
        <w:spacing w:after="0" w:line="250" w:lineRule="auto"/>
        <w:rPr>
          <w:sz w:val="20"/>
          <w:szCs w:val="20"/>
          <w:color w:val="auto"/>
        </w:rPr>
      </w:pPr>
      <w:r>
        <w:rPr>
          <w:rFonts w:ascii="Arial" w:cs="Arial" w:eastAsia="Arial" w:hAnsi="Arial"/>
          <w:sz w:val="18"/>
          <w:szCs w:val="18"/>
          <w:color w:val="auto"/>
        </w:rPr>
        <w:t>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2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26.30.</w:t>
            </w:r>
          </w:p>
        </w:tc>
        <w:tc>
          <w:tcPr>
            <w:tcW w:w="10000" w:type="dxa"/>
            <w:vAlign w:val="bottom"/>
          </w:tcPr>
          <w:p>
            <w:pPr>
              <w:ind w:lef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this GeneDx Holdings Corp. 2023 Equity Inducement Plan.</w:t>
            </w:r>
          </w:p>
        </w:tc>
      </w:tr>
      <w:tr>
        <w:trPr>
          <w:trHeight w:val="360"/>
        </w:trPr>
        <w:tc>
          <w:tcPr>
            <w:tcW w:w="122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26.31.</w:t>
            </w:r>
          </w:p>
        </w:tc>
        <w:tc>
          <w:tcPr>
            <w:tcW w:w="10000" w:type="dxa"/>
            <w:vAlign w:val="bottom"/>
          </w:tcPr>
          <w:p>
            <w:pPr>
              <w:ind w:left="80"/>
              <w:spacing w:after="0"/>
              <w:rPr>
                <w:sz w:val="20"/>
                <w:szCs w:val="20"/>
                <w:color w:val="auto"/>
              </w:rPr>
            </w:pPr>
            <w:r>
              <w:rPr>
                <w:rFonts w:ascii="Arial" w:cs="Arial" w:eastAsia="Arial" w:hAnsi="Arial"/>
                <w:sz w:val="20"/>
                <w:szCs w:val="20"/>
                <w:color w:val="auto"/>
                <w:w w:val="88"/>
              </w:rPr>
              <w:t>“</w:t>
            </w:r>
            <w:r>
              <w:rPr>
                <w:rFonts w:ascii="Arial" w:cs="Arial" w:eastAsia="Arial" w:hAnsi="Arial"/>
                <w:sz w:val="20"/>
                <w:szCs w:val="20"/>
                <w:b w:val="1"/>
                <w:bCs w:val="1"/>
                <w:i w:val="1"/>
                <w:iCs w:val="1"/>
                <w:color w:val="auto"/>
                <w:w w:val="88"/>
              </w:rPr>
              <w:t>Purchase Price</w:t>
            </w:r>
            <w:r>
              <w:rPr>
                <w:rFonts w:ascii="Arial" w:cs="Arial" w:eastAsia="Arial" w:hAnsi="Arial"/>
                <w:sz w:val="20"/>
                <w:szCs w:val="20"/>
                <w:color w:val="auto"/>
                <w:w w:val="88"/>
              </w:rPr>
              <w:t>” means the price to be paid for Shares acquired under the Plan, other than Shares acquired upon exercise of</w:t>
            </w:r>
          </w:p>
        </w:tc>
      </w:tr>
      <w:tr>
        <w:trPr>
          <w:trHeight w:val="250"/>
        </w:trPr>
        <w:tc>
          <w:tcPr>
            <w:tcW w:w="11220" w:type="dxa"/>
            <w:vAlign w:val="bottom"/>
            <w:gridSpan w:val="2"/>
          </w:tcPr>
          <w:p>
            <w:pPr>
              <w:spacing w:after="0"/>
              <w:rPr>
                <w:sz w:val="20"/>
                <w:szCs w:val="20"/>
                <w:color w:val="auto"/>
              </w:rPr>
            </w:pPr>
            <w:r>
              <w:rPr>
                <w:rFonts w:ascii="Arial" w:cs="Arial" w:eastAsia="Arial" w:hAnsi="Arial"/>
                <w:sz w:val="20"/>
                <w:szCs w:val="20"/>
                <w:color w:val="auto"/>
              </w:rPr>
              <w:t>an Option or SAR.</w:t>
            </w:r>
          </w:p>
        </w:tc>
      </w:tr>
      <w:tr>
        <w:trPr>
          <w:trHeight w:val="367"/>
        </w:trPr>
        <w:tc>
          <w:tcPr>
            <w:tcW w:w="122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26.32.</w:t>
            </w:r>
          </w:p>
        </w:tc>
        <w:tc>
          <w:tcPr>
            <w:tcW w:w="10000" w:type="dxa"/>
            <w:vAlign w:val="bottom"/>
          </w:tcPr>
          <w:p>
            <w:pPr>
              <w:ind w:left="80"/>
              <w:spacing w:after="0"/>
              <w:rPr>
                <w:sz w:val="20"/>
                <w:szCs w:val="20"/>
                <w:color w:val="auto"/>
              </w:rPr>
            </w:pPr>
            <w:r>
              <w:rPr>
                <w:rFonts w:ascii="Arial" w:cs="Arial" w:eastAsia="Arial" w:hAnsi="Arial"/>
                <w:sz w:val="20"/>
                <w:szCs w:val="20"/>
                <w:color w:val="auto"/>
                <w:w w:val="93"/>
              </w:rPr>
              <w:t>“</w:t>
            </w:r>
            <w:r>
              <w:rPr>
                <w:rFonts w:ascii="Arial" w:cs="Arial" w:eastAsia="Arial" w:hAnsi="Arial"/>
                <w:sz w:val="20"/>
                <w:szCs w:val="20"/>
                <w:b w:val="1"/>
                <w:bCs w:val="1"/>
                <w:i w:val="1"/>
                <w:iCs w:val="1"/>
                <w:color w:val="auto"/>
                <w:w w:val="93"/>
              </w:rPr>
              <w:t>Restricted Stock Award</w:t>
            </w:r>
            <w:r>
              <w:rPr>
                <w:rFonts w:ascii="Arial" w:cs="Arial" w:eastAsia="Arial" w:hAnsi="Arial"/>
                <w:sz w:val="20"/>
                <w:szCs w:val="20"/>
                <w:color w:val="auto"/>
                <w:w w:val="93"/>
              </w:rPr>
              <w:t>” means an award of Shares pursuant to Section 6 of the Plan, or issued pursuant to the early</w:t>
            </w:r>
          </w:p>
        </w:tc>
      </w:tr>
      <w:tr>
        <w:trPr>
          <w:trHeight w:val="250"/>
        </w:trPr>
        <w:tc>
          <w:tcPr>
            <w:tcW w:w="11220" w:type="dxa"/>
            <w:vAlign w:val="bottom"/>
            <w:gridSpan w:val="2"/>
          </w:tcPr>
          <w:p>
            <w:pPr>
              <w:jc w:val="center"/>
              <w:ind w:right="9361"/>
              <w:spacing w:after="0"/>
              <w:rPr>
                <w:sz w:val="20"/>
                <w:szCs w:val="20"/>
                <w:color w:val="auto"/>
              </w:rPr>
            </w:pPr>
            <w:r>
              <w:rPr>
                <w:rFonts w:ascii="Arial" w:cs="Arial" w:eastAsia="Arial" w:hAnsi="Arial"/>
                <w:sz w:val="20"/>
                <w:szCs w:val="20"/>
                <w:color w:val="auto"/>
                <w:w w:val="90"/>
              </w:rPr>
              <w:t>exercise of an Option.</w:t>
            </w:r>
          </w:p>
        </w:tc>
      </w:tr>
      <w:tr>
        <w:trPr>
          <w:trHeight w:val="405"/>
        </w:trPr>
        <w:tc>
          <w:tcPr>
            <w:tcW w:w="122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26.33.</w:t>
            </w:r>
          </w:p>
        </w:tc>
        <w:tc>
          <w:tcPr>
            <w:tcW w:w="10000" w:type="dxa"/>
            <w:vAlign w:val="bottom"/>
          </w:tcPr>
          <w:p>
            <w:pPr>
              <w:ind w:lef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Unit</w:t>
            </w:r>
            <w:r>
              <w:rPr>
                <w:rFonts w:ascii="Arial" w:cs="Arial" w:eastAsia="Arial" w:hAnsi="Arial"/>
                <w:sz w:val="20"/>
                <w:szCs w:val="20"/>
                <w:color w:val="auto"/>
              </w:rPr>
              <w:t>” means an Award granted pursuant to Section 9 of the Plan.</w:t>
            </w:r>
          </w:p>
        </w:tc>
      </w:tr>
      <w:tr>
        <w:trPr>
          <w:trHeight w:val="418"/>
        </w:trPr>
        <w:tc>
          <w:tcPr>
            <w:tcW w:w="122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26.34.</w:t>
            </w:r>
          </w:p>
        </w:tc>
        <w:tc>
          <w:tcPr>
            <w:tcW w:w="10000" w:type="dxa"/>
            <w:vAlign w:val="bottom"/>
          </w:tcPr>
          <w:p>
            <w:pPr>
              <w:ind w:lef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w:t>
            </w:r>
            <w:r>
              <w:rPr>
                <w:rFonts w:ascii="Arial" w:cs="Arial" w:eastAsia="Arial" w:hAnsi="Arial"/>
                <w:sz w:val="20"/>
                <w:szCs w:val="20"/>
                <w:color w:val="auto"/>
              </w:rPr>
              <w:t>” means the United States Securities and Exchange Commission.</w:t>
            </w:r>
          </w:p>
        </w:tc>
      </w:tr>
      <w:tr>
        <w:trPr>
          <w:trHeight w:val="405"/>
        </w:trPr>
        <w:tc>
          <w:tcPr>
            <w:tcW w:w="122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26.35.</w:t>
            </w:r>
          </w:p>
        </w:tc>
        <w:tc>
          <w:tcPr>
            <w:tcW w:w="10000" w:type="dxa"/>
            <w:vAlign w:val="bottom"/>
          </w:tcPr>
          <w:p>
            <w:pPr>
              <w:ind w:lef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means the United States Securities Act of 1933, as amended.</w:t>
            </w:r>
          </w:p>
        </w:tc>
      </w:tr>
      <w:tr>
        <w:trPr>
          <w:trHeight w:val="387"/>
        </w:trPr>
        <w:tc>
          <w:tcPr>
            <w:tcW w:w="122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26.36.</w:t>
            </w:r>
          </w:p>
        </w:tc>
        <w:tc>
          <w:tcPr>
            <w:tcW w:w="10000" w:type="dxa"/>
            <w:vAlign w:val="bottom"/>
          </w:tcPr>
          <w:p>
            <w:pPr>
              <w:ind w:left="8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i w:val="1"/>
                <w:iCs w:val="1"/>
                <w:color w:val="auto"/>
                <w:w w:val="89"/>
              </w:rPr>
              <w:t>Service</w:t>
            </w:r>
            <w:r>
              <w:rPr>
                <w:rFonts w:ascii="Arial" w:cs="Arial" w:eastAsia="Arial" w:hAnsi="Arial"/>
                <w:sz w:val="20"/>
                <w:szCs w:val="20"/>
                <w:color w:val="auto"/>
                <w:w w:val="89"/>
              </w:rPr>
              <w:t>” shall mean service as an Employee or Consultant, subject to such further limitations as may be set forth in the Plan</w:t>
            </w:r>
          </w:p>
        </w:tc>
      </w:tr>
    </w:tbl>
    <w:p>
      <w:pPr>
        <w:jc w:val="both"/>
        <w:ind w:right="20"/>
        <w:spacing w:after="0" w:line="226" w:lineRule="auto"/>
        <w:rPr>
          <w:sz w:val="20"/>
          <w:szCs w:val="20"/>
          <w:color w:val="auto"/>
        </w:rPr>
      </w:pPr>
      <w:r>
        <w:rPr>
          <w:rFonts w:ascii="Arial" w:cs="Arial" w:eastAsia="Arial" w:hAnsi="Arial"/>
          <w:sz w:val="18"/>
          <w:szCs w:val="18"/>
          <w:color w:val="auto"/>
        </w:rPr>
        <w:t>or the applicable Award Agreement. An Employee will not be deemed to have ceased to provide Service in the case of any leave of absence approved by the Company. In the case of any Employee on an approved leave of absence or a reduction in hours worked (for illustrative</w:t>
      </w:r>
    </w:p>
    <w:p>
      <w:pPr>
        <w:spacing w:after="0" w:line="236" w:lineRule="auto"/>
        <w:rPr>
          <w:sz w:val="20"/>
          <w:szCs w:val="20"/>
          <w:color w:val="auto"/>
        </w:rPr>
      </w:pPr>
      <w:r>
        <w:rPr>
          <w:rFonts w:ascii="Arial" w:cs="Arial" w:eastAsia="Arial" w:hAnsi="Arial"/>
          <w:sz w:val="18"/>
          <w:szCs w:val="18"/>
          <w:color w:val="auto"/>
        </w:rPr>
        <w:t>purposes only, a change in schedule from that of full-time to part-time), the Committee may make such provisions respecting suspension of</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or modification to vesting of the Award while on leave from the employ of the Company or a Parent, Subsidiary or Affiliate or during such change in working hours as it may deem appropriate, except that in no event may an Award be exercised after the expiration of the term set</w:t>
      </w:r>
    </w:p>
    <w:p>
      <w:pPr>
        <w:spacing w:after="0" w:line="224" w:lineRule="auto"/>
        <w:rPr>
          <w:sz w:val="20"/>
          <w:szCs w:val="20"/>
          <w:color w:val="auto"/>
        </w:rPr>
      </w:pPr>
      <w:r>
        <w:rPr>
          <w:rFonts w:ascii="Arial" w:cs="Arial" w:eastAsia="Arial" w:hAnsi="Arial"/>
          <w:sz w:val="19"/>
          <w:szCs w:val="19"/>
          <w:color w:val="auto"/>
        </w:rPr>
        <w:t>forth in the applicable Award Agreement. In the event of military or other protected leave, if required by applicable laws, vesting shall</w:t>
      </w:r>
    </w:p>
    <w:p>
      <w:pPr>
        <w:jc w:val="both"/>
        <w:ind w:right="20"/>
        <w:spacing w:after="0" w:line="226" w:lineRule="auto"/>
        <w:rPr>
          <w:sz w:val="20"/>
          <w:szCs w:val="20"/>
          <w:color w:val="auto"/>
        </w:rPr>
      </w:pPr>
      <w:r>
        <w:rPr>
          <w:rFonts w:ascii="Arial" w:cs="Arial" w:eastAsia="Arial" w:hAnsi="Arial"/>
          <w:sz w:val="18"/>
          <w:szCs w:val="18"/>
          <w:color w:val="auto"/>
        </w:rPr>
        <w:t>continue for the longest period that vesting continues under any other statutory or Company approved leave of absence and, upon a Participant’s returning from such leave, he or she shall be given vesting credit with respect to Awards to the same extent as would have</w:t>
      </w:r>
    </w:p>
    <w:p>
      <w:pPr>
        <w:spacing w:after="0" w:line="236" w:lineRule="auto"/>
        <w:rPr>
          <w:sz w:val="20"/>
          <w:szCs w:val="20"/>
          <w:color w:val="auto"/>
        </w:rPr>
      </w:pPr>
      <w:r>
        <w:rPr>
          <w:rFonts w:ascii="Arial" w:cs="Arial" w:eastAsia="Arial" w:hAnsi="Arial"/>
          <w:sz w:val="18"/>
          <w:szCs w:val="18"/>
          <w:color w:val="auto"/>
        </w:rPr>
        <w:t>applied had the Participant continued to provide Service to the Company throughout the leave on the same terms as he or she was providing</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Service immediately prior to such leave. An employee shall have terminated employment as of the date he or she ceases to provide Service (regardless of whether the termination is in breach of local employment laws or is later found to be invalid) and employment shall not be</w:t>
      </w:r>
    </w:p>
    <w:p>
      <w:pPr>
        <w:spacing w:after="0" w:line="236" w:lineRule="auto"/>
        <w:rPr>
          <w:sz w:val="20"/>
          <w:szCs w:val="20"/>
          <w:color w:val="auto"/>
        </w:rPr>
      </w:pPr>
      <w:r>
        <w:rPr>
          <w:rFonts w:ascii="Arial" w:cs="Arial" w:eastAsia="Arial" w:hAnsi="Arial"/>
          <w:sz w:val="18"/>
          <w:szCs w:val="18"/>
          <w:color w:val="auto"/>
        </w:rPr>
        <w:t xml:space="preserve">extended by any notice period or garden leave mandated by local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change in status between an Employee and</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Consultant shall not terminate the service provider’s Service, unless determined by the Committee, in its discretion or to the extent set forth in the applicable Award Agreement. The Committee will have sole discretion to determine whether a Participant has ceased to provide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Service and the effective date on which the Participant ceased to provide Service.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26.37.  </w:t>
      </w:r>
      <w:r>
        <w:rPr>
          <w:rFonts w:ascii="Arial" w:cs="Arial" w:eastAsia="Arial" w:hAnsi="Arial"/>
          <w:sz w:val="19"/>
          <w:szCs w:val="19"/>
          <w:color w:val="auto"/>
        </w:rPr>
        <w:t>“</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means shares of the Class A common stock of the Company and the common stock of any successor entity.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26.38.  </w:t>
      </w:r>
      <w:r>
        <w:rPr>
          <w:rFonts w:ascii="Arial" w:cs="Arial" w:eastAsia="Arial" w:hAnsi="Arial"/>
          <w:sz w:val="20"/>
          <w:szCs w:val="20"/>
          <w:color w:val="auto"/>
        </w:rPr>
        <w:t>“</w:t>
      </w:r>
      <w:r>
        <w:rPr>
          <w:rFonts w:ascii="Arial" w:cs="Arial" w:eastAsia="Arial" w:hAnsi="Arial"/>
          <w:sz w:val="20"/>
          <w:szCs w:val="20"/>
          <w:b w:val="1"/>
          <w:bCs w:val="1"/>
          <w:i w:val="1"/>
          <w:iCs w:val="1"/>
          <w:color w:val="auto"/>
        </w:rPr>
        <w:t>Stock Appreciation Right</w:t>
      </w:r>
      <w:r>
        <w:rPr>
          <w:rFonts w:ascii="Arial" w:cs="Arial" w:eastAsia="Arial" w:hAnsi="Arial"/>
          <w:sz w:val="20"/>
          <w:szCs w:val="20"/>
          <w:color w:val="auto"/>
        </w:rPr>
        <w:t>” means an Award granted pursuant to Section 8 of the Plan.</w:t>
      </w:r>
    </w:p>
    <w:p>
      <w:pPr>
        <w:sectPr>
          <w:pgSz w:w="11900" w:h="16838" w:orient="portrait"/>
          <w:cols w:equalWidth="0" w:num="1">
            <w:col w:w="11240"/>
          </w:cols>
          <w:pgMar w:left="320" w:top="104"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26.39.  </w:t>
      </w:r>
      <w:r>
        <w:rPr>
          <w:rFonts w:ascii="Arial" w:cs="Arial" w:eastAsia="Arial" w:hAnsi="Arial"/>
          <w:sz w:val="20"/>
          <w:szCs w:val="20"/>
          <w:color w:val="auto"/>
        </w:rPr>
        <w:t>“</w:t>
      </w:r>
      <w:r>
        <w:rPr>
          <w:rFonts w:ascii="Arial" w:cs="Arial" w:eastAsia="Arial" w:hAnsi="Arial"/>
          <w:sz w:val="20"/>
          <w:szCs w:val="20"/>
          <w:b w:val="1"/>
          <w:bCs w:val="1"/>
          <w:i w:val="1"/>
          <w:iCs w:val="1"/>
          <w:color w:val="auto"/>
        </w:rPr>
        <w:t>Stock Bonus</w:t>
      </w:r>
      <w:r>
        <w:rPr>
          <w:rFonts w:ascii="Arial" w:cs="Arial" w:eastAsia="Arial" w:hAnsi="Arial"/>
          <w:sz w:val="20"/>
          <w:szCs w:val="20"/>
          <w:color w:val="auto"/>
        </w:rPr>
        <w:t>” means an Award granted pursuant to Section 7 of the Plan.</w:t>
      </w:r>
    </w:p>
    <w:p>
      <w:pPr>
        <w:spacing w:after="0" w:line="18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26.40.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if each of the corporations other than the last corporation in the unbroken chain owns stock possessing fifty percent (50%) or more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the total combined voting power of all classes of stock in one of the other corporations in such chain.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26.41.  </w:t>
      </w:r>
      <w:r>
        <w:rPr>
          <w:rFonts w:ascii="Arial" w:cs="Arial" w:eastAsia="Arial" w:hAnsi="Arial"/>
          <w:sz w:val="20"/>
          <w:szCs w:val="20"/>
          <w:color w:val="auto"/>
        </w:rPr>
        <w:t>“</w:t>
      </w:r>
      <w:r>
        <w:rPr>
          <w:rFonts w:ascii="Arial" w:cs="Arial" w:eastAsia="Arial" w:hAnsi="Arial"/>
          <w:sz w:val="20"/>
          <w:szCs w:val="20"/>
          <w:b w:val="1"/>
          <w:bCs w:val="1"/>
          <w:i w:val="1"/>
          <w:iCs w:val="1"/>
          <w:color w:val="auto"/>
        </w:rPr>
        <w:t>Treasury Regulations</w:t>
      </w:r>
      <w:r>
        <w:rPr>
          <w:rFonts w:ascii="Arial" w:cs="Arial" w:eastAsia="Arial" w:hAnsi="Arial"/>
          <w:sz w:val="20"/>
          <w:szCs w:val="20"/>
          <w:color w:val="auto"/>
        </w:rPr>
        <w:t>” means regulations promulgated by the United States Treasury Department.</w:t>
      </w:r>
    </w:p>
    <w:p>
      <w:pPr>
        <w:spacing w:after="0" w:line="175" w:lineRule="exact"/>
        <w:rPr>
          <w:sz w:val="20"/>
          <w:szCs w:val="20"/>
          <w:color w:val="auto"/>
        </w:rPr>
      </w:pPr>
    </w:p>
    <w:p>
      <w:pPr>
        <w:ind w:right="20" w:firstLine="648"/>
        <w:spacing w:after="0" w:line="239" w:lineRule="auto"/>
        <w:rPr>
          <w:sz w:val="20"/>
          <w:szCs w:val="20"/>
          <w:color w:val="auto"/>
        </w:rPr>
      </w:pPr>
      <w:r>
        <w:rPr>
          <w:rFonts w:ascii="Arial" w:cs="Arial" w:eastAsia="Arial" w:hAnsi="Arial"/>
          <w:sz w:val="20"/>
          <w:szCs w:val="20"/>
          <w:b w:val="1"/>
          <w:bCs w:val="1"/>
          <w:color w:val="auto"/>
        </w:rPr>
        <w:t xml:space="preserve">26.42. </w:t>
      </w:r>
      <w:r>
        <w:rPr>
          <w:rFonts w:ascii="Arial" w:cs="Arial" w:eastAsia="Arial" w:hAnsi="Arial"/>
          <w:sz w:val="20"/>
          <w:szCs w:val="20"/>
          <w:color w:val="auto"/>
        </w:rPr>
        <w:t>“</w:t>
      </w:r>
      <w:r>
        <w:rPr>
          <w:rFonts w:ascii="Arial" w:cs="Arial" w:eastAsia="Arial" w:hAnsi="Arial"/>
          <w:sz w:val="20"/>
          <w:szCs w:val="20"/>
          <w:b w:val="1"/>
          <w:bCs w:val="1"/>
          <w:i w:val="1"/>
          <w:iCs w:val="1"/>
          <w:color w:val="auto"/>
        </w:rPr>
        <w:t>Unvested Shares</w:t>
      </w:r>
      <w:r>
        <w:rPr>
          <w:rFonts w:ascii="Arial" w:cs="Arial" w:eastAsia="Arial" w:hAnsi="Arial"/>
          <w:sz w:val="20"/>
          <w:szCs w:val="20"/>
          <w:color w:val="auto"/>
        </w:rPr>
        <w:t>” means Shares that have not yet vested or are subject to a right of repurchase in favor of the Company (or</w:t>
      </w:r>
      <w:r>
        <w:rPr>
          <w:rFonts w:ascii="Arial" w:cs="Arial" w:eastAsia="Arial" w:hAnsi="Arial"/>
          <w:sz w:val="20"/>
          <w:szCs w:val="20"/>
          <w:b w:val="1"/>
          <w:bCs w:val="1"/>
          <w:color w:val="auto"/>
        </w:rPr>
        <w:t xml:space="preserve"> </w:t>
      </w:r>
      <w:r>
        <w:rPr>
          <w:rFonts w:ascii="Arial" w:cs="Arial" w:eastAsia="Arial" w:hAnsi="Arial"/>
          <w:sz w:val="20"/>
          <w:szCs w:val="20"/>
          <w:color w:val="auto"/>
        </w:rPr>
        <w:t>any successor thereto).</w:t>
      </w:r>
    </w:p>
    <w:p>
      <w:pPr>
        <w:spacing w:after="0" w:line="163" w:lineRule="exact"/>
        <w:rPr>
          <w:sz w:val="20"/>
          <w:szCs w:val="20"/>
          <w:color w:val="auto"/>
        </w:rPr>
      </w:pPr>
    </w:p>
    <w:p>
      <w:pPr>
        <w:jc w:val="both"/>
        <w:ind w:right="20" w:firstLine="8"/>
        <w:spacing w:after="0" w:line="232" w:lineRule="auto"/>
        <w:tabs>
          <w:tab w:leader="none" w:pos="648"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color w:val="auto"/>
        </w:rPr>
        <w:t>. This Plan and Awards granted hereunder are intended to comply with Section 409A of the Code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guidance promulgated thereunder (collectively,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to the extent subject thereto, or otherwise be exempt from Section 409A,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required by applicable law. Notwithstanding anything to the contrary in the Plan, to the extent required to avoid accelerated taxation and tax penalties under Section 409A, amounts that would otherwise be payable and benefits that would otherwise be provided pursuant to the Plan or any Award Agreement granted pursuant hereto during the six-month period immediately following the Participant’s termination of Service (the “</w:t>
      </w:r>
      <w:r>
        <w:rPr>
          <w:rFonts w:ascii="Arial" w:cs="Arial" w:eastAsia="Arial" w:hAnsi="Arial"/>
          <w:sz w:val="18"/>
          <w:szCs w:val="18"/>
          <w:b w:val="1"/>
          <w:bCs w:val="1"/>
          <w:i w:val="1"/>
          <w:iCs w:val="1"/>
          <w:color w:val="auto"/>
        </w:rPr>
        <w:t>Deferred Amounts</w:t>
      </w:r>
      <w:r>
        <w:rPr>
          <w:rFonts w:ascii="Arial" w:cs="Arial" w:eastAsia="Arial" w:hAnsi="Arial"/>
          <w:sz w:val="18"/>
          <w:szCs w:val="18"/>
          <w:color w:val="auto"/>
        </w:rPr>
        <w:t>”) shall instead be paid on the first payroll date after the earlier of</w:t>
      </w:r>
    </w:p>
    <w:p>
      <w:pPr>
        <w:jc w:val="both"/>
        <w:ind w:right="20"/>
        <w:spacing w:after="0" w:line="212" w:lineRule="auto"/>
        <w:rPr>
          <w:rFonts w:ascii="Arial" w:cs="Arial" w:eastAsia="Arial" w:hAnsi="Arial"/>
          <w:sz w:val="18"/>
          <w:szCs w:val="18"/>
          <w:b w:val="1"/>
          <w:bCs w:val="1"/>
          <w:color w:val="auto"/>
        </w:rPr>
      </w:pPr>
      <w:r>
        <w:rPr>
          <w:rFonts w:ascii="Arial" w:cs="Arial" w:eastAsia="Arial" w:hAnsi="Arial"/>
          <w:sz w:val="20"/>
          <w:szCs w:val="20"/>
          <w:color w:val="auto"/>
        </w:rPr>
        <w:t>(i) the six-month anniversary of the Participant’s “separation from service” (as defined in Section 409A) or (ii) the Participant’s death (such date, the “</w:t>
      </w:r>
      <w:r>
        <w:rPr>
          <w:rFonts w:ascii="Arial" w:cs="Arial" w:eastAsia="Arial" w:hAnsi="Arial"/>
          <w:sz w:val="20"/>
          <w:szCs w:val="20"/>
          <w:b w:val="1"/>
          <w:bCs w:val="1"/>
          <w:i w:val="1"/>
          <w:iCs w:val="1"/>
          <w:color w:val="auto"/>
        </w:rPr>
        <w:t>Section 409A Payment Date</w:t>
      </w:r>
      <w:r>
        <w:rPr>
          <w:rFonts w:ascii="Arial" w:cs="Arial" w:eastAsia="Arial" w:hAnsi="Arial"/>
          <w:sz w:val="20"/>
          <w:szCs w:val="20"/>
          <w:color w:val="auto"/>
        </w:rPr>
        <w:t>”), with any portion of the Deferred Amounts that would otherwise be payable prior to the Section 409A Payment Date aggregated and paid in a lump sum without interest on the Section 409A Payment Date. Notwithstanding the foregoing, none of the Company, the Committee or any of their respective affiliates shall have any obligation to take any action to prevent the assessment of any additional tax or penalty on any Participant under Section 409A and, by accepting an Award granted hereunder, the Participant acknowledges and agrees that none of the Company, the Committee or any of their respective affiliates will have any liability to the Participant for any such tax or penalty.</w:t>
      </w:r>
    </w:p>
    <w:p>
      <w:pPr>
        <w:sectPr>
          <w:pgSz w:w="11900" w:h="16838" w:orient="portrait"/>
          <w:cols w:equalWidth="0" w:num="1">
            <w:col w:w="11240"/>
          </w:cols>
          <w:pgMar w:left="320" w:top="104" w:right="339" w:bottom="1440" w:gutter="0" w:footer="0" w:header="0"/>
        </w:sectPr>
      </w:pPr>
    </w:p>
    <w:bookmarkStart w:id="21" w:name="page22"/>
    <w:bookmarkEnd w:id="21"/>
    <w:p>
      <w:pPr>
        <w:ind w:left="10220"/>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GENEDX HOLDINGS CORP.</w:t>
      </w:r>
    </w:p>
    <w:p>
      <w:pPr>
        <w:jc w:val="center"/>
        <w:spacing w:after="0"/>
        <w:rPr>
          <w:sz w:val="20"/>
          <w:szCs w:val="20"/>
          <w:color w:val="auto"/>
        </w:rPr>
      </w:pPr>
      <w:r>
        <w:rPr>
          <w:rFonts w:ascii="Arial" w:cs="Arial" w:eastAsia="Arial" w:hAnsi="Arial"/>
          <w:sz w:val="20"/>
          <w:szCs w:val="20"/>
          <w:b w:val="1"/>
          <w:bCs w:val="1"/>
          <w:color w:val="auto"/>
        </w:rPr>
        <w:t>NOTICE OF INDUCEMENT STOCK OPTION GRANT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a material inducement to your employment, GeneDx Holdings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(the “</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 an option to</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purchase shares of the Company’s Class A common stock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pursuant to the Company’s 2023 Equity Inducement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Option is also subject to the terms and conditions of this Notice of Inducement Stock Option Grant (this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and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Inducement Stock Option Agreement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(the “</w:t>
      </w:r>
      <w:r>
        <w:rPr>
          <w:rFonts w:ascii="Arial" w:cs="Arial" w:eastAsia="Arial" w:hAnsi="Arial"/>
          <w:sz w:val="20"/>
          <w:szCs w:val="20"/>
          <w:b w:val="1"/>
          <w:bCs w:val="1"/>
          <w:i w:val="1"/>
          <w:iCs w:val="1"/>
          <w:color w:val="auto"/>
        </w:rPr>
        <w:t>Option Agreement</w:t>
      </w:r>
      <w:r>
        <w:rPr>
          <w:rFonts w:ascii="Arial" w:cs="Arial" w:eastAsia="Arial" w:hAnsi="Arial"/>
          <w:sz w:val="20"/>
          <w:szCs w:val="20"/>
          <w:color w:val="auto"/>
        </w:rPr>
        <w:t>”).</w:t>
      </w: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Unless otherwise defined herein, the terms defined in the Plan will have the same meanings in this Notice and the electronic representation of this Notice established and maintained by the Company or a third party designated by the Company.</w:t>
      </w:r>
    </w:p>
    <w:p>
      <w:pPr>
        <w:sectPr>
          <w:pgSz w:w="11900" w:h="16838" w:orient="portrait"/>
          <w:cols w:equalWidth="0" w:num="1">
            <w:col w:w="11240"/>
          </w:cols>
          <w:pgMar w:left="320" w:top="104" w:right="339" w:bottom="1440" w:gutter="0" w:footer="0" w:header="0"/>
        </w:sectPr>
      </w:pP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Participant Name: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%%FIRST_NAME_MIDDLE_NAME_LAST_NAME%-%</w:t>
      </w:r>
    </w:p>
    <w:p>
      <w:pPr>
        <w:spacing w:after="0" w:line="32" w:lineRule="exact"/>
        <w:rPr>
          <w:sz w:val="20"/>
          <w:szCs w:val="20"/>
          <w:color w:val="auto"/>
        </w:rPr>
      </w:pPr>
    </w:p>
    <w:p>
      <w:pPr>
        <w:sectPr>
          <w:pgSz w:w="11900" w:h="16838" w:orient="portrait"/>
          <w:cols w:equalWidth="0" w:num="2">
            <w:col w:w="3620" w:space="720"/>
            <w:col w:w="6900"/>
          </w:cols>
          <w:pgMar w:left="320" w:top="104"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%%OPTION_NUMBER%-%</w:t>
      </w:r>
    </w:p>
    <w:p>
      <w:pPr>
        <w:spacing w:after="0" w:line="31" w:lineRule="exact"/>
        <w:rPr>
          <w:sz w:val="20"/>
          <w:szCs w:val="20"/>
          <w:color w:val="auto"/>
        </w:rPr>
      </w:pPr>
    </w:p>
    <w:p>
      <w:pPr>
        <w:sectPr>
          <w:pgSz w:w="11900" w:h="16838" w:orient="portrait"/>
          <w:cols w:equalWidth="0" w:num="2">
            <w:col w:w="3620" w:space="720"/>
            <w:col w:w="6900"/>
          </w:cols>
          <w:pgMar w:left="320" w:top="104"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9"/>
          <w:szCs w:val="19"/>
          <w:color w:val="auto"/>
        </w:rPr>
        <w:t>%%OPTION_DATE,'Month DD, YYYY'%-%</w:t>
      </w:r>
    </w:p>
    <w:p>
      <w:pPr>
        <w:spacing w:after="0" w:line="32" w:lineRule="exact"/>
        <w:rPr>
          <w:sz w:val="20"/>
          <w:szCs w:val="20"/>
          <w:color w:val="auto"/>
        </w:rPr>
      </w:pPr>
    </w:p>
    <w:p>
      <w:pPr>
        <w:sectPr>
          <w:pgSz w:w="11900" w:h="16838" w:orient="portrait"/>
          <w:cols w:equalWidth="0" w:num="2">
            <w:col w:w="3620" w:space="720"/>
            <w:col w:w="6900"/>
          </w:cols>
          <w:pgMar w:left="320" w:top="104"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%%VEST_BASE_DATE,'Month DD, YYYY'%-%</w:t>
      </w:r>
    </w:p>
    <w:p>
      <w:pPr>
        <w:spacing w:after="0" w:line="31" w:lineRule="exact"/>
        <w:rPr>
          <w:sz w:val="20"/>
          <w:szCs w:val="20"/>
          <w:color w:val="auto"/>
        </w:rPr>
      </w:pPr>
    </w:p>
    <w:p>
      <w:pPr>
        <w:sectPr>
          <w:pgSz w:w="11900" w:h="16838" w:orient="portrait"/>
          <w:cols w:equalWidth="0" w:num="2">
            <w:col w:w="3620" w:space="720"/>
            <w:col w:w="6900"/>
          </w:cols>
          <w:pgMar w:left="320" w:top="104"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%%OPTION_PRICE,'$999,999,999.99'%-%</w:t>
      </w:r>
    </w:p>
    <w:p>
      <w:pPr>
        <w:spacing w:after="0" w:line="50" w:lineRule="exact"/>
        <w:rPr>
          <w:sz w:val="20"/>
          <w:szCs w:val="20"/>
          <w:color w:val="auto"/>
        </w:rPr>
      </w:pPr>
    </w:p>
    <w:p>
      <w:pPr>
        <w:sectPr>
          <w:pgSz w:w="11900" w:h="16838" w:orient="portrait"/>
          <w:cols w:equalWidth="0" w:num="2">
            <w:col w:w="3620" w:space="720"/>
            <w:col w:w="6900"/>
          </w:cols>
          <w:pgMar w:left="320" w:top="104"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jc w:val="center"/>
        <w:ind w:right="2540"/>
        <w:spacing w:after="0"/>
        <w:rPr>
          <w:sz w:val="20"/>
          <w:szCs w:val="20"/>
          <w:color w:val="auto"/>
        </w:rPr>
      </w:pPr>
      <w:r>
        <w:rPr>
          <w:rFonts w:ascii="Arial" w:cs="Arial" w:eastAsia="Arial" w:hAnsi="Arial"/>
          <w:sz w:val="18"/>
          <w:szCs w:val="18"/>
          <w:color w:val="auto"/>
        </w:rPr>
        <w:t>%%TOTAL_SHARES_GRANTED,'999,999,999'%-%</w:t>
      </w:r>
    </w:p>
    <w:p>
      <w:pPr>
        <w:spacing w:after="0" w:line="43" w:lineRule="exact"/>
        <w:rPr>
          <w:sz w:val="20"/>
          <w:szCs w:val="20"/>
          <w:color w:val="auto"/>
        </w:rPr>
      </w:pPr>
    </w:p>
    <w:p>
      <w:pPr>
        <w:sectPr>
          <w:pgSz w:w="11900" w:h="16838" w:orient="portrait"/>
          <w:cols w:equalWidth="0" w:num="2">
            <w:col w:w="3620" w:space="720"/>
            <w:col w:w="6900"/>
          </w:cols>
          <w:pgMar w:left="320" w:top="104"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%%EXPIRE_DATE_PERIOD1,'Month DD, YYYY'%-%</w:t>
      </w:r>
    </w:p>
    <w:p>
      <w:pPr>
        <w:spacing w:after="0" w:line="42" w:lineRule="exact"/>
        <w:rPr>
          <w:sz w:val="20"/>
          <w:szCs w:val="20"/>
          <w:color w:val="auto"/>
        </w:rPr>
      </w:pPr>
    </w:p>
    <w:p>
      <w:pPr>
        <w:sectPr>
          <w:pgSz w:w="11900" w:h="16838" w:orient="portrait"/>
          <w:cols w:equalWidth="0" w:num="2">
            <w:col w:w="3620" w:space="720"/>
            <w:col w:w="6900"/>
          </w:cols>
          <w:pgMar w:left="320" w:top="104"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Tax Status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Nonqualified Stock Option</w:t>
      </w:r>
    </w:p>
    <w:p>
      <w:pPr>
        <w:spacing w:after="0" w:line="200" w:lineRule="exact"/>
        <w:rPr>
          <w:sz w:val="20"/>
          <w:szCs w:val="20"/>
          <w:color w:val="auto"/>
        </w:rPr>
      </w:pPr>
    </w:p>
    <w:p>
      <w:pPr>
        <w:sectPr>
          <w:pgSz w:w="11900" w:h="16838" w:orient="portrait"/>
          <w:cols w:equalWidth="0" w:num="2">
            <w:col w:w="3620" w:space="720"/>
            <w:col w:w="6900"/>
          </w:cols>
          <w:pgMar w:left="320" w:top="104" w:right="339" w:bottom="1440" w:gutter="0" w:footer="0" w:header="0"/>
          <w:type w:val="continuous"/>
        </w:sectPr>
      </w:pPr>
    </w:p>
    <w:p>
      <w:pPr>
        <w:spacing w:after="0" w:line="330" w:lineRule="exact"/>
        <w:rPr>
          <w:sz w:val="20"/>
          <w:szCs w:val="20"/>
          <w:color w:val="auto"/>
        </w:rPr>
      </w:pPr>
    </w:p>
    <w:p>
      <w:pPr>
        <w:ind w:left="1860" w:right="360" w:hanging="2753"/>
        <w:spacing w:after="0" w:line="223" w:lineRule="auto"/>
        <w:tabs>
          <w:tab w:leader="none" w:pos="1840" w:val="left"/>
        </w:tabs>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Subject to the limitations set forth in this Notice, the Plan, and the Option Agreement, the Option will vest and become exercisable with respect to 25% of the underlying shares on the first anniversary the Vesting</w:t>
      </w:r>
    </w:p>
    <w:p>
      <w:pPr>
        <w:spacing w:after="0" w:line="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Commencement Date and 6.25% of the underlying shares on a quarterly basis thereafter through the</w:t>
      </w:r>
    </w:p>
    <w:p>
      <w:pPr>
        <w:ind w:left="2920" w:right="240"/>
        <w:spacing w:after="0" w:line="220" w:lineRule="auto"/>
        <w:rPr>
          <w:sz w:val="20"/>
          <w:szCs w:val="20"/>
          <w:color w:val="auto"/>
        </w:rPr>
      </w:pPr>
      <w:r>
        <w:rPr>
          <w:rFonts w:ascii="Arial" w:cs="Arial" w:eastAsia="Arial" w:hAnsi="Arial"/>
          <w:sz w:val="20"/>
          <w:szCs w:val="20"/>
          <w:color w:val="auto"/>
        </w:rPr>
        <w:t>fourth anniversary of the Vesting Commencement Date, subject to your continued Service through the applicable vesting date.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By accepting (whether in writing, electronically, or otherwise) the Option, Optionee acknowledges and agrees to the following:</w:t>
      </w:r>
    </w:p>
    <w:p>
      <w:pPr>
        <w:spacing w:after="0" w:line="148" w:lineRule="exact"/>
        <w:rPr>
          <w:sz w:val="20"/>
          <w:szCs w:val="20"/>
          <w:color w:val="auto"/>
        </w:rPr>
      </w:pPr>
    </w:p>
    <w:p>
      <w:pPr>
        <w:jc w:val="both"/>
        <w:ind w:left="660" w:hanging="328"/>
        <w:spacing w:after="0" w:line="24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Optionee understands that Optionee’s Service is for an unspecified duration, can be terminated at any time (</w:t>
      </w:r>
      <w:r>
        <w:rPr>
          <w:rFonts w:ascii="Arial" w:cs="Arial" w:eastAsia="Arial" w:hAnsi="Arial"/>
          <w:sz w:val="18"/>
          <w:szCs w:val="18"/>
          <w:i w:val="1"/>
          <w:iCs w:val="1"/>
          <w:color w:val="auto"/>
        </w:rPr>
        <w:t>i.e.</w:t>
      </w:r>
      <w:r>
        <w:rPr>
          <w:rFonts w:ascii="Arial" w:cs="Arial" w:eastAsia="Arial" w:hAnsi="Arial"/>
          <w:sz w:val="18"/>
          <w:szCs w:val="18"/>
          <w:color w:val="auto"/>
        </w:rPr>
        <w:t>, is “at-will”) except where otherwise prohibited by applicable law, and that nothing in this Notice, the Option Agreement, or the Plan changes the nature of that relationship. Optionee acknowledges that the vesting of the Option pursuant to this Notice is subject to Optionee’s continuing Service. Optionee agrees and acknowledges that the Vesting Schedule may change prospectively in the event that Optionee’s Service status changes between full- and part-time and/or in the event the Optionee is on a leave of absence, in accordance with Company policies relating to work schedules and vesting of Awards or as determined by the Committee.</w:t>
      </w:r>
    </w:p>
    <w:p>
      <w:pPr>
        <w:spacing w:after="0" w:line="129" w:lineRule="exact"/>
        <w:rPr>
          <w:rFonts w:ascii="Arial" w:cs="Arial" w:eastAsia="Arial" w:hAnsi="Arial"/>
          <w:sz w:val="18"/>
          <w:szCs w:val="18"/>
          <w:color w:val="auto"/>
        </w:rPr>
      </w:pPr>
    </w:p>
    <w:p>
      <w:pPr>
        <w:jc w:val="both"/>
        <w:ind w:left="660" w:hanging="328"/>
        <w:spacing w:after="0" w:line="223"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This grant is made under and governed by the Plan, the Option Agreement, and this Notice, and this Notice is subject to the terms and conditions of the Option Agreement and the Plan, both of which are incorporated herein by reference. Optionee has read the Notice, the Option Agreement and the Plan.</w:t>
      </w:r>
    </w:p>
    <w:p>
      <w:pPr>
        <w:spacing w:after="0" w:line="128" w:lineRule="exact"/>
        <w:rPr>
          <w:rFonts w:ascii="Arial" w:cs="Arial" w:eastAsia="Arial" w:hAnsi="Arial"/>
          <w:sz w:val="20"/>
          <w:szCs w:val="20"/>
          <w:color w:val="auto"/>
        </w:rPr>
      </w:pPr>
    </w:p>
    <w:p>
      <w:pPr>
        <w:ind w:left="660" w:right="120" w:hanging="328"/>
        <w:spacing w:after="0" w:line="236"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Optionee has read the Company’s Insider Trading Policy, and agrees to comply with such policy, as it may be amended from time to time, whenever Optionee acquires or disposes of the Company’s securities.</w:t>
      </w:r>
    </w:p>
    <w:p>
      <w:pPr>
        <w:spacing w:after="0" w:line="128" w:lineRule="exact"/>
        <w:rPr>
          <w:rFonts w:ascii="Arial" w:cs="Arial" w:eastAsia="Arial" w:hAnsi="Arial"/>
          <w:sz w:val="20"/>
          <w:szCs w:val="20"/>
          <w:color w:val="auto"/>
        </w:rPr>
      </w:pPr>
    </w:p>
    <w:p>
      <w:pPr>
        <w:ind w:left="660" w:hanging="328"/>
        <w:spacing w:after="0"/>
        <w:tabs>
          <w:tab w:leader="none" w:pos="6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By accepting the Option, Optionee consents to electronic delivery and participation as set forth in the Option Agreement.</w:t>
      </w:r>
    </w:p>
    <w:p>
      <w:pPr>
        <w:sectPr>
          <w:pgSz w:w="11900" w:h="16838" w:orient="portrait"/>
          <w:cols w:equalWidth="0" w:num="1">
            <w:col w:w="11240"/>
          </w:cols>
          <w:pgMar w:left="320" w:top="104"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OPTIONEE</w:t>
      </w:r>
    </w:p>
    <w:p>
      <w:pPr>
        <w:spacing w:after="0" w:line="3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9"/>
          <w:szCs w:val="19"/>
          <w:color w:val="auto"/>
        </w:rPr>
        <w:t>%%FIRST_NAME_MIDDLE_NAME_LAST_NAME%-%</w:t>
      </w:r>
    </w:p>
    <w:p>
      <w:pPr>
        <w:spacing w:after="0" w:line="20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color w:val="auto"/>
        </w:rPr>
        <w:t>Print Name:</w:t>
      </w:r>
      <w:r>
        <w:rPr>
          <w:sz w:val="20"/>
          <w:szCs w:val="20"/>
          <w:color w:val="auto"/>
        </w:rPr>
        <w:tab/>
      </w:r>
      <w:r>
        <w:rPr>
          <w:rFonts w:ascii="Arial" w:cs="Arial" w:eastAsia="Arial" w:hAnsi="Arial"/>
          <w:sz w:val="19"/>
          <w:szCs w:val="19"/>
          <w:color w:val="auto"/>
        </w:rPr>
        <w:t>%%FIRST_NAME_MIDDLE_NAME_LAST_NAME%-%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GENEDX HOLDINGS CORP.</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Devin Schaffer</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Its: General Counsel</w:t>
      </w:r>
    </w:p>
    <w:p>
      <w:pPr>
        <w:sectPr>
          <w:pgSz w:w="11900" w:h="16838" w:orient="portrait"/>
          <w:cols w:equalWidth="0" w:num="1">
            <w:col w:w="10059"/>
          </w:cols>
          <w:pgMar w:left="400" w:top="1035" w:right="1440" w:bottom="1440" w:gutter="0" w:footer="0" w:header="0"/>
        </w:sectPr>
      </w:pPr>
    </w:p>
    <w:bookmarkStart w:id="23" w:name="page24"/>
    <w:bookmarkEnd w:id="23"/>
    <w:p>
      <w:pPr>
        <w:ind w:left="5180"/>
        <w:spacing w:after="0"/>
        <w:rPr>
          <w:sz w:val="20"/>
          <w:szCs w:val="20"/>
          <w:color w:val="auto"/>
        </w:rPr>
      </w:pPr>
      <w:r>
        <w:rPr>
          <w:rFonts w:ascii="Arial" w:cs="Arial" w:eastAsia="Arial" w:hAnsi="Arial"/>
          <w:sz w:val="20"/>
          <w:szCs w:val="20"/>
          <w:b w:val="1"/>
          <w:bCs w:val="1"/>
          <w:color w:val="auto"/>
        </w:rPr>
        <w:t>ANNEX A</w:t>
      </w:r>
    </w:p>
    <w:p>
      <w:pPr>
        <w:spacing w:after="0" w:line="170"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GENEDX HOLDINGS CORP.</w:t>
      </w:r>
    </w:p>
    <w:p>
      <w:pPr>
        <w:ind w:left="3480"/>
        <w:spacing w:after="0"/>
        <w:rPr>
          <w:sz w:val="20"/>
          <w:szCs w:val="20"/>
          <w:color w:val="auto"/>
        </w:rPr>
      </w:pPr>
      <w:r>
        <w:rPr>
          <w:rFonts w:ascii="Arial" w:cs="Arial" w:eastAsia="Arial" w:hAnsi="Arial"/>
          <w:sz w:val="20"/>
          <w:szCs w:val="20"/>
          <w:b w:val="1"/>
          <w:bCs w:val="1"/>
          <w:color w:val="auto"/>
        </w:rPr>
        <w:t>INDUCEMENT STOCK OPTION AGREEMENT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defined in this Inducement Stock Option Agreement (this “</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 any capitalized terms used and not</w:t>
      </w:r>
    </w:p>
    <w:p>
      <w:pPr>
        <w:spacing w:after="0" w:line="35"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otherwise defined in the Notice of Stock Option Grant (the “</w:t>
      </w:r>
      <w:r>
        <w:rPr>
          <w:rFonts w:ascii="Arial" w:cs="Arial" w:eastAsia="Arial" w:hAnsi="Arial"/>
          <w:sz w:val="20"/>
          <w:szCs w:val="20"/>
          <w:b w:val="1"/>
          <w:bCs w:val="1"/>
          <w:color w:val="auto"/>
        </w:rPr>
        <w:t>Notice</w:t>
      </w:r>
      <w:r>
        <w:rPr>
          <w:rFonts w:ascii="Arial" w:cs="Arial" w:eastAsia="Arial" w:hAnsi="Arial"/>
          <w:sz w:val="20"/>
          <w:szCs w:val="20"/>
          <w:color w:val="auto"/>
        </w:rPr>
        <w:t>”) or herein will have meanings ascribed to them in the GeneDx Holdings Corp. (the “</w:t>
      </w:r>
      <w:r>
        <w:rPr>
          <w:rFonts w:ascii="Arial" w:cs="Arial" w:eastAsia="Arial" w:hAnsi="Arial"/>
          <w:sz w:val="20"/>
          <w:szCs w:val="20"/>
          <w:b w:val="1"/>
          <w:bCs w:val="1"/>
          <w:color w:val="auto"/>
        </w:rPr>
        <w:t>Company</w:t>
      </w:r>
      <w:r>
        <w:rPr>
          <w:rFonts w:ascii="Arial" w:cs="Arial" w:eastAsia="Arial" w:hAnsi="Arial"/>
          <w:sz w:val="20"/>
          <w:szCs w:val="20"/>
          <w:color w:val="auto"/>
        </w:rPr>
        <w:t>”) 2023 Equity Inducement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In the event of a conflict between the terms and conditions of the Plan and the terms and conditions of the Notice or this Option Agreement, the terms and conditions of the Notice and the Agreement will prevail.</w:t>
      </w:r>
    </w:p>
    <w:p>
      <w:pPr>
        <w:spacing w:after="0" w:line="1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Option is intended to constitute an employment inducement award pursuant to Nasdaq Stock Market Listing Rule 5635(c)(4), and consequently is intended to be exempt from the Nasdaq listing rules regarding stockholder approval of equity compensation plans. This Agreement and the terms and conditions of the Option shall be interpreted in accordance and consistent with such exemption.</w:t>
      </w:r>
    </w:p>
    <w:p>
      <w:pPr>
        <w:spacing w:after="0" w:line="134" w:lineRule="exact"/>
        <w:rPr>
          <w:sz w:val="20"/>
          <w:szCs w:val="20"/>
          <w:color w:val="auto"/>
        </w:rPr>
      </w:pPr>
    </w:p>
    <w:p>
      <w:pPr>
        <w:jc w:val="both"/>
        <w:ind w:firstLine="656"/>
        <w:spacing w:after="0" w:line="218" w:lineRule="auto"/>
        <w:tabs>
          <w:tab w:leader="none" w:pos="1296" w:val="left"/>
        </w:tabs>
        <w:numPr>
          <w:ilvl w:val="0"/>
          <w:numId w:val="29"/>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Vesting</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applicable provisions of the Plan and this Option Agreement, the Option may be exercised, in whole</w:t>
      </w:r>
      <w:r>
        <w:rPr>
          <w:rFonts w:ascii="Arial" w:cs="Arial" w:eastAsia="Arial" w:hAnsi="Arial"/>
          <w:sz w:val="20"/>
          <w:szCs w:val="20"/>
          <w:b w:val="1"/>
          <w:bCs w:val="1"/>
          <w:color w:val="auto"/>
        </w:rPr>
        <w:t xml:space="preserve"> </w:t>
      </w:r>
      <w:r>
        <w:rPr>
          <w:rFonts w:ascii="Arial" w:cs="Arial" w:eastAsia="Arial" w:hAnsi="Arial"/>
          <w:sz w:val="20"/>
          <w:szCs w:val="20"/>
          <w:color w:val="auto"/>
        </w:rPr>
        <w:t>or in part, in accordance with the Vesting Schedule set forth in the Notice. Optionee acknowledges and agrees that the Vesting Schedule may change prospectively in the event Optionee’s Service status changes between full and part-time and/or in the event Optionee is on a leave of absence, in accordance with Company policies relating to work schedules and vesting of Awards or as determined by the Committee. Optionee acknowledges that the vesting of the Option pursuant to the Notice and this Option Agreement is subject to Optionee’s continuing Service.</w:t>
      </w:r>
    </w:p>
    <w:p>
      <w:pPr>
        <w:spacing w:after="0" w:line="150" w:lineRule="exact"/>
        <w:rPr>
          <w:rFonts w:ascii="Arial" w:cs="Arial" w:eastAsia="Arial" w:hAnsi="Arial"/>
          <w:sz w:val="20"/>
          <w:szCs w:val="20"/>
          <w:b w:val="1"/>
          <w:bCs w:val="1"/>
          <w:color w:val="010000"/>
        </w:rPr>
      </w:pPr>
    </w:p>
    <w:p>
      <w:pPr>
        <w:ind w:firstLine="656"/>
        <w:spacing w:after="0" w:line="239" w:lineRule="auto"/>
        <w:tabs>
          <w:tab w:leader="none" w:pos="1296" w:val="left"/>
        </w:tabs>
        <w:numPr>
          <w:ilvl w:val="0"/>
          <w:numId w:val="29"/>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Grant of Option</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has been granted an Option for the number of Shares set forth in the Notice at the exercise price</w:t>
      </w:r>
      <w:r>
        <w:rPr>
          <w:rFonts w:ascii="Arial" w:cs="Arial" w:eastAsia="Arial" w:hAnsi="Arial"/>
          <w:sz w:val="20"/>
          <w:szCs w:val="20"/>
          <w:b w:val="1"/>
          <w:bCs w:val="1"/>
          <w:color w:val="auto"/>
        </w:rPr>
        <w:t xml:space="preserve"> </w:t>
      </w:r>
      <w:r>
        <w:rPr>
          <w:rFonts w:ascii="Arial" w:cs="Arial" w:eastAsia="Arial" w:hAnsi="Arial"/>
          <w:sz w:val="20"/>
          <w:szCs w:val="20"/>
          <w:color w:val="auto"/>
        </w:rPr>
        <w:t>per Share in U.S. Dollars set forth in the Notice (the “</w:t>
      </w:r>
      <w:r>
        <w:rPr>
          <w:rFonts w:ascii="Arial" w:cs="Arial" w:eastAsia="Arial" w:hAnsi="Arial"/>
          <w:sz w:val="20"/>
          <w:szCs w:val="20"/>
          <w:b w:val="1"/>
          <w:bCs w:val="1"/>
          <w:i w:val="1"/>
          <w:iCs w:val="1"/>
          <w:color w:val="auto"/>
        </w:rPr>
        <w:t>Exercise Price</w:t>
      </w:r>
      <w:r>
        <w:rPr>
          <w:rFonts w:ascii="Arial" w:cs="Arial" w:eastAsia="Arial" w:hAnsi="Arial"/>
          <w:sz w:val="20"/>
          <w:szCs w:val="20"/>
          <w:color w:val="auto"/>
        </w:rPr>
        <w:t>”).</w:t>
      </w:r>
    </w:p>
    <w:p>
      <w:pPr>
        <w:spacing w:after="0" w:line="149" w:lineRule="exact"/>
        <w:rPr>
          <w:rFonts w:ascii="Arial" w:cs="Arial" w:eastAsia="Arial" w:hAnsi="Arial"/>
          <w:sz w:val="20"/>
          <w:szCs w:val="20"/>
          <w:b w:val="1"/>
          <w:bCs w:val="1"/>
          <w:color w:val="010000"/>
        </w:rPr>
      </w:pPr>
    </w:p>
    <w:p>
      <w:pPr>
        <w:ind w:left="1300" w:hanging="644"/>
        <w:spacing w:after="0"/>
        <w:tabs>
          <w:tab w:leader="none" w:pos="1300" w:val="left"/>
        </w:tabs>
        <w:numPr>
          <w:ilvl w:val="0"/>
          <w:numId w:val="29"/>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Termination Period</w:t>
      </w:r>
      <w:r>
        <w:rPr>
          <w:rFonts w:ascii="Arial" w:cs="Arial" w:eastAsia="Arial" w:hAnsi="Arial"/>
          <w:sz w:val="20"/>
          <w:szCs w:val="20"/>
          <w:b w:val="1"/>
          <w:bCs w:val="1"/>
          <w:color w:val="auto"/>
        </w:rPr>
        <w:t>.</w:t>
      </w:r>
    </w:p>
    <w:p>
      <w:pPr>
        <w:spacing w:after="0" w:line="194" w:lineRule="exact"/>
        <w:rPr>
          <w:rFonts w:ascii="Arial" w:cs="Arial" w:eastAsia="Arial" w:hAnsi="Arial"/>
          <w:sz w:val="20"/>
          <w:szCs w:val="20"/>
          <w:b w:val="1"/>
          <w:bCs w:val="1"/>
          <w:color w:val="010000"/>
        </w:rPr>
      </w:pPr>
    </w:p>
    <w:p>
      <w:pPr>
        <w:jc w:val="both"/>
        <w:ind w:firstLine="1709"/>
        <w:spacing w:after="0" w:line="231" w:lineRule="auto"/>
        <w:tabs>
          <w:tab w:leader="none" w:pos="1944" w:val="left"/>
        </w:tabs>
        <w:numPr>
          <w:ilvl w:val="1"/>
          <w:numId w:val="29"/>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If Optionee’s Service terminates for any reason except death or Disability, and other than for Cause, then the Option will expire at the close of business at Company headquarters on the date three (3) months after Optionee’s Termination Date (as defined below), but in any event no later than the Expiration Date of the Option set forth in the Notice. The Company determines when Optionee’s Service terminates for all purposes under this Option Agreement.</w:t>
      </w:r>
    </w:p>
    <w:p>
      <w:pPr>
        <w:spacing w:after="0" w:line="171" w:lineRule="exact"/>
        <w:rPr>
          <w:rFonts w:ascii="Arial" w:cs="Arial" w:eastAsia="Arial" w:hAnsi="Arial"/>
          <w:sz w:val="19"/>
          <w:szCs w:val="19"/>
          <w:color w:val="010000"/>
        </w:rPr>
      </w:pPr>
    </w:p>
    <w:p>
      <w:pPr>
        <w:jc w:val="both"/>
        <w:ind w:firstLine="1709"/>
        <w:spacing w:after="0" w:line="226" w:lineRule="auto"/>
        <w:tabs>
          <w:tab w:leader="none" w:pos="1944" w:val="left"/>
        </w:tabs>
        <w:numPr>
          <w:ilvl w:val="1"/>
          <w:numId w:val="29"/>
        </w:numPr>
        <w:rPr>
          <w:rFonts w:ascii="Arial" w:cs="Arial" w:eastAsia="Arial" w:hAnsi="Arial"/>
          <w:sz w:val="19"/>
          <w:szCs w:val="19"/>
          <w:color w:val="010000"/>
        </w:rPr>
      </w:pPr>
      <w:r>
        <w:rPr>
          <w:rFonts w:ascii="Arial" w:cs="Arial" w:eastAsia="Arial" w:hAnsi="Arial"/>
          <w:sz w:val="19"/>
          <w:szCs w:val="19"/>
          <w:u w:val="single" w:color="auto"/>
          <w:color w:val="auto"/>
        </w:rPr>
        <w:t>Death; Disability</w:t>
      </w:r>
      <w:r>
        <w:rPr>
          <w:rFonts w:ascii="Arial" w:cs="Arial" w:eastAsia="Arial" w:hAnsi="Arial"/>
          <w:sz w:val="19"/>
          <w:szCs w:val="19"/>
          <w:color w:val="auto"/>
        </w:rPr>
        <w:t>. If Optionee dies before Optionee’s Service terminates (or Optionee dies within three (3) months of Optionee’s termination of Service other than for Cause), then the Option will expire at the close of business at Company headquarters on the date twelve (12) months after the date of death, but in any event no later than the Expiration Date of the Option set forth in the Notice. If Optionee’s Service terminates because of Optionee’s Disability, then the Option will expire at the close of business at Company headquarters on the date twelve (12) months after Optionee’s Termination Date, but in any event no later than the Expiration Date of the Option set forth in the Notice.</w:t>
      </w:r>
    </w:p>
    <w:p>
      <w:pPr>
        <w:spacing w:after="0" w:line="169" w:lineRule="exact"/>
        <w:rPr>
          <w:rFonts w:ascii="Arial" w:cs="Arial" w:eastAsia="Arial" w:hAnsi="Arial"/>
          <w:sz w:val="19"/>
          <w:szCs w:val="19"/>
          <w:color w:val="010000"/>
        </w:rPr>
      </w:pPr>
    </w:p>
    <w:p>
      <w:pPr>
        <w:jc w:val="both"/>
        <w:ind w:firstLine="1709"/>
        <w:spacing w:after="0" w:line="246" w:lineRule="auto"/>
        <w:tabs>
          <w:tab w:leader="none" w:pos="1944" w:val="left"/>
        </w:tabs>
        <w:numPr>
          <w:ilvl w:val="1"/>
          <w:numId w:val="29"/>
        </w:numPr>
        <w:rPr>
          <w:rFonts w:ascii="Arial" w:cs="Arial" w:eastAsia="Arial" w:hAnsi="Arial"/>
          <w:sz w:val="18"/>
          <w:szCs w:val="18"/>
          <w:color w:val="010000"/>
        </w:rPr>
      </w:pPr>
      <w:r>
        <w:rPr>
          <w:rFonts w:ascii="Arial" w:cs="Arial" w:eastAsia="Arial" w:hAnsi="Arial"/>
          <w:sz w:val="18"/>
          <w:szCs w:val="18"/>
          <w:u w:val="single" w:color="auto"/>
          <w:color w:val="auto"/>
        </w:rPr>
        <w:t>Cause</w:t>
      </w:r>
      <w:r>
        <w:rPr>
          <w:rFonts w:ascii="Arial" w:cs="Arial" w:eastAsia="Arial" w:hAnsi="Arial"/>
          <w:sz w:val="18"/>
          <w:szCs w:val="18"/>
          <w:color w:val="auto"/>
        </w:rPr>
        <w:t>. Unless otherwise determined by the Committee, the Option (whether or not vested) will terminate immediately upon the Optionee’s cessation of Service if the Company reasonably determines in good faith that such cessation of Service has resulted in connection with an act or failure to act constituting Cause (or the Optionee’s Service could have been terminated for Cause (without regard to the lapsing of any required notice or cure periods in connection therewith) at the time the Optionee terminated Service).</w:t>
      </w:r>
    </w:p>
    <w:p>
      <w:pPr>
        <w:spacing w:after="0" w:line="150" w:lineRule="exact"/>
        <w:rPr>
          <w:rFonts w:ascii="Arial" w:cs="Arial" w:eastAsia="Arial" w:hAnsi="Arial"/>
          <w:sz w:val="18"/>
          <w:szCs w:val="18"/>
          <w:color w:val="010000"/>
        </w:rPr>
      </w:pPr>
    </w:p>
    <w:p>
      <w:pPr>
        <w:ind w:firstLine="1709"/>
        <w:spacing w:after="0" w:line="257" w:lineRule="auto"/>
        <w:tabs>
          <w:tab w:leader="none" w:pos="1944" w:val="left"/>
        </w:tabs>
        <w:numPr>
          <w:ilvl w:val="1"/>
          <w:numId w:val="29"/>
        </w:numPr>
        <w:rPr>
          <w:rFonts w:ascii="Arial" w:cs="Arial" w:eastAsia="Arial" w:hAnsi="Arial"/>
          <w:sz w:val="19"/>
          <w:szCs w:val="19"/>
          <w:color w:val="010000"/>
        </w:rPr>
      </w:pPr>
      <w:r>
        <w:rPr>
          <w:rFonts w:ascii="Arial" w:cs="Arial" w:eastAsia="Arial" w:hAnsi="Arial"/>
          <w:sz w:val="19"/>
          <w:szCs w:val="19"/>
          <w:u w:val="single" w:color="auto"/>
          <w:color w:val="auto"/>
        </w:rPr>
        <w:t>No Notification of Exercise Periods</w:t>
      </w:r>
      <w:r>
        <w:rPr>
          <w:rFonts w:ascii="Arial" w:cs="Arial" w:eastAsia="Arial" w:hAnsi="Arial"/>
          <w:sz w:val="19"/>
          <w:szCs w:val="19"/>
          <w:color w:val="auto"/>
        </w:rPr>
        <w:t>. Optionee is responsible for keeping track of these exercise periods following Optionee’s termination of Service for any reason. The Company will not provide further notice of such periods.</w:t>
      </w:r>
    </w:p>
    <w:p>
      <w:pPr>
        <w:spacing w:after="0" w:line="153" w:lineRule="exact"/>
        <w:rPr>
          <w:rFonts w:ascii="Arial" w:cs="Arial" w:eastAsia="Arial" w:hAnsi="Arial"/>
          <w:sz w:val="19"/>
          <w:szCs w:val="19"/>
          <w:color w:val="010000"/>
        </w:rPr>
      </w:pPr>
    </w:p>
    <w:p>
      <w:pPr>
        <w:jc w:val="both"/>
        <w:ind w:firstLine="1709"/>
        <w:spacing w:after="0" w:line="231" w:lineRule="auto"/>
        <w:tabs>
          <w:tab w:leader="none" w:pos="1944" w:val="left"/>
        </w:tabs>
        <w:numPr>
          <w:ilvl w:val="1"/>
          <w:numId w:val="29"/>
        </w:numPr>
        <w:rPr>
          <w:rFonts w:ascii="Arial" w:cs="Arial" w:eastAsia="Arial" w:hAnsi="Arial"/>
          <w:sz w:val="19"/>
          <w:szCs w:val="19"/>
          <w:color w:val="010000"/>
        </w:rPr>
      </w:pPr>
      <w:r>
        <w:rPr>
          <w:rFonts w:ascii="Arial" w:cs="Arial" w:eastAsia="Arial" w:hAnsi="Arial"/>
          <w:sz w:val="19"/>
          <w:szCs w:val="19"/>
          <w:u w:val="single" w:color="auto"/>
          <w:color w:val="auto"/>
        </w:rPr>
        <w:t>Termination</w:t>
      </w:r>
      <w:r>
        <w:rPr>
          <w:rFonts w:ascii="Arial" w:cs="Arial" w:eastAsia="Arial" w:hAnsi="Arial"/>
          <w:sz w:val="19"/>
          <w:szCs w:val="19"/>
          <w:color w:val="auto"/>
        </w:rPr>
        <w:t>. For purposes of this Option, Optionee’s Service will be considered terminated as of the date Optionee is no longer providing Service to the Company, its Parent or one of its Subsidiaries or Affiliates (regardless of the reason for such termination and whether or not later found to be invalid or in breach of employment laws in the jurisdiction where Optionee is employed or the terms of Optionee’s employment agreement, if any)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The Committee will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751" w:right="339" w:bottom="1440" w:gutter="0" w:footer="0" w:header="0"/>
        </w:sectPr>
      </w:pPr>
    </w:p>
    <w:bookmarkStart w:id="24" w:name="page25"/>
    <w:bookmarkEnd w:id="24"/>
    <w:p>
      <w:pPr>
        <w:spacing w:after="0"/>
        <w:rPr>
          <w:sz w:val="20"/>
          <w:szCs w:val="20"/>
          <w:color w:val="auto"/>
        </w:rPr>
      </w:pPr>
      <w:r>
        <w:rPr>
          <w:rFonts w:ascii="Arial" w:cs="Arial" w:eastAsia="Arial" w:hAnsi="Arial"/>
          <w:sz w:val="19"/>
          <w:szCs w:val="19"/>
          <w:color w:val="auto"/>
        </w:rPr>
        <w:t>exclusive discretion to determine when Optionee is no longer actively providing Service for purposes of Optionee’s Option (including</w:t>
      </w:r>
    </w:p>
    <w:p>
      <w:pPr>
        <w:spacing w:after="0" w:line="226" w:lineRule="auto"/>
        <w:rPr>
          <w:sz w:val="20"/>
          <w:szCs w:val="20"/>
          <w:color w:val="auto"/>
        </w:rPr>
      </w:pPr>
      <w:r>
        <w:rPr>
          <w:rFonts w:ascii="Arial" w:cs="Arial" w:eastAsia="Arial" w:hAnsi="Arial"/>
          <w:sz w:val="18"/>
          <w:szCs w:val="18"/>
          <w:color w:val="auto"/>
        </w:rPr>
        <w:t>whether Optionee may still be considered to be providing Service while on an approved leave of absence). Unless otherwise provided in this Option Agreement or determined by the Company, Optionee’s right to vest in this Option under the Plan, if any, will terminate as of the</w:t>
      </w:r>
    </w:p>
    <w:p>
      <w:pPr>
        <w:spacing w:after="0" w:line="236" w:lineRule="auto"/>
        <w:rPr>
          <w:sz w:val="20"/>
          <w:szCs w:val="20"/>
          <w:color w:val="auto"/>
        </w:rPr>
      </w:pPr>
      <w:r>
        <w:rPr>
          <w:rFonts w:ascii="Arial" w:cs="Arial" w:eastAsia="Arial" w:hAnsi="Arial"/>
          <w:sz w:val="18"/>
          <w:szCs w:val="18"/>
          <w:color w:val="auto"/>
        </w:rPr>
        <w:t>Termination Date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Optionee’s period of Service would not include any contractual notice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period or any period of “garden leave” or similar period mandated under employment laws in the jurisdiction where Optionee is employed or the terms of Optionee’s employment agreement, if any). Following the Termination Date, Optionee may exercise the Option only as set forth</w:t>
      </w:r>
    </w:p>
    <w:p>
      <w:pPr>
        <w:spacing w:after="0" w:line="236" w:lineRule="auto"/>
        <w:rPr>
          <w:sz w:val="20"/>
          <w:szCs w:val="20"/>
          <w:color w:val="auto"/>
        </w:rPr>
      </w:pPr>
      <w:r>
        <w:rPr>
          <w:rFonts w:ascii="Arial" w:cs="Arial" w:eastAsia="Arial" w:hAnsi="Arial"/>
          <w:sz w:val="18"/>
          <w:szCs w:val="18"/>
          <w:color w:val="auto"/>
        </w:rPr>
        <w:t>in the Notice and this Section, provided that the period (if any) during which Optionee may exercise the Option after the Termination Date, if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will commence on the date Optionee ceases to provide Service and will not be extended by any notice period mandated under employment laws in the jurisdiction where Optionee is employed or terms of Optionee’s employment agreement, if any. If Optionee does not</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exercise this Option within the termination period set forth in the Notice or the termination periods set forth above, the Option will terminate in its entirety. In no event may the Option be exercised after the Expiration Date of the Option as set forth in the Notice.</w:t>
      </w:r>
    </w:p>
    <w:p>
      <w:pPr>
        <w:spacing w:after="0" w:line="150"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Exercise of Option</w:t>
      </w:r>
      <w:r>
        <w:rPr>
          <w:rFonts w:ascii="Arial" w:cs="Arial" w:eastAsia="Arial" w:hAnsi="Arial"/>
          <w:sz w:val="20"/>
          <w:szCs w:val="20"/>
          <w:b w:val="1"/>
          <w:bCs w:val="1"/>
          <w:color w:val="auto"/>
        </w:rPr>
        <w:t>.</w:t>
      </w:r>
    </w:p>
    <w:p>
      <w:pPr>
        <w:spacing w:after="0" w:line="194" w:lineRule="exact"/>
        <w:rPr>
          <w:rFonts w:ascii="Arial" w:cs="Arial" w:eastAsia="Arial" w:hAnsi="Arial"/>
          <w:sz w:val="20"/>
          <w:szCs w:val="20"/>
          <w:b w:val="1"/>
          <w:bCs w:val="1"/>
          <w:color w:val="010000"/>
        </w:rPr>
      </w:pPr>
    </w:p>
    <w:p>
      <w:pPr>
        <w:jc w:val="both"/>
        <w:ind w:firstLine="1709"/>
        <w:spacing w:after="0" w:line="231" w:lineRule="auto"/>
        <w:tabs>
          <w:tab w:leader="none" w:pos="1944" w:val="left"/>
        </w:tabs>
        <w:numPr>
          <w:ilvl w:val="1"/>
          <w:numId w:val="30"/>
        </w:numPr>
        <w:rPr>
          <w:rFonts w:ascii="Arial" w:cs="Arial" w:eastAsia="Arial" w:hAnsi="Arial"/>
          <w:sz w:val="19"/>
          <w:szCs w:val="19"/>
          <w:color w:val="010000"/>
        </w:rPr>
      </w:pPr>
      <w:r>
        <w:rPr>
          <w:rFonts w:ascii="Arial" w:cs="Arial" w:eastAsia="Arial" w:hAnsi="Arial"/>
          <w:sz w:val="19"/>
          <w:szCs w:val="19"/>
          <w:u w:val="single" w:color="auto"/>
          <w:color w:val="auto"/>
        </w:rPr>
        <w:t>Right to Exercise</w:t>
      </w:r>
      <w:r>
        <w:rPr>
          <w:rFonts w:ascii="Arial" w:cs="Arial" w:eastAsia="Arial" w:hAnsi="Arial"/>
          <w:sz w:val="19"/>
          <w:szCs w:val="19"/>
          <w:color w:val="auto"/>
        </w:rPr>
        <w:t>. The Option is exercisable during its term in accordance with the Vesting Schedule set forth in the Notice and the applicable provisions of the Plan and this Option Agreement. In the event of Optionee’s death, Disability, termination for Cause, or other cessation of Service, the exercisability of the Option is governed by the applicable provisions of the Plan, the Notice, and this Option Agreement. The Option may not be exercised for a fraction of a Share.</w:t>
      </w:r>
    </w:p>
    <w:p>
      <w:pPr>
        <w:spacing w:after="0" w:line="171" w:lineRule="exact"/>
        <w:rPr>
          <w:rFonts w:ascii="Arial" w:cs="Arial" w:eastAsia="Arial" w:hAnsi="Arial"/>
          <w:sz w:val="19"/>
          <w:szCs w:val="19"/>
          <w:color w:val="010000"/>
        </w:rPr>
      </w:pPr>
    </w:p>
    <w:p>
      <w:pPr>
        <w:jc w:val="both"/>
        <w:ind w:firstLine="1709"/>
        <w:spacing w:after="0" w:line="234" w:lineRule="auto"/>
        <w:tabs>
          <w:tab w:leader="none" w:pos="1944" w:val="left"/>
        </w:tabs>
        <w:numPr>
          <w:ilvl w:val="1"/>
          <w:numId w:val="30"/>
        </w:numPr>
        <w:rPr>
          <w:rFonts w:ascii="Arial" w:cs="Arial" w:eastAsia="Arial" w:hAnsi="Arial"/>
          <w:sz w:val="18"/>
          <w:szCs w:val="18"/>
          <w:color w:val="010000"/>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Option is exercisable by delivery of an exercise notice in a form specified by the Company (the “</w:t>
      </w: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which will state the election to exercise the Option, the number of Shares in respect of which the Option is being exercised (the “</w:t>
      </w:r>
      <w:r>
        <w:rPr>
          <w:rFonts w:ascii="Arial" w:cs="Arial" w:eastAsia="Arial" w:hAnsi="Arial"/>
          <w:sz w:val="18"/>
          <w:szCs w:val="18"/>
          <w:b w:val="1"/>
          <w:bCs w:val="1"/>
          <w:i w:val="1"/>
          <w:iCs w:val="1"/>
          <w:color w:val="auto"/>
        </w:rPr>
        <w:t>Exercised Shares</w:t>
      </w:r>
      <w:r>
        <w:rPr>
          <w:rFonts w:ascii="Arial" w:cs="Arial" w:eastAsia="Arial" w:hAnsi="Arial"/>
          <w:sz w:val="18"/>
          <w:szCs w:val="18"/>
          <w:color w:val="auto"/>
        </w:rPr>
        <w:t>”), and such other representations and agreements as may be required by the Company pursuant to the provisions of the Plan. The Exercise Notice will be delivered in person, by mail, via electronic mail or facsimile or by other authorized method to the Secretary of the Company or other person designated by the Company. The Exercise Notice will be accompanied by payment of the aggregate Exercise Price as to all Exercised Shares together with any applicable Tax-Related Items (as defined in Section 8 below). The Option will be deemed to be exercised upon receipt by the Company of such fully executed Exercise Notice accompanied by such aggregate Exercise Price and payment of any applicable Tax-Related Items. No Shares will be issued pursuant to the exercise of the Option unless such issuance and exercise complies with all relevant provisions of law and the requirements of any stock exchange or quotation service upon which the Shares are then listed. Assuming such compliance, for United States income tax purposes the Exercised Shares will be considered transferred to Optionee on the date the Option is exercised with respect to such Exercised Shares.</w:t>
      </w:r>
    </w:p>
    <w:p>
      <w:pPr>
        <w:spacing w:after="0" w:line="169" w:lineRule="exact"/>
        <w:rPr>
          <w:rFonts w:ascii="Arial" w:cs="Arial" w:eastAsia="Arial" w:hAnsi="Arial"/>
          <w:sz w:val="18"/>
          <w:szCs w:val="18"/>
          <w:color w:val="010000"/>
        </w:rPr>
      </w:pPr>
    </w:p>
    <w:p>
      <w:pPr>
        <w:jc w:val="both"/>
        <w:ind w:firstLine="1709"/>
        <w:spacing w:after="0" w:line="220" w:lineRule="auto"/>
        <w:tabs>
          <w:tab w:leader="none" w:pos="1944" w:val="left"/>
        </w:tabs>
        <w:numPr>
          <w:ilvl w:val="1"/>
          <w:numId w:val="30"/>
        </w:numPr>
        <w:rPr>
          <w:rFonts w:ascii="Arial" w:cs="Arial" w:eastAsia="Arial" w:hAnsi="Arial"/>
          <w:sz w:val="20"/>
          <w:szCs w:val="20"/>
          <w:color w:val="010000"/>
        </w:rPr>
      </w:pPr>
      <w:r>
        <w:rPr>
          <w:rFonts w:ascii="Arial" w:cs="Arial" w:eastAsia="Arial" w:hAnsi="Arial"/>
          <w:sz w:val="20"/>
          <w:szCs w:val="20"/>
          <w:u w:val="single" w:color="auto"/>
          <w:color w:val="auto"/>
        </w:rPr>
        <w:t>Exercise by Another</w:t>
      </w:r>
      <w:r>
        <w:rPr>
          <w:rFonts w:ascii="Arial" w:cs="Arial" w:eastAsia="Arial" w:hAnsi="Arial"/>
          <w:sz w:val="20"/>
          <w:szCs w:val="20"/>
          <w:color w:val="auto"/>
        </w:rPr>
        <w:t>. If another person wants to exercise the Option after it has been transferred to him or her in compliance with this Option Agreement, that person must prove to the Company’s satisfaction that he or she is entitled to exercise the Option. That person must also complete the proper Exercise Notice form (as described above) and pay the Exercise Price (as described below) and any applicable Tax-Related Items (as described below).</w:t>
      </w:r>
    </w:p>
    <w:p>
      <w:pPr>
        <w:spacing w:after="0" w:line="149" w:lineRule="exact"/>
        <w:rPr>
          <w:rFonts w:ascii="Arial" w:cs="Arial" w:eastAsia="Arial" w:hAnsi="Arial"/>
          <w:sz w:val="20"/>
          <w:szCs w:val="20"/>
          <w:color w:val="010000"/>
        </w:rPr>
      </w:pPr>
    </w:p>
    <w:p>
      <w:pPr>
        <w:ind w:firstLine="656"/>
        <w:spacing w:after="0" w:line="239" w:lineRule="auto"/>
        <w:tabs>
          <w:tab w:leader="none" w:pos="1296" w:val="left"/>
        </w:tabs>
        <w:numPr>
          <w:ilvl w:val="0"/>
          <w:numId w:val="30"/>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Method of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of the aggregate Exercise Price will be by any of the following, or a combination thereof, at</w:t>
      </w:r>
      <w:r>
        <w:rPr>
          <w:rFonts w:ascii="Arial" w:cs="Arial" w:eastAsia="Arial" w:hAnsi="Arial"/>
          <w:sz w:val="20"/>
          <w:szCs w:val="20"/>
          <w:b w:val="1"/>
          <w:bCs w:val="1"/>
          <w:color w:val="auto"/>
        </w:rPr>
        <w:t xml:space="preserve"> </w:t>
      </w:r>
      <w:r>
        <w:rPr>
          <w:rFonts w:ascii="Arial" w:cs="Arial" w:eastAsia="Arial" w:hAnsi="Arial"/>
          <w:sz w:val="20"/>
          <w:szCs w:val="20"/>
          <w:color w:val="auto"/>
        </w:rPr>
        <w:t>the election of Optionee:</w:t>
      </w:r>
    </w:p>
    <w:p>
      <w:pPr>
        <w:spacing w:after="0" w:line="168" w:lineRule="exact"/>
        <w:rPr>
          <w:rFonts w:ascii="Arial" w:cs="Arial" w:eastAsia="Arial" w:hAnsi="Arial"/>
          <w:sz w:val="20"/>
          <w:szCs w:val="20"/>
          <w:b w:val="1"/>
          <w:bCs w:val="1"/>
          <w:color w:val="010000"/>
        </w:rPr>
      </w:pPr>
    </w:p>
    <w:p>
      <w:pPr>
        <w:ind w:left="1960" w:hanging="251"/>
        <w:spacing w:after="0"/>
        <w:tabs>
          <w:tab w:leader="none" w:pos="1960" w:val="left"/>
        </w:tabs>
        <w:numPr>
          <w:ilvl w:val="1"/>
          <w:numId w:val="30"/>
        </w:numPr>
        <w:rPr>
          <w:rFonts w:ascii="Arial" w:cs="Arial" w:eastAsia="Arial" w:hAnsi="Arial"/>
          <w:sz w:val="20"/>
          <w:szCs w:val="20"/>
          <w:color w:val="010000"/>
        </w:rPr>
      </w:pPr>
      <w:r>
        <w:rPr>
          <w:rFonts w:ascii="Arial" w:cs="Arial" w:eastAsia="Arial" w:hAnsi="Arial"/>
          <w:sz w:val="20"/>
          <w:szCs w:val="20"/>
          <w:color w:val="auto"/>
        </w:rPr>
        <w:t>Optionee’s personal check (or readily available funds), wire transfer, or a cashier’s check;</w:t>
      </w:r>
    </w:p>
    <w:p>
      <w:pPr>
        <w:spacing w:after="0" w:line="175" w:lineRule="exact"/>
        <w:rPr>
          <w:rFonts w:ascii="Arial" w:cs="Arial" w:eastAsia="Arial" w:hAnsi="Arial"/>
          <w:sz w:val="20"/>
          <w:szCs w:val="20"/>
          <w:color w:val="010000"/>
        </w:rPr>
      </w:pPr>
    </w:p>
    <w:p>
      <w:pPr>
        <w:jc w:val="both"/>
        <w:ind w:firstLine="1709"/>
        <w:spacing w:after="0" w:line="225" w:lineRule="auto"/>
        <w:tabs>
          <w:tab w:leader="none" w:pos="1944" w:val="left"/>
        </w:tabs>
        <w:numPr>
          <w:ilvl w:val="1"/>
          <w:numId w:val="30"/>
        </w:numPr>
        <w:rPr>
          <w:rFonts w:ascii="Arial" w:cs="Arial" w:eastAsia="Arial" w:hAnsi="Arial"/>
          <w:sz w:val="19"/>
          <w:szCs w:val="19"/>
          <w:color w:val="010000"/>
        </w:rPr>
      </w:pPr>
      <w:r>
        <w:rPr>
          <w:rFonts w:ascii="Arial" w:cs="Arial" w:eastAsia="Arial" w:hAnsi="Arial"/>
          <w:sz w:val="19"/>
          <w:szCs w:val="19"/>
          <w:color w:val="auto"/>
        </w:rPr>
        <w:t>certificates for shares of Company stock that Optionee owns, along with any forms needed to effect a transfer of those shares to the Company; the value of the shares, determined as of the effective date of the Option exercise, will be applied to the Exercise Price. Instead of surrendering shares of Company stock, Optionee may attest to the ownership of those shares on a form provided by the Company and have the same number of shares subtracted from the Option shares issued to Optionee. However, Optionee may not surrender, or attest to the ownership of, shares of Company stock in payment of the Exercise Price of Optionee’s Option if Optionee’s action would cause the Company to recognize compensation expense (or additional compensation expense) with respect to this Option for financial reporting purposes;</w:t>
      </w:r>
    </w:p>
    <w:p>
      <w:pPr>
        <w:sectPr>
          <w:pgSz w:w="11900" w:h="16838" w:orient="portrait"/>
          <w:cols w:equalWidth="0" w:num="1">
            <w:col w:w="11240"/>
          </w:cols>
          <w:pgMar w:left="320" w:top="757" w:right="339" w:bottom="1440" w:gutter="0" w:footer="0" w:header="0"/>
        </w:sectPr>
      </w:pPr>
    </w:p>
    <w:bookmarkStart w:id="25" w:name="page26"/>
    <w:bookmarkEnd w:id="25"/>
    <w:p>
      <w:pPr>
        <w:jc w:val="both"/>
        <w:ind w:firstLine="1709"/>
        <w:spacing w:after="0" w:line="220" w:lineRule="auto"/>
        <w:tabs>
          <w:tab w:leader="none" w:pos="1944" w:val="left"/>
        </w:tabs>
        <w:numPr>
          <w:ilvl w:val="0"/>
          <w:numId w:val="31"/>
        </w:numPr>
        <w:rPr>
          <w:rFonts w:ascii="Arial" w:cs="Arial" w:eastAsia="Arial" w:hAnsi="Arial"/>
          <w:sz w:val="20"/>
          <w:szCs w:val="20"/>
          <w:color w:val="010000"/>
        </w:rPr>
      </w:pPr>
      <w:r>
        <w:rPr>
          <w:rFonts w:ascii="Arial" w:cs="Arial" w:eastAsia="Arial" w:hAnsi="Arial"/>
          <w:sz w:val="20"/>
          <w:szCs w:val="20"/>
          <w:color w:val="auto"/>
        </w:rPr>
        <w:t>cashless exercise through irrevocable directions to a securities broker approved by the Company to sell all or part of the Shares covered by the Option and to deliver to the Company from the sale proceeds an amount sufficient to pay the Exercise Price and any applicable Tax-Related Items. The balance of the sale proceeds, if any, will be delivered to Optionee. The directions must be given by signing a special notice of exercise form provided by the Company; or</w:t>
      </w:r>
    </w:p>
    <w:p>
      <w:pPr>
        <w:spacing w:after="0" w:line="169" w:lineRule="exact"/>
        <w:rPr>
          <w:rFonts w:ascii="Arial" w:cs="Arial" w:eastAsia="Arial" w:hAnsi="Arial"/>
          <w:sz w:val="20"/>
          <w:szCs w:val="20"/>
          <w:color w:val="010000"/>
        </w:rPr>
      </w:pPr>
    </w:p>
    <w:p>
      <w:pPr>
        <w:ind w:left="1960" w:hanging="251"/>
        <w:spacing w:after="0"/>
        <w:tabs>
          <w:tab w:leader="none" w:pos="1960" w:val="left"/>
        </w:tabs>
        <w:numPr>
          <w:ilvl w:val="0"/>
          <w:numId w:val="31"/>
        </w:numPr>
        <w:rPr>
          <w:rFonts w:ascii="Arial" w:cs="Arial" w:eastAsia="Arial" w:hAnsi="Arial"/>
          <w:sz w:val="20"/>
          <w:szCs w:val="20"/>
          <w:color w:val="010000"/>
        </w:rPr>
      </w:pPr>
      <w:r>
        <w:rPr>
          <w:rFonts w:ascii="Arial" w:cs="Arial" w:eastAsia="Arial" w:hAnsi="Arial"/>
          <w:sz w:val="20"/>
          <w:szCs w:val="20"/>
          <w:color w:val="auto"/>
        </w:rPr>
        <w:t>any other method authorized by the Company;</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provided, however, that the Company may restrict the available methods of payment to facilitate compliance with applicable law or administration of the Plan.</w:t>
      </w:r>
    </w:p>
    <w:p>
      <w:pPr>
        <w:spacing w:after="0" w:line="163" w:lineRule="exact"/>
        <w:rPr>
          <w:sz w:val="20"/>
          <w:szCs w:val="20"/>
          <w:color w:val="auto"/>
        </w:rPr>
      </w:pPr>
    </w:p>
    <w:p>
      <w:pPr>
        <w:jc w:val="both"/>
        <w:ind w:firstLine="656"/>
        <w:spacing w:after="0" w:line="232" w:lineRule="auto"/>
        <w:tabs>
          <w:tab w:leader="none" w:pos="1296" w:val="left"/>
        </w:tabs>
        <w:numPr>
          <w:ilvl w:val="0"/>
          <w:numId w:val="3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In general, except as provided below, only Optionee may exercise this Option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death. Optionee may not transfer or assign this Option, except as provided below. For instance, Optionee may not sell this Option or use it as security for a loan. If Optionee attempts to do any of these things, this Option will immediately become invalid. However, if Optionee is a U.S. taxpayer, Optionee may dispose of this Option in Optionee’s will. The Committee may, in its sole discretion, allow Optionee to transfer this Option as a gift to one or more family members. For purposes of this Option Agreement, “family member” means a child, stepchild, grandchild, parent, stepparent, grandparent, spouse, former spouse, sibling, niece, nephew, mother-in- law, father-in-law, son-in-law, daughter-in-law, brother-in-law or sister-in-law (including adoptive relationships), any individual sharing Optionee’s household (other than a tenant or employee), a trust in which one or more of these individuals have more than 50% of the beneficial interest, a foundation in which Optionee or one or more of these persons control the management of assets, and any entity in which Optionee or one or more of these persons own more than 50% of the voting interest. The Committee may, in its sole discretion, allow Optionee to transfer this Option to Optionee’s spouse or former spouse pursuant to a domestic relations order in settlement of marital property rights. The Committee will allow Optionee to transfer this Option only if both Optionee and the transferee(s) execute the forms prescribed by the Committee, which include the consent of the transferee(s) to be bound by this Option Agreement. This Option may not be transferred in any manner other than by will or by the laws of descent or distribution or court order and may be exercised during Optionee’s lifetime only by Optionee, Optionee’s guardian, or legal representative, as permitted in the Plan and applicable local laws. The terms of the Plan and this Option Agreement shall be binding upon the executors, administrators, heirs, successors and assigns of Optionee.</w:t>
      </w:r>
    </w:p>
    <w:p>
      <w:pPr>
        <w:spacing w:after="0" w:line="173" w:lineRule="exact"/>
        <w:rPr>
          <w:rFonts w:ascii="Arial" w:cs="Arial" w:eastAsia="Arial" w:hAnsi="Arial"/>
          <w:sz w:val="18"/>
          <w:szCs w:val="18"/>
          <w:b w:val="1"/>
          <w:bCs w:val="1"/>
          <w:color w:val="010000"/>
        </w:rPr>
      </w:pPr>
    </w:p>
    <w:p>
      <w:pPr>
        <w:ind w:firstLine="656"/>
        <w:spacing w:after="0" w:line="239" w:lineRule="auto"/>
        <w:tabs>
          <w:tab w:leader="none" w:pos="1296" w:val="left"/>
        </w:tabs>
        <w:numPr>
          <w:ilvl w:val="0"/>
          <w:numId w:val="32"/>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Term of Option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will in any event expire on the expiration date set forth in the Notice, which date is no more</w:t>
      </w:r>
      <w:r>
        <w:rPr>
          <w:rFonts w:ascii="Arial" w:cs="Arial" w:eastAsia="Arial" w:hAnsi="Arial"/>
          <w:sz w:val="20"/>
          <w:szCs w:val="20"/>
          <w:b w:val="1"/>
          <w:bCs w:val="1"/>
          <w:color w:val="auto"/>
        </w:rPr>
        <w:t xml:space="preserve"> </w:t>
      </w:r>
      <w:r>
        <w:rPr>
          <w:rFonts w:ascii="Arial" w:cs="Arial" w:eastAsia="Arial" w:hAnsi="Arial"/>
          <w:sz w:val="20"/>
          <w:szCs w:val="20"/>
          <w:color w:val="auto"/>
        </w:rPr>
        <w:t>than ten (10) years after the Date of Grant.</w:t>
      </w:r>
    </w:p>
    <w:p>
      <w:pPr>
        <w:spacing w:after="0" w:line="149" w:lineRule="exact"/>
        <w:rPr>
          <w:rFonts w:ascii="Arial" w:cs="Arial" w:eastAsia="Arial" w:hAnsi="Arial"/>
          <w:sz w:val="20"/>
          <w:szCs w:val="20"/>
          <w:b w:val="1"/>
          <w:bCs w:val="1"/>
          <w:color w:val="010000"/>
        </w:rPr>
      </w:pPr>
    </w:p>
    <w:p>
      <w:pPr>
        <w:ind w:left="1300" w:hanging="644"/>
        <w:spacing w:after="0"/>
        <w:tabs>
          <w:tab w:leader="none" w:pos="1300" w:val="left"/>
        </w:tabs>
        <w:numPr>
          <w:ilvl w:val="0"/>
          <w:numId w:val="32"/>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Taxes</w:t>
      </w:r>
      <w:r>
        <w:rPr>
          <w:rFonts w:ascii="Arial" w:cs="Arial" w:eastAsia="Arial" w:hAnsi="Arial"/>
          <w:sz w:val="20"/>
          <w:szCs w:val="20"/>
          <w:b w:val="1"/>
          <w:bCs w:val="1"/>
          <w:color w:val="auto"/>
        </w:rPr>
        <w:t>.</w:t>
      </w:r>
    </w:p>
    <w:p>
      <w:pPr>
        <w:spacing w:after="0" w:line="194" w:lineRule="exact"/>
        <w:rPr>
          <w:rFonts w:ascii="Arial" w:cs="Arial" w:eastAsia="Arial" w:hAnsi="Arial"/>
          <w:sz w:val="20"/>
          <w:szCs w:val="20"/>
          <w:b w:val="1"/>
          <w:bCs w:val="1"/>
          <w:color w:val="010000"/>
        </w:rPr>
      </w:pPr>
    </w:p>
    <w:p>
      <w:pPr>
        <w:jc w:val="both"/>
        <w:ind w:firstLine="1709"/>
        <w:spacing w:after="0" w:line="234" w:lineRule="auto"/>
        <w:tabs>
          <w:tab w:leader="none" w:pos="1944" w:val="left"/>
        </w:tabs>
        <w:numPr>
          <w:ilvl w:val="1"/>
          <w:numId w:val="32"/>
        </w:numPr>
        <w:rPr>
          <w:rFonts w:ascii="Arial" w:cs="Arial" w:eastAsia="Arial" w:hAnsi="Arial"/>
          <w:sz w:val="18"/>
          <w:szCs w:val="18"/>
          <w:color w:val="010000"/>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Optionee acknowledges that, regardless of any action taken by the Company or, if different, a Parent, Subsidiary, or Affiliate employing or retaining Optionee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 related items related to Optionee’s participation in the Plan and legally applicable to Optionee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xml:space="preserve">”) is and remains Optionee’s responsibility and may exceed the amount actually withheld by the Company or the Employer, if any. Optionee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Optionee’s liability for Tax-Related Items or achieve any particular tax result. Further, if Optionee is subject to Tax-Related Items in more than one jurisdiction, Optionee acknowledges that the Company and/or the Employer (or former employer, as applicable) may be required to withhold or account for Tax-Related Items in more than one jurisdiction. </w:t>
      </w:r>
      <w:r>
        <w:rPr>
          <w:rFonts w:ascii="Arial" w:cs="Arial" w:eastAsia="Arial" w:hAnsi="Arial"/>
          <w:sz w:val="18"/>
          <w:szCs w:val="18"/>
          <w:i w:val="1"/>
          <w:iCs w:val="1"/>
          <w:color w:val="auto"/>
        </w:rPr>
        <w:t>OPTIONEE SHOULD CONSULT A TAX ADVISER</w:t>
      </w:r>
      <w:r>
        <w:rPr>
          <w:rFonts w:ascii="Arial" w:cs="Arial" w:eastAsia="Arial" w:hAnsi="Arial"/>
          <w:sz w:val="18"/>
          <w:szCs w:val="18"/>
          <w:color w:val="auto"/>
        </w:rPr>
        <w:t xml:space="preserve"> </w:t>
      </w:r>
      <w:r>
        <w:rPr>
          <w:rFonts w:ascii="Arial" w:cs="Arial" w:eastAsia="Arial" w:hAnsi="Arial"/>
          <w:sz w:val="18"/>
          <w:szCs w:val="18"/>
          <w:i w:val="1"/>
          <w:iCs w:val="1"/>
          <w:color w:val="auto"/>
        </w:rPr>
        <w:t>APPROPRIATELY QUALIFIED IN THE COUNTRY OR COUNTRIES IN WHICH OPTIONEE RESIDES OR IS SUBJECT TO TAXATION.</w:t>
      </w:r>
    </w:p>
    <w:p>
      <w:pPr>
        <w:spacing w:after="0" w:line="170" w:lineRule="exact"/>
        <w:rPr>
          <w:rFonts w:ascii="Arial" w:cs="Arial" w:eastAsia="Arial" w:hAnsi="Arial"/>
          <w:sz w:val="18"/>
          <w:szCs w:val="18"/>
          <w:color w:val="010000"/>
        </w:rPr>
      </w:pPr>
    </w:p>
    <w:p>
      <w:pPr>
        <w:jc w:val="both"/>
        <w:ind w:firstLine="1709"/>
        <w:spacing w:after="0" w:line="229" w:lineRule="auto"/>
        <w:tabs>
          <w:tab w:leader="none" w:pos="1944" w:val="left"/>
        </w:tabs>
        <w:numPr>
          <w:ilvl w:val="1"/>
          <w:numId w:val="32"/>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Optionee agrees to make arrangements satisfactory to the Company and/or the Employer to satisfy all Tax-Related Items. In this regard, Optionee authorizes the Company and/or the Employer, or their respective agents, at their discretion, to satisfy any withholding obligations for Tax-Related Items by one or a combination of the following, all under such rules as may be established by the Committee and in compliance with the Company’s Insider Trading Policy and 10b5-1 Trading Plan Policy, if applicable:</w:t>
      </w:r>
    </w:p>
    <w:p>
      <w:pPr>
        <w:sectPr>
          <w:pgSz w:w="11900" w:h="16838" w:orient="portrait"/>
          <w:cols w:equalWidth="0" w:num="1">
            <w:col w:w="11240"/>
          </w:cols>
          <w:pgMar w:left="320" w:top="757" w:right="339" w:bottom="1440" w:gutter="0" w:footer="0" w:header="0"/>
        </w:sectPr>
      </w:pPr>
    </w:p>
    <w:bookmarkStart w:id="26" w:name="page27"/>
    <w:bookmarkEnd w:id="26"/>
    <w:p>
      <w:pPr>
        <w:ind w:left="2600" w:hanging="243"/>
        <w:spacing w:after="0"/>
        <w:tabs>
          <w:tab w:leader="none" w:pos="2600" w:val="left"/>
        </w:tabs>
        <w:numPr>
          <w:ilvl w:val="0"/>
          <w:numId w:val="33"/>
        </w:numPr>
        <w:rPr>
          <w:rFonts w:ascii="Arial" w:cs="Arial" w:eastAsia="Arial" w:hAnsi="Arial"/>
          <w:sz w:val="16"/>
          <w:szCs w:val="16"/>
          <w:color w:val="010000"/>
        </w:rPr>
      </w:pPr>
      <w:r>
        <w:rPr>
          <w:rFonts w:ascii="Arial" w:cs="Arial" w:eastAsia="Arial" w:hAnsi="Arial"/>
          <w:sz w:val="16"/>
          <w:szCs w:val="16"/>
          <w:color w:val="auto"/>
        </w:rPr>
        <w:t>withholding from Optionee’s wages or other cash compensation paid to Optionee by the Company and/or the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Employer; or</w:t>
      </w:r>
    </w:p>
    <w:p>
      <w:pPr>
        <w:spacing w:after="0" w:line="159" w:lineRule="exact"/>
        <w:rPr>
          <w:sz w:val="20"/>
          <w:szCs w:val="20"/>
          <w:color w:val="auto"/>
        </w:rPr>
      </w:pPr>
    </w:p>
    <w:p>
      <w:pPr>
        <w:jc w:val="both"/>
        <w:ind w:firstLine="2349"/>
        <w:spacing w:after="0" w:line="227" w:lineRule="auto"/>
        <w:rPr>
          <w:sz w:val="20"/>
          <w:szCs w:val="20"/>
          <w:color w:val="auto"/>
        </w:rPr>
      </w:pPr>
      <w:r>
        <w:rPr>
          <w:rFonts w:ascii="Arial" w:cs="Arial" w:eastAsia="Arial" w:hAnsi="Arial"/>
          <w:sz w:val="20"/>
          <w:szCs w:val="20"/>
          <w:color w:val="010000"/>
        </w:rPr>
        <w:t>(ii)</w:t>
      </w:r>
      <w:r>
        <w:rPr>
          <w:rFonts w:ascii="Arial" w:cs="Arial" w:eastAsia="Arial" w:hAnsi="Arial"/>
          <w:sz w:val="20"/>
          <w:szCs w:val="20"/>
          <w:color w:val="000000"/>
        </w:rPr>
        <w:t>withholding from proceeds of the sale of Shares acquired at exercise of this Option either through a</w:t>
      </w:r>
      <w:r>
        <w:rPr>
          <w:rFonts w:ascii="Arial" w:cs="Arial" w:eastAsia="Arial" w:hAnsi="Arial"/>
          <w:sz w:val="20"/>
          <w:szCs w:val="20"/>
          <w:color w:val="010000"/>
        </w:rPr>
        <w:t xml:space="preserve"> </w:t>
      </w:r>
      <w:r>
        <w:rPr>
          <w:rFonts w:ascii="Arial" w:cs="Arial" w:eastAsia="Arial" w:hAnsi="Arial"/>
          <w:sz w:val="20"/>
          <w:szCs w:val="20"/>
          <w:color w:val="000000"/>
        </w:rPr>
        <w:t>voluntary sale or through a mandatory sale arranged by the Company (on Optionee’s behalf pursuant to this authorization and without further consent);</w:t>
      </w:r>
    </w:p>
    <w:p>
      <w:pPr>
        <w:spacing w:after="0" w:line="157" w:lineRule="exact"/>
        <w:rPr>
          <w:sz w:val="20"/>
          <w:szCs w:val="20"/>
          <w:color w:val="auto"/>
        </w:rPr>
      </w:pPr>
    </w:p>
    <w:p>
      <w:pPr>
        <w:ind w:firstLine="2357"/>
        <w:spacing w:after="0" w:line="236" w:lineRule="auto"/>
        <w:tabs>
          <w:tab w:leader="none" w:pos="3240"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withholding Shares to be issued upon exercise of the Option, provided the Company only withholds the number of Shares necessary to satisfy no more than applicable statutory withholding amounts;</w:t>
      </w:r>
    </w:p>
    <w:p>
      <w:pPr>
        <w:spacing w:after="0" w:line="166" w:lineRule="exact"/>
        <w:rPr>
          <w:rFonts w:ascii="Arial" w:cs="Arial" w:eastAsia="Arial" w:hAnsi="Arial"/>
          <w:sz w:val="20"/>
          <w:szCs w:val="20"/>
          <w:color w:val="010000"/>
        </w:rPr>
      </w:pPr>
    </w:p>
    <w:p>
      <w:pPr>
        <w:ind w:left="3240" w:hanging="883"/>
        <w:spacing w:after="0"/>
        <w:tabs>
          <w:tab w:leader="none" w:pos="3240"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Optionee’s payment of a cash amount (including by check representing readily available funds or a</w:t>
      </w:r>
    </w:p>
    <w:p>
      <w:pPr>
        <w:spacing w:after="0"/>
        <w:rPr>
          <w:rFonts w:ascii="Arial" w:cs="Arial" w:eastAsia="Arial" w:hAnsi="Arial"/>
          <w:sz w:val="18"/>
          <w:szCs w:val="18"/>
          <w:color w:val="010000"/>
        </w:rPr>
      </w:pPr>
      <w:r>
        <w:rPr>
          <w:rFonts w:ascii="Arial" w:cs="Arial" w:eastAsia="Arial" w:hAnsi="Arial"/>
          <w:sz w:val="20"/>
          <w:szCs w:val="20"/>
          <w:color w:val="auto"/>
        </w:rPr>
        <w:t>wire transfer); or</w:t>
      </w:r>
    </w:p>
    <w:p>
      <w:pPr>
        <w:spacing w:after="0" w:line="172" w:lineRule="exact"/>
        <w:rPr>
          <w:rFonts w:ascii="Arial" w:cs="Arial" w:eastAsia="Arial" w:hAnsi="Arial"/>
          <w:sz w:val="18"/>
          <w:szCs w:val="18"/>
          <w:color w:val="010000"/>
        </w:rPr>
      </w:pPr>
    </w:p>
    <w:p>
      <w:pPr>
        <w:ind w:left="2600" w:hanging="243"/>
        <w:spacing w:after="0"/>
        <w:tabs>
          <w:tab w:leader="none" w:pos="2600"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any other arrangement approved by the Committee and permitted under applicable law;</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Optionee is a Section 16 officer of the Company under the Exchange Act, then the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 shall be a mandatory sale (unless the Committee as constituted in accordance with Rule 16b-3 of the Exchange Act shall</w:t>
      </w:r>
    </w:p>
    <w:p>
      <w:pPr>
        <w:spacing w:after="0"/>
        <w:rPr>
          <w:sz w:val="20"/>
          <w:szCs w:val="20"/>
          <w:color w:val="auto"/>
        </w:rPr>
      </w:pPr>
      <w:r>
        <w:rPr>
          <w:rFonts w:ascii="Arial" w:cs="Arial" w:eastAsia="Arial" w:hAnsi="Arial"/>
          <w:sz w:val="20"/>
          <w:szCs w:val="20"/>
          <w:color w:val="auto"/>
        </w:rPr>
        <w:t>establish an alternate method from alternatives (i) – (v) above prior to the Tax-Related Items withholding event).</w:t>
      </w:r>
    </w:p>
    <w:p>
      <w:pPr>
        <w:spacing w:after="0" w:line="173" w:lineRule="exact"/>
        <w:rPr>
          <w:sz w:val="20"/>
          <w:szCs w:val="20"/>
          <w:color w:val="auto"/>
        </w:rPr>
      </w:pPr>
    </w:p>
    <w:p>
      <w:pPr>
        <w:ind w:firstLine="1296"/>
        <w:spacing w:after="0" w:line="223"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w:t>
      </w:r>
    </w:p>
    <w:p>
      <w:pPr>
        <w:spacing w:after="0" w:line="236" w:lineRule="auto"/>
        <w:rPr>
          <w:sz w:val="20"/>
          <w:szCs w:val="20"/>
          <w:color w:val="auto"/>
        </w:rPr>
      </w:pPr>
      <w:r>
        <w:rPr>
          <w:rFonts w:ascii="Arial" w:cs="Arial" w:eastAsia="Arial" w:hAnsi="Arial"/>
          <w:sz w:val="18"/>
          <w:szCs w:val="18"/>
          <w:color w:val="auto"/>
        </w:rPr>
        <w:t>Optionee’s tax jurisdiction(s) in which case Optionee will have no entitlement to the equivalent amount in Shares and will receive a refund of</w:t>
      </w:r>
    </w:p>
    <w:p>
      <w:pPr>
        <w:spacing w:after="0" w:line="255" w:lineRule="auto"/>
        <w:rPr>
          <w:sz w:val="20"/>
          <w:szCs w:val="20"/>
          <w:color w:val="auto"/>
        </w:rPr>
      </w:pPr>
      <w:r>
        <w:rPr>
          <w:rFonts w:ascii="Arial" w:cs="Arial" w:eastAsia="Arial" w:hAnsi="Arial"/>
          <w:sz w:val="16"/>
          <w:szCs w:val="16"/>
          <w:color w:val="auto"/>
        </w:rPr>
        <w:t>any over-withheld amount in cash in accordance with applicable law. If the obligation for Tax-Related Items is satisfied by withholding in Shares, for tax purposes, Optionee is deemed to have been issued the full number of Exercised Shares; notwithstanding that a number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Shares are held back solely for the purpose of satisfying the withholding obligation for Tax-Related Items.</w:t>
      </w:r>
    </w:p>
    <w:p>
      <w:pPr>
        <w:spacing w:after="0" w:line="159"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Finally, Optionee agrees to pay to the Company and/or the Employer any amount of Tax-Related Items that the Company and/or the Employer may be required to withhold or account for as a result of Optionee’s participation in the Plan that cannot be satisfied by</w:t>
      </w:r>
    </w:p>
    <w:p>
      <w:pPr>
        <w:spacing w:after="0" w:line="220" w:lineRule="auto"/>
        <w:rPr>
          <w:sz w:val="20"/>
          <w:szCs w:val="20"/>
          <w:color w:val="auto"/>
        </w:rPr>
      </w:pPr>
      <w:r>
        <w:rPr>
          <w:rFonts w:ascii="Arial" w:cs="Arial" w:eastAsia="Arial" w:hAnsi="Arial"/>
          <w:sz w:val="20"/>
          <w:szCs w:val="20"/>
          <w:color w:val="auto"/>
        </w:rPr>
        <w:t>the means previously described. The Company may refuse to issue or deliver the Shares or the proceeds of the sale of Shares, if Optionee fails to comply with Optionee’s obligations in connection with the Tax-Related Items.</w:t>
      </w:r>
    </w:p>
    <w:p>
      <w:pPr>
        <w:spacing w:after="0" w:line="164"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Nature of Grant</w:t>
      </w:r>
      <w:r>
        <w:rPr>
          <w:rFonts w:ascii="Arial" w:cs="Arial" w:eastAsia="Arial" w:hAnsi="Arial"/>
          <w:sz w:val="20"/>
          <w:szCs w:val="20"/>
          <w:b w:val="1"/>
          <w:bCs w:val="1"/>
          <w:color w:val="auto"/>
        </w:rPr>
        <w:t xml:space="preserve">. </w:t>
      </w:r>
      <w:r>
        <w:rPr>
          <w:rFonts w:ascii="Arial" w:cs="Arial" w:eastAsia="Arial" w:hAnsi="Arial"/>
          <w:sz w:val="20"/>
          <w:szCs w:val="20"/>
          <w:color w:val="auto"/>
        </w:rPr>
        <w:t>By accepting the Option, Optionee acknowledges, understands and agrees that:</w:t>
      </w:r>
    </w:p>
    <w:p>
      <w:pPr>
        <w:spacing w:after="0" w:line="194" w:lineRule="exact"/>
        <w:rPr>
          <w:rFonts w:ascii="Arial" w:cs="Arial" w:eastAsia="Arial" w:hAnsi="Arial"/>
          <w:sz w:val="20"/>
          <w:szCs w:val="20"/>
          <w:b w:val="1"/>
          <w:bCs w:val="1"/>
          <w:color w:val="010000"/>
        </w:rPr>
      </w:pPr>
    </w:p>
    <w:p>
      <w:pPr>
        <w:ind w:firstLine="1304"/>
        <w:spacing w:after="0" w:line="229" w:lineRule="auto"/>
        <w:tabs>
          <w:tab w:leader="none" w:pos="1944" w:val="left"/>
        </w:tabs>
        <w:numPr>
          <w:ilvl w:val="1"/>
          <w:numId w:val="35"/>
        </w:numPr>
        <w:rPr>
          <w:rFonts w:ascii="Arial" w:cs="Arial" w:eastAsia="Arial" w:hAnsi="Arial"/>
          <w:sz w:val="20"/>
          <w:szCs w:val="20"/>
          <w:color w:val="010000"/>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68" w:lineRule="exact"/>
        <w:rPr>
          <w:rFonts w:ascii="Arial" w:cs="Arial" w:eastAsia="Arial" w:hAnsi="Arial"/>
          <w:sz w:val="20"/>
          <w:szCs w:val="20"/>
          <w:color w:val="010000"/>
        </w:rPr>
      </w:pPr>
    </w:p>
    <w:p>
      <w:pPr>
        <w:ind w:firstLine="1304"/>
        <w:spacing w:after="0" w:line="236" w:lineRule="auto"/>
        <w:tabs>
          <w:tab w:leader="none" w:pos="1944" w:val="left"/>
        </w:tabs>
        <w:numPr>
          <w:ilvl w:val="1"/>
          <w:numId w:val="35"/>
        </w:numPr>
        <w:rPr>
          <w:rFonts w:ascii="Arial" w:cs="Arial" w:eastAsia="Arial" w:hAnsi="Arial"/>
          <w:sz w:val="20"/>
          <w:szCs w:val="20"/>
          <w:color w:val="010000"/>
        </w:rPr>
      </w:pPr>
      <w:r>
        <w:rPr>
          <w:rFonts w:ascii="Arial" w:cs="Arial" w:eastAsia="Arial" w:hAnsi="Arial"/>
          <w:sz w:val="20"/>
          <w:szCs w:val="20"/>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55" w:lineRule="exact"/>
        <w:rPr>
          <w:rFonts w:ascii="Arial" w:cs="Arial" w:eastAsia="Arial" w:hAnsi="Arial"/>
          <w:sz w:val="20"/>
          <w:szCs w:val="20"/>
          <w:color w:val="010000"/>
        </w:rPr>
      </w:pPr>
    </w:p>
    <w:p>
      <w:pPr>
        <w:ind w:left="1960" w:hanging="656"/>
        <w:spacing w:after="0"/>
        <w:tabs>
          <w:tab w:leader="none" w:pos="1960" w:val="left"/>
        </w:tabs>
        <w:numPr>
          <w:ilvl w:val="1"/>
          <w:numId w:val="35"/>
        </w:numPr>
        <w:rPr>
          <w:rFonts w:ascii="Arial" w:cs="Arial" w:eastAsia="Arial" w:hAnsi="Arial"/>
          <w:sz w:val="19"/>
          <w:szCs w:val="19"/>
          <w:color w:val="010000"/>
        </w:rPr>
      </w:pPr>
      <w:r>
        <w:rPr>
          <w:rFonts w:ascii="Arial" w:cs="Arial" w:eastAsia="Arial" w:hAnsi="Arial"/>
          <w:sz w:val="19"/>
          <w:szCs w:val="19"/>
          <w:color w:val="auto"/>
        </w:rPr>
        <w:t>all decisions with respect to future options or other grants, if any, will be at the sole discretion of the Company;</w:t>
      </w:r>
    </w:p>
    <w:p>
      <w:pPr>
        <w:spacing w:after="0" w:line="200" w:lineRule="exact"/>
        <w:rPr>
          <w:rFonts w:ascii="Arial" w:cs="Arial" w:eastAsia="Arial" w:hAnsi="Arial"/>
          <w:sz w:val="19"/>
          <w:szCs w:val="19"/>
          <w:color w:val="010000"/>
        </w:rPr>
      </w:pPr>
    </w:p>
    <w:p>
      <w:pPr>
        <w:ind w:left="1960" w:hanging="656"/>
        <w:spacing w:after="0"/>
        <w:tabs>
          <w:tab w:leader="none" w:pos="1960" w:val="left"/>
        </w:tabs>
        <w:numPr>
          <w:ilvl w:val="1"/>
          <w:numId w:val="35"/>
        </w:numPr>
        <w:rPr>
          <w:rFonts w:ascii="Arial" w:cs="Arial" w:eastAsia="Arial" w:hAnsi="Arial"/>
          <w:sz w:val="20"/>
          <w:szCs w:val="20"/>
          <w:color w:val="010000"/>
        </w:rPr>
      </w:pPr>
      <w:r>
        <w:rPr>
          <w:rFonts w:ascii="Arial" w:cs="Arial" w:eastAsia="Arial" w:hAnsi="Arial"/>
          <w:sz w:val="20"/>
          <w:szCs w:val="20"/>
          <w:color w:val="auto"/>
        </w:rPr>
        <w:t>Optionee is voluntarily participating in the Plan;</w:t>
      </w:r>
    </w:p>
    <w:p>
      <w:pPr>
        <w:spacing w:after="0" w:line="188" w:lineRule="exact"/>
        <w:rPr>
          <w:rFonts w:ascii="Arial" w:cs="Arial" w:eastAsia="Arial" w:hAnsi="Arial"/>
          <w:sz w:val="20"/>
          <w:szCs w:val="20"/>
          <w:color w:val="010000"/>
        </w:rPr>
      </w:pPr>
    </w:p>
    <w:p>
      <w:pPr>
        <w:jc w:val="both"/>
        <w:ind w:firstLine="1304"/>
        <w:spacing w:after="0" w:line="223" w:lineRule="auto"/>
        <w:tabs>
          <w:tab w:leader="none" w:pos="1944" w:val="left"/>
        </w:tabs>
        <w:numPr>
          <w:ilvl w:val="1"/>
          <w:numId w:val="35"/>
        </w:numPr>
        <w:rPr>
          <w:rFonts w:ascii="Arial" w:cs="Arial" w:eastAsia="Arial" w:hAnsi="Arial"/>
          <w:sz w:val="20"/>
          <w:szCs w:val="20"/>
          <w:color w:val="010000"/>
        </w:rPr>
      </w:pPr>
      <w:r>
        <w:rPr>
          <w:rFonts w:ascii="Arial" w:cs="Arial" w:eastAsia="Arial" w:hAnsi="Arial"/>
          <w:sz w:val="20"/>
          <w:szCs w:val="20"/>
          <w:color w:val="auto"/>
        </w:rPr>
        <w:t>the Option and Optionee’s participation in the Plan will not create a right to employment or be interpreted as forming or amending an employment or service contract with the Company or the Employer, and will not interfere with the ability of the Company or the Employer, as applicable, to terminate Optionee’s employment or service relationship (if any);</w:t>
      </w:r>
    </w:p>
    <w:p>
      <w:pPr>
        <w:spacing w:after="0" w:line="168" w:lineRule="exact"/>
        <w:rPr>
          <w:rFonts w:ascii="Arial" w:cs="Arial" w:eastAsia="Arial" w:hAnsi="Arial"/>
          <w:sz w:val="20"/>
          <w:szCs w:val="20"/>
          <w:color w:val="010000"/>
        </w:rPr>
      </w:pPr>
    </w:p>
    <w:p>
      <w:pPr>
        <w:ind w:firstLine="1304"/>
        <w:spacing w:after="0" w:line="229" w:lineRule="auto"/>
        <w:tabs>
          <w:tab w:leader="none" w:pos="1944" w:val="left"/>
        </w:tabs>
        <w:numPr>
          <w:ilvl w:val="1"/>
          <w:numId w:val="35"/>
        </w:numPr>
        <w:rPr>
          <w:rFonts w:ascii="Arial" w:cs="Arial" w:eastAsia="Arial" w:hAnsi="Arial"/>
          <w:sz w:val="20"/>
          <w:szCs w:val="20"/>
          <w:color w:val="010000"/>
        </w:rPr>
      </w:pPr>
      <w:r>
        <w:rPr>
          <w:rFonts w:ascii="Arial" w:cs="Arial" w:eastAsia="Arial" w:hAnsi="Arial"/>
          <w:sz w:val="20"/>
          <w:szCs w:val="20"/>
          <w:color w:val="auto"/>
        </w:rPr>
        <w:t>the Option and the Shares subject to the Option, and the income and value of same, are not intended to replace any pension rights or compensation;</w:t>
      </w:r>
    </w:p>
    <w:p>
      <w:pPr>
        <w:spacing w:after="0" w:line="168" w:lineRule="exact"/>
        <w:rPr>
          <w:rFonts w:ascii="Arial" w:cs="Arial" w:eastAsia="Arial" w:hAnsi="Arial"/>
          <w:sz w:val="20"/>
          <w:szCs w:val="20"/>
          <w:color w:val="010000"/>
        </w:rPr>
      </w:pPr>
    </w:p>
    <w:p>
      <w:pPr>
        <w:ind w:firstLine="1304"/>
        <w:spacing w:after="0" w:line="236" w:lineRule="auto"/>
        <w:tabs>
          <w:tab w:leader="none" w:pos="1944" w:val="left"/>
        </w:tabs>
        <w:numPr>
          <w:ilvl w:val="1"/>
          <w:numId w:val="35"/>
        </w:numPr>
        <w:rPr>
          <w:rFonts w:ascii="Arial" w:cs="Arial" w:eastAsia="Arial" w:hAnsi="Arial"/>
          <w:sz w:val="20"/>
          <w:szCs w:val="20"/>
          <w:color w:val="010000"/>
        </w:rPr>
      </w:pPr>
      <w:r>
        <w:rPr>
          <w:rFonts w:ascii="Arial" w:cs="Arial" w:eastAsia="Arial" w:hAnsi="Arial"/>
          <w:sz w:val="20"/>
          <w:szCs w:val="20"/>
          <w:color w:val="auto"/>
        </w:rPr>
        <w:t>the Option and the Shares subject to the Option, and the income and value of same, are not part of normal or expected compensation for any purpose, including, but not limited to,</w:t>
      </w:r>
    </w:p>
    <w:p>
      <w:pPr>
        <w:sectPr>
          <w:pgSz w:w="11900" w:h="16838" w:orient="portrait"/>
          <w:cols w:equalWidth="0" w:num="1">
            <w:col w:w="11240"/>
          </w:cols>
          <w:pgMar w:left="320" w:top="757" w:right="339" w:bottom="1440" w:gutter="0" w:footer="0" w:header="0"/>
        </w:sectPr>
      </w:pPr>
    </w:p>
    <w:bookmarkStart w:id="27" w:name="page28"/>
    <w:bookmarkEnd w:id="27"/>
    <w:p>
      <w:pPr>
        <w:spacing w:after="0" w:line="236" w:lineRule="auto"/>
        <w:rPr>
          <w:sz w:val="20"/>
          <w:szCs w:val="20"/>
          <w:color w:val="auto"/>
        </w:rPr>
      </w:pPr>
      <w:r>
        <w:rPr>
          <w:rFonts w:ascii="Arial" w:cs="Arial" w:eastAsia="Arial" w:hAnsi="Arial"/>
          <w:sz w:val="20"/>
          <w:szCs w:val="20"/>
          <w:color w:val="auto"/>
        </w:rPr>
        <w:t>calculating any severance, resignation, termination, redundancy, dismissal, end-of-service payments, bonuses, long-service awards, pension or retirement, or welfare benefits or similar payments;</w:t>
      </w:r>
    </w:p>
    <w:p>
      <w:pPr>
        <w:spacing w:after="0" w:line="155" w:lineRule="exact"/>
        <w:rPr>
          <w:sz w:val="20"/>
          <w:szCs w:val="20"/>
          <w:color w:val="auto"/>
        </w:rPr>
      </w:pPr>
    </w:p>
    <w:p>
      <w:pPr>
        <w:jc w:val="both"/>
        <w:ind w:firstLine="1304"/>
        <w:spacing w:after="0" w:line="227" w:lineRule="auto"/>
        <w:tabs>
          <w:tab w:leader="none" w:pos="1944" w:val="left"/>
        </w:tabs>
        <w:numPr>
          <w:ilvl w:val="1"/>
          <w:numId w:val="36"/>
        </w:numPr>
        <w:rPr>
          <w:rFonts w:ascii="Arial" w:cs="Arial" w:eastAsia="Arial" w:hAnsi="Arial"/>
          <w:sz w:val="20"/>
          <w:szCs w:val="20"/>
          <w:color w:val="010000"/>
        </w:rPr>
      </w:pPr>
      <w:r>
        <w:rPr>
          <w:rFonts w:ascii="Arial" w:cs="Arial" w:eastAsia="Arial" w:hAnsi="Arial"/>
          <w:sz w:val="20"/>
          <w:szCs w:val="20"/>
          <w:color w:val="auto"/>
        </w:rPr>
        <w:t>unless otherwise agreed with the Company, the Option, and the Shares subject to the Option, and the income and value of same, are not granted as consideration for, or in connection with, the Service Optionee may provide as a director of a Parent, Subsidiary, or Affiliate;</w:t>
      </w:r>
    </w:p>
    <w:p>
      <w:pPr>
        <w:spacing w:after="0" w:line="157" w:lineRule="exact"/>
        <w:rPr>
          <w:rFonts w:ascii="Arial" w:cs="Arial" w:eastAsia="Arial" w:hAnsi="Arial"/>
          <w:sz w:val="20"/>
          <w:szCs w:val="20"/>
          <w:color w:val="010000"/>
        </w:rPr>
      </w:pPr>
    </w:p>
    <w:p>
      <w:pPr>
        <w:jc w:val="both"/>
        <w:ind w:firstLine="1304"/>
        <w:spacing w:after="0" w:line="227" w:lineRule="auto"/>
        <w:tabs>
          <w:tab w:leader="none" w:pos="1944" w:val="left"/>
        </w:tabs>
        <w:numPr>
          <w:ilvl w:val="1"/>
          <w:numId w:val="36"/>
        </w:numPr>
        <w:rPr>
          <w:rFonts w:ascii="Arial" w:cs="Arial" w:eastAsia="Arial" w:hAnsi="Arial"/>
          <w:sz w:val="20"/>
          <w:szCs w:val="20"/>
          <w:color w:val="010000"/>
        </w:rPr>
      </w:pPr>
      <w:r>
        <w:rPr>
          <w:rFonts w:ascii="Arial" w:cs="Arial" w:eastAsia="Arial" w:hAnsi="Arial"/>
          <w:sz w:val="20"/>
          <w:szCs w:val="20"/>
          <w:color w:val="auto"/>
        </w:rPr>
        <w:t>the future value of the Shares underlying the Option is unknown, indeterminable, and cannot be predicted with certainty; if the underlying Shares do not increase in value, the Option will have no value; if Optionee exercises the Option and acquires Shares, the value of such Shares may increase or decrease, even below the Exercise Price;</w:t>
      </w:r>
    </w:p>
    <w:p>
      <w:pPr>
        <w:spacing w:after="0" w:line="157" w:lineRule="exact"/>
        <w:rPr>
          <w:rFonts w:ascii="Arial" w:cs="Arial" w:eastAsia="Arial" w:hAnsi="Arial"/>
          <w:sz w:val="20"/>
          <w:szCs w:val="20"/>
          <w:color w:val="010000"/>
        </w:rPr>
      </w:pPr>
    </w:p>
    <w:p>
      <w:pPr>
        <w:jc w:val="both"/>
        <w:ind w:firstLine="1304"/>
        <w:spacing w:after="0" w:line="237" w:lineRule="auto"/>
        <w:tabs>
          <w:tab w:leader="none" w:pos="1944"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no claim or entitlement to compensation or damages will arise from forfeiture of the Option resulting from Optionee’s termination of Service (regardless of the reason for such termination and whether or not later found to be invalid or in breach of employment laws in the jurisdiction where Optionee is employed or the terms of Optionee’s employment agreement, if any), and in consideration of the grant of the Option to which Optionee is otherwise not entitled, Optionee irrevocably agrees never to institute any claim against the Employer, the Company, and any Parent, Subsidiary, or Affiliate; waives his or her ability, if any, to bring any such claim; and releases the Employer, the Company, and any Parent, Subsidiary, or Affiliate from any such claim; if, notwithstanding the foregoing, any such claim is allowed by a court of competent jurisdiction, then, by participating in the Plan, Optionee will be deemed irrevocably to have agreed not to pursue such claim and agrees to execute any and all documents necessary to request dismissal or withdrawal of such claim;</w:t>
      </w:r>
    </w:p>
    <w:p>
      <w:pPr>
        <w:spacing w:after="0" w:line="173" w:lineRule="exact"/>
        <w:rPr>
          <w:rFonts w:ascii="Arial" w:cs="Arial" w:eastAsia="Arial" w:hAnsi="Arial"/>
          <w:sz w:val="18"/>
          <w:szCs w:val="18"/>
          <w:color w:val="010000"/>
        </w:rPr>
      </w:pPr>
    </w:p>
    <w:p>
      <w:pPr>
        <w:jc w:val="both"/>
        <w:ind w:firstLine="1304"/>
        <w:spacing w:after="0" w:line="252" w:lineRule="auto"/>
        <w:tabs>
          <w:tab w:leader="none" w:pos="1944"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44" w:lineRule="exact"/>
        <w:rPr>
          <w:rFonts w:ascii="Arial" w:cs="Arial" w:eastAsia="Arial" w:hAnsi="Arial"/>
          <w:sz w:val="18"/>
          <w:szCs w:val="18"/>
          <w:color w:val="010000"/>
        </w:rPr>
      </w:pPr>
    </w:p>
    <w:p>
      <w:pPr>
        <w:jc w:val="both"/>
        <w:ind w:firstLine="1304"/>
        <w:spacing w:after="0" w:line="239" w:lineRule="auto"/>
        <w:tabs>
          <w:tab w:leader="none" w:pos="1944" w:val="left"/>
        </w:tabs>
        <w:numPr>
          <w:ilvl w:val="1"/>
          <w:numId w:val="36"/>
        </w:numPr>
        <w:rPr>
          <w:rFonts w:ascii="Arial" w:cs="Arial" w:eastAsia="Arial" w:hAnsi="Arial"/>
          <w:sz w:val="19"/>
          <w:szCs w:val="19"/>
          <w:color w:val="010000"/>
        </w:rPr>
      </w:pPr>
      <w:r>
        <w:rPr>
          <w:rFonts w:ascii="Arial" w:cs="Arial" w:eastAsia="Arial" w:hAnsi="Arial"/>
          <w:sz w:val="19"/>
          <w:szCs w:val="19"/>
          <w:color w:val="auto"/>
        </w:rPr>
        <w:t>neither the Employer, the Company, or any Parent, Subsidiary or Affiliate will be liable for any foreign exchange rate fluctuation between Optionee’s local currency and the United States Dollar that may affect the value of the Option or of any amounts due to Optionee pursuant to the exercise of the Option or the subsequent sale of any Shares acquired upon exercise.</w:t>
      </w:r>
    </w:p>
    <w:p>
      <w:pPr>
        <w:spacing w:after="0" w:line="157" w:lineRule="exact"/>
        <w:rPr>
          <w:rFonts w:ascii="Arial" w:cs="Arial" w:eastAsia="Arial" w:hAnsi="Arial"/>
          <w:sz w:val="19"/>
          <w:szCs w:val="19"/>
          <w:color w:val="010000"/>
        </w:rPr>
      </w:pPr>
    </w:p>
    <w:p>
      <w:pPr>
        <w:ind w:left="1960" w:hanging="656"/>
        <w:spacing w:after="0"/>
        <w:tabs>
          <w:tab w:leader="none" w:pos="1960" w:val="left"/>
        </w:tabs>
        <w:numPr>
          <w:ilvl w:val="1"/>
          <w:numId w:val="36"/>
        </w:numPr>
        <w:rPr>
          <w:rFonts w:ascii="Arial" w:cs="Arial" w:eastAsia="Arial" w:hAnsi="Arial"/>
          <w:sz w:val="20"/>
          <w:szCs w:val="20"/>
          <w:color w:val="010000"/>
        </w:rPr>
      </w:pPr>
      <w:r>
        <w:rPr>
          <w:rFonts w:ascii="Arial" w:cs="Arial" w:eastAsia="Arial" w:hAnsi="Arial"/>
          <w:sz w:val="20"/>
          <w:szCs w:val="20"/>
          <w:color w:val="auto"/>
        </w:rPr>
        <w:t>the following provisions apply only if Optionee is providing Service outside the United States:</w:t>
      </w:r>
    </w:p>
    <w:p>
      <w:pPr>
        <w:spacing w:after="0" w:line="188" w:lineRule="exact"/>
        <w:rPr>
          <w:rFonts w:ascii="Arial" w:cs="Arial" w:eastAsia="Arial" w:hAnsi="Arial"/>
          <w:sz w:val="20"/>
          <w:szCs w:val="20"/>
          <w:color w:val="010000"/>
        </w:rPr>
      </w:pPr>
    </w:p>
    <w:p>
      <w:pPr>
        <w:ind w:left="2600" w:hanging="648"/>
        <w:spacing w:after="0"/>
        <w:tabs>
          <w:tab w:leader="none" w:pos="2600" w:val="left"/>
        </w:tabs>
        <w:numPr>
          <w:ilvl w:val="2"/>
          <w:numId w:val="36"/>
        </w:numPr>
        <w:rPr>
          <w:rFonts w:ascii="Arial" w:cs="Arial" w:eastAsia="Arial" w:hAnsi="Arial"/>
          <w:sz w:val="18"/>
          <w:szCs w:val="18"/>
          <w:color w:val="010000"/>
        </w:rPr>
      </w:pPr>
      <w:r>
        <w:rPr>
          <w:rFonts w:ascii="Arial" w:cs="Arial" w:eastAsia="Arial" w:hAnsi="Arial"/>
          <w:sz w:val="18"/>
          <w:szCs w:val="18"/>
          <w:color w:val="auto"/>
        </w:rPr>
        <w:t>the Option and the Shares subject to the Option are not part of normal or expected compensation or salary</w:t>
      </w:r>
    </w:p>
    <w:p>
      <w:pPr>
        <w:spacing w:after="0" w:line="11"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for any purpose; and</w:t>
      </w:r>
    </w:p>
    <w:p>
      <w:pPr>
        <w:spacing w:after="0" w:line="159" w:lineRule="exact"/>
        <w:rPr>
          <w:rFonts w:ascii="Arial" w:cs="Arial" w:eastAsia="Arial" w:hAnsi="Arial"/>
          <w:sz w:val="18"/>
          <w:szCs w:val="18"/>
          <w:color w:val="010000"/>
        </w:rPr>
      </w:pPr>
    </w:p>
    <w:p>
      <w:pPr>
        <w:jc w:val="both"/>
        <w:ind w:firstLine="1952"/>
        <w:spacing w:after="0" w:line="220" w:lineRule="auto"/>
        <w:tabs>
          <w:tab w:leader="none" w:pos="2592" w:val="left"/>
        </w:tabs>
        <w:numPr>
          <w:ilvl w:val="2"/>
          <w:numId w:val="36"/>
        </w:numPr>
        <w:rPr>
          <w:rFonts w:ascii="Arial" w:cs="Arial" w:eastAsia="Arial" w:hAnsi="Arial"/>
          <w:sz w:val="20"/>
          <w:szCs w:val="20"/>
          <w:color w:val="010000"/>
        </w:rPr>
      </w:pPr>
      <w:r>
        <w:rPr>
          <w:rFonts w:ascii="Arial" w:cs="Arial" w:eastAsia="Arial" w:hAnsi="Arial"/>
          <w:sz w:val="20"/>
          <w:szCs w:val="20"/>
          <w:color w:val="auto"/>
        </w:rPr>
        <w:t>Optionee acknowledges and agrees that neither the Company, the Employer nor any Parent or Subsidiary or Affiliate will be liable for any foreign exchange rate fluctuation between Optionee’s local currency and the United States Dollar that may affect the value of the Option or of any amounts due to Optionee pursuant to the exercise of the Option or the subsequent sale of any Shares acquired upon exercised</w:t>
      </w:r>
    </w:p>
    <w:p>
      <w:pPr>
        <w:spacing w:after="0" w:line="163" w:lineRule="exact"/>
        <w:rPr>
          <w:rFonts w:ascii="Arial" w:cs="Arial" w:eastAsia="Arial" w:hAnsi="Arial"/>
          <w:sz w:val="20"/>
          <w:szCs w:val="20"/>
          <w:color w:val="010000"/>
        </w:rPr>
      </w:pPr>
    </w:p>
    <w:p>
      <w:pPr>
        <w:jc w:val="both"/>
        <w:ind w:firstLine="656"/>
        <w:spacing w:after="0" w:line="233" w:lineRule="auto"/>
        <w:tabs>
          <w:tab w:leader="none" w:pos="1296" w:val="left"/>
        </w:tabs>
        <w:numPr>
          <w:ilvl w:val="0"/>
          <w:numId w:val="3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Optionee’s participation in the Plan or Optionee’s acquisition or sale of the underlying Shares. Optionee acknowledges, understands, and agrees that he or she should consult with his or her own personal tax, legal, and financial advisors regarding his or her participation in the Plan before taking any action related to the Plan.</w:t>
      </w:r>
    </w:p>
    <w:p>
      <w:pPr>
        <w:spacing w:after="0" w:line="164" w:lineRule="exact"/>
        <w:rPr>
          <w:rFonts w:ascii="Arial" w:cs="Arial" w:eastAsia="Arial" w:hAnsi="Arial"/>
          <w:sz w:val="19"/>
          <w:szCs w:val="19"/>
          <w:b w:val="1"/>
          <w:bCs w:val="1"/>
          <w:color w:val="010000"/>
        </w:rPr>
      </w:pPr>
    </w:p>
    <w:p>
      <w:pPr>
        <w:jc w:val="both"/>
        <w:ind w:firstLine="656"/>
        <w:spacing w:after="0" w:line="225" w:lineRule="auto"/>
        <w:tabs>
          <w:tab w:leader="none" w:pos="1285" w:val="left"/>
        </w:tabs>
        <w:numPr>
          <w:ilvl w:val="0"/>
          <w:numId w:val="37"/>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Language</w:t>
      </w:r>
      <w:r>
        <w:rPr>
          <w:rFonts w:ascii="Arial" w:cs="Arial" w:eastAsia="Arial" w:hAnsi="Arial"/>
          <w:sz w:val="20"/>
          <w:szCs w:val="20"/>
          <w:b w:val="1"/>
          <w:bCs w:val="1"/>
          <w:color w:val="auto"/>
        </w:rPr>
        <w:t xml:space="preserve">. </w:t>
      </w:r>
      <w:r>
        <w:rPr>
          <w:rFonts w:ascii="Arial" w:cs="Arial" w:eastAsia="Arial" w:hAnsi="Arial"/>
          <w:sz w:val="20"/>
          <w:szCs w:val="20"/>
          <w:color w:val="auto"/>
        </w:rPr>
        <w:t>If Optionee has received this Option Agreement, or any other document related to the Option and/or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translated into a language other than English and if the meaning of the translated version is different than the English version, the English version will control.</w:t>
      </w:r>
    </w:p>
    <w:p>
      <w:pPr>
        <w:spacing w:after="0" w:line="163" w:lineRule="exact"/>
        <w:rPr>
          <w:rFonts w:ascii="Arial" w:cs="Arial" w:eastAsia="Arial" w:hAnsi="Arial"/>
          <w:sz w:val="20"/>
          <w:szCs w:val="20"/>
          <w:b w:val="1"/>
          <w:bCs w:val="1"/>
          <w:color w:val="010000"/>
        </w:rPr>
      </w:pPr>
    </w:p>
    <w:p>
      <w:pPr>
        <w:jc w:val="both"/>
        <w:ind w:firstLine="656"/>
        <w:spacing w:after="0" w:line="221" w:lineRule="auto"/>
        <w:tabs>
          <w:tab w:leader="none" w:pos="1296" w:val="left"/>
        </w:tabs>
        <w:numPr>
          <w:ilvl w:val="0"/>
          <w:numId w:val="37"/>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reserves the right to impose other requirements on Optionee’s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Option, and on any Shares purchased upon exercise of the Option, to the extent the Company determines it is necessary or advisable for legal or administrative reasons, and to require Optionee to sign any additional agreements or undertakings that may be necessary to accomplish the foregoing.</w:t>
      </w:r>
    </w:p>
    <w:p>
      <w:pPr>
        <w:sectPr>
          <w:pgSz w:w="11900" w:h="16838" w:orient="portrait"/>
          <w:cols w:equalWidth="0" w:num="1">
            <w:col w:w="11240"/>
          </w:cols>
          <w:pgMar w:left="320" w:top="757" w:right="339" w:bottom="1440" w:gutter="0" w:footer="0" w:header="0"/>
        </w:sectPr>
      </w:pPr>
    </w:p>
    <w:bookmarkStart w:id="28" w:name="page29"/>
    <w:bookmarkEnd w:id="28"/>
    <w:p>
      <w:pPr>
        <w:jc w:val="both"/>
        <w:ind w:firstLine="656"/>
        <w:spacing w:after="0" w:line="233" w:lineRule="auto"/>
        <w:tabs>
          <w:tab w:leader="none" w:pos="1296" w:val="left"/>
        </w:tabs>
        <w:numPr>
          <w:ilvl w:val="0"/>
          <w:numId w:val="38"/>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Acknowledgement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Optionee agree that the Option is granted under and governed by the Notice, this</w:t>
      </w:r>
      <w:r>
        <w:rPr>
          <w:rFonts w:ascii="Arial" w:cs="Arial" w:eastAsia="Arial" w:hAnsi="Arial"/>
          <w:sz w:val="19"/>
          <w:szCs w:val="19"/>
          <w:b w:val="1"/>
          <w:bCs w:val="1"/>
          <w:color w:val="auto"/>
        </w:rPr>
        <w:t xml:space="preserve"> </w:t>
      </w:r>
      <w:r>
        <w:rPr>
          <w:rFonts w:ascii="Arial" w:cs="Arial" w:eastAsia="Arial" w:hAnsi="Arial"/>
          <w:sz w:val="19"/>
          <w:szCs w:val="19"/>
          <w:color w:val="auto"/>
        </w:rPr>
        <w:t>Option Agreement and the Plan (incorporated herein by reference). Optionee: (a) acknowledges receipt of a copy of the Plan and the Plan prospectus, (b) represents that Optionee has carefully read and is familiar with their provisions, and (c) hereby accepts the Option subject to all of the terms and conditions set forth herein and those set forth in the Plan and the Notice.</w:t>
      </w:r>
    </w:p>
    <w:p>
      <w:pPr>
        <w:spacing w:after="0" w:line="164" w:lineRule="exact"/>
        <w:rPr>
          <w:rFonts w:ascii="Arial" w:cs="Arial" w:eastAsia="Arial" w:hAnsi="Arial"/>
          <w:sz w:val="19"/>
          <w:szCs w:val="19"/>
          <w:b w:val="1"/>
          <w:bCs w:val="1"/>
          <w:color w:val="010000"/>
        </w:rPr>
      </w:pPr>
    </w:p>
    <w:p>
      <w:pPr>
        <w:jc w:val="both"/>
        <w:ind w:firstLine="656"/>
        <w:spacing w:after="0" w:line="227" w:lineRule="auto"/>
        <w:tabs>
          <w:tab w:leader="none" w:pos="1296" w:val="left"/>
        </w:tabs>
        <w:numPr>
          <w:ilvl w:val="0"/>
          <w:numId w:val="38"/>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Entire Agreement; Enforcement of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This Option Agreement, the Plan, and the Notice constitute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Option Agreement, nor any waiver of any rights under this Option Agreement, will be effective unless in writing and signed by the parties to this Option Agreement (which writing and signing may be electronic). The failure by either party to enforce any rights under this Option Agreement will not be construed as a waiver of any rights of such party.</w:t>
      </w:r>
    </w:p>
    <w:p>
      <w:pPr>
        <w:spacing w:after="0" w:line="164" w:lineRule="exact"/>
        <w:rPr>
          <w:rFonts w:ascii="Arial" w:cs="Arial" w:eastAsia="Arial" w:hAnsi="Arial"/>
          <w:sz w:val="19"/>
          <w:szCs w:val="19"/>
          <w:b w:val="1"/>
          <w:bCs w:val="1"/>
          <w:color w:val="010000"/>
        </w:rPr>
      </w:pPr>
    </w:p>
    <w:p>
      <w:pPr>
        <w:jc w:val="both"/>
        <w:ind w:firstLine="656"/>
        <w:spacing w:after="0" w:line="236" w:lineRule="auto"/>
        <w:tabs>
          <w:tab w:leader="none" w:pos="1296" w:val="left"/>
        </w:tabs>
        <w:numPr>
          <w:ilvl w:val="0"/>
          <w:numId w:val="38"/>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Compliance with Laws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Shares and the sale of Shares will be subject to and conditioned</w:t>
      </w:r>
      <w:r>
        <w:rPr>
          <w:rFonts w:ascii="Arial" w:cs="Arial" w:eastAsia="Arial" w:hAnsi="Arial"/>
          <w:sz w:val="18"/>
          <w:szCs w:val="18"/>
          <w:b w:val="1"/>
          <w:bCs w:val="1"/>
          <w:color w:val="auto"/>
        </w:rPr>
        <w:t xml:space="preserve"> </w:t>
      </w:r>
      <w:r>
        <w:rPr>
          <w:rFonts w:ascii="Arial" w:cs="Arial" w:eastAsia="Arial" w:hAnsi="Arial"/>
          <w:sz w:val="18"/>
          <w:szCs w:val="18"/>
          <w:color w:val="auto"/>
        </w:rPr>
        <w:t>upon compliance by the Company and Optionee with all applicable state, federal, local and foreign laws and regulations and with all applicable requirements of any stock exchange or automated quotation system on which the Company’s Shares may be listed or quoted at the time of such issuance or transfer. Optionee understands that the Company is under no obligation to register or qualify the Common Stock with any state, federal, or foreign securities commission or to seek approval or clearance from any governmental authority for the issuance or sale of the Shares. Further, Optionee agrees that the Company will have unilateral authority to amend the Plan and this Option Agreement without Optionee’s consent to the extent necessary to comply with securities or other laws applicable to issuance of Shares. Finally, the Shares issued pursuant to this Option Agreement will be endorsed with appropriate legends, if any, determined by the Company.</w:t>
      </w:r>
    </w:p>
    <w:p>
      <w:pPr>
        <w:spacing w:after="0" w:line="167" w:lineRule="exact"/>
        <w:rPr>
          <w:rFonts w:ascii="Arial" w:cs="Arial" w:eastAsia="Arial" w:hAnsi="Arial"/>
          <w:sz w:val="18"/>
          <w:szCs w:val="18"/>
          <w:b w:val="1"/>
          <w:bCs w:val="1"/>
          <w:color w:val="010000"/>
        </w:rPr>
      </w:pPr>
    </w:p>
    <w:p>
      <w:pPr>
        <w:jc w:val="both"/>
        <w:ind w:firstLine="656"/>
        <w:spacing w:after="0" w:line="216" w:lineRule="auto"/>
        <w:tabs>
          <w:tab w:leader="none" w:pos="1296" w:val="left"/>
        </w:tabs>
        <w:numPr>
          <w:ilvl w:val="0"/>
          <w:numId w:val="38"/>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one or more provisions of this Option Agreement are held to be unenforceable under applicable law,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agree to renegotiate such provision in good faith. In the event that the parties cannot reach a mutually agreeable and enforceable replacement for such provision, then (a) such provision will be excluded from this Option Agreement, (b) the balance of this Option Agreement will be interpreted as if such provision were so excluded and (c) the balance of this Option Agreement will be enforceable in accordance with its terms.</w:t>
      </w:r>
    </w:p>
    <w:p>
      <w:pPr>
        <w:spacing w:after="0" w:line="166" w:lineRule="exact"/>
        <w:rPr>
          <w:rFonts w:ascii="Arial" w:cs="Arial" w:eastAsia="Arial" w:hAnsi="Arial"/>
          <w:sz w:val="20"/>
          <w:szCs w:val="20"/>
          <w:b w:val="1"/>
          <w:bCs w:val="1"/>
          <w:color w:val="010000"/>
        </w:rPr>
      </w:pPr>
    </w:p>
    <w:p>
      <w:pPr>
        <w:jc w:val="both"/>
        <w:ind w:firstLine="656"/>
        <w:spacing w:after="0" w:line="225" w:lineRule="auto"/>
        <w:tabs>
          <w:tab w:leader="none" w:pos="1296" w:val="left"/>
        </w:tabs>
        <w:numPr>
          <w:ilvl w:val="0"/>
          <w:numId w:val="38"/>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Governing Law and Venue</w:t>
      </w:r>
      <w:r>
        <w:rPr>
          <w:rFonts w:ascii="Arial" w:cs="Arial" w:eastAsia="Arial" w:hAnsi="Arial"/>
          <w:sz w:val="20"/>
          <w:szCs w:val="20"/>
          <w:b w:val="1"/>
          <w:bCs w:val="1"/>
          <w:color w:val="auto"/>
        </w:rPr>
        <w:t xml:space="preserve">. </w:t>
      </w:r>
      <w:r>
        <w:rPr>
          <w:rFonts w:ascii="Arial" w:cs="Arial" w:eastAsia="Arial" w:hAnsi="Arial"/>
          <w:sz w:val="20"/>
          <w:szCs w:val="20"/>
          <w:color w:val="auto"/>
        </w:rPr>
        <w:t>This Option Agreement and all acts and transactions pursuant hereto and the rights and</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of the parties hereto will be governed, construed and interpreted in accordance with the laws of the State of Delaware, without giving effect to such state’s conflict of laws rules.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and all disputes relating to, concerning or arising from this Option Agreement, or relating to, concerning or arising from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relationship between the parties evidenced by the Plan or this Option Agreement, will be brought and heard exclusively in the federal and state courts sitting in the County of New York, State of New York. Each of the parties hereby represents and agrees that such party is subject</w:t>
      </w:r>
    </w:p>
    <w:p>
      <w:pPr>
        <w:spacing w:after="0" w:line="236" w:lineRule="auto"/>
        <w:rPr>
          <w:sz w:val="20"/>
          <w:szCs w:val="20"/>
          <w:color w:val="auto"/>
        </w:rPr>
      </w:pPr>
      <w:r>
        <w:rPr>
          <w:rFonts w:ascii="Arial" w:cs="Arial" w:eastAsia="Arial" w:hAnsi="Arial"/>
          <w:sz w:val="18"/>
          <w:szCs w:val="18"/>
          <w:color w:val="auto"/>
        </w:rPr>
        <w:t>to the personal jurisdiction of said courts; hereby irrevocably consents to the jurisdiction of such courts in any legal or equitable proceedings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related to, concerning, or arising from such dispute, and waives, to the fullest extent permitted by law, any objection which such party may now or hereafter have that the laying of the venue of any legal or equitable proceedings related to, concerning, or arising from such dispute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which is brought in such courts is improper or that such proceedings have been brought in an inconvenient forum.</w:t>
      </w:r>
    </w:p>
    <w:p>
      <w:pPr>
        <w:spacing w:after="0" w:line="167" w:lineRule="exact"/>
        <w:rPr>
          <w:sz w:val="20"/>
          <w:szCs w:val="20"/>
          <w:color w:val="auto"/>
        </w:rPr>
      </w:pPr>
    </w:p>
    <w:p>
      <w:pPr>
        <w:ind w:firstLine="656"/>
        <w:spacing w:after="0" w:line="276" w:lineRule="auto"/>
        <w:tabs>
          <w:tab w:leader="none" w:pos="1296" w:val="left"/>
        </w:tabs>
        <w:numPr>
          <w:ilvl w:val="0"/>
          <w:numId w:val="39"/>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Option Agreement will affect in any manner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 or power of the Employer or the Company to terminate Optionee’s Service, for any reason, with or without Cause.</w:t>
      </w:r>
    </w:p>
    <w:p>
      <w:pPr>
        <w:spacing w:after="0" w:line="131" w:lineRule="exact"/>
        <w:rPr>
          <w:rFonts w:ascii="Arial" w:cs="Arial" w:eastAsia="Arial" w:hAnsi="Arial"/>
          <w:sz w:val="18"/>
          <w:szCs w:val="18"/>
          <w:b w:val="1"/>
          <w:bCs w:val="1"/>
          <w:color w:val="010000"/>
        </w:rPr>
      </w:pPr>
    </w:p>
    <w:p>
      <w:pPr>
        <w:jc w:val="both"/>
        <w:ind w:firstLine="656"/>
        <w:spacing w:after="0" w:line="226" w:lineRule="auto"/>
        <w:tabs>
          <w:tab w:leader="none" w:pos="1296"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b w:val="1"/>
          <w:bCs w:val="1"/>
          <w:color w:val="auto"/>
        </w:rPr>
        <w:t xml:space="preserve">. </w:t>
      </w:r>
      <w:r>
        <w:rPr>
          <w:rFonts w:ascii="Arial" w:cs="Arial" w:eastAsia="Arial" w:hAnsi="Arial"/>
          <w:sz w:val="19"/>
          <w:szCs w:val="19"/>
          <w:color w:val="auto"/>
        </w:rPr>
        <w:t>By Optionee’s acceptance of the Notice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in writing or electronically), Optionee and the Company agree that the Option is granted under and governed by the terms and conditions of the Plan, the Notice, and this Option Agreement. Optionee has reviewed the Plan, the Notice, and this Option Agreement in their entirety, has had an opportunity to obtain the advice of counsel prior to executing the Notice and this Option Agreement, and fully understands all provisions of the Plan, the Notice, and this Option Agreement. Optionee hereby agrees to accept as binding, conclusive, and final all decisions or interpretations of the Committee upon any questions relating to the Plan, the Notice, and this Option Agreement. Optionee further agrees to notify the Company upon any change in Optionee’s residence</w:t>
      </w:r>
    </w:p>
    <w:p>
      <w:pPr>
        <w:sectPr>
          <w:pgSz w:w="11900" w:h="16838" w:orient="portrait"/>
          <w:cols w:equalWidth="0" w:num="1">
            <w:col w:w="11240"/>
          </w:cols>
          <w:pgMar w:left="320" w:top="75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address. By acceptance of the Option, Optionee agrees to participate in the Plan through an on-line or electronic system established and</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maintained by the Company or a third party designated by the Company and consents to the electronic delivery of the Notice, this Option Agreement, the Plan, account statements, Plan prospectuses required by the U.S. Securities and Exchange Commission, U.S. financial reports</w:t>
      </w:r>
    </w:p>
    <w:p>
      <w:pPr>
        <w:spacing w:after="0" w:line="235" w:lineRule="auto"/>
        <w:rPr>
          <w:sz w:val="20"/>
          <w:szCs w:val="20"/>
          <w:color w:val="auto"/>
        </w:rPr>
      </w:pPr>
      <w:r>
        <w:rPr>
          <w:rFonts w:ascii="Arial" w:cs="Arial" w:eastAsia="Arial" w:hAnsi="Arial"/>
          <w:sz w:val="18"/>
          <w:szCs w:val="18"/>
          <w:color w:val="auto"/>
        </w:rPr>
        <w:t>of the Company, and all other documents that the Company is required to deliver to its security holders (including, without limitation, annual</w:t>
      </w:r>
    </w:p>
    <w:p>
      <w:pPr>
        <w:spacing w:after="0" w:line="226" w:lineRule="auto"/>
        <w:rPr>
          <w:sz w:val="20"/>
          <w:szCs w:val="20"/>
          <w:color w:val="auto"/>
        </w:rPr>
      </w:pPr>
      <w:r>
        <w:rPr>
          <w:rFonts w:ascii="Arial" w:cs="Arial" w:eastAsia="Arial" w:hAnsi="Arial"/>
          <w:sz w:val="18"/>
          <w:szCs w:val="18"/>
          <w:color w:val="auto"/>
        </w:rPr>
        <w:t>reports and proxy statements), or other communications or information related to the Option and current or future participation in the Plan. Electronic delivery may include the delivery of a link to the Company intranet or the internet site of a third party involved in administering</w:t>
      </w:r>
    </w:p>
    <w:p>
      <w:pPr>
        <w:spacing w:after="0" w:line="236" w:lineRule="auto"/>
        <w:rPr>
          <w:sz w:val="20"/>
          <w:szCs w:val="20"/>
          <w:color w:val="auto"/>
        </w:rPr>
      </w:pPr>
      <w:r>
        <w:rPr>
          <w:rFonts w:ascii="Arial" w:cs="Arial" w:eastAsia="Arial" w:hAnsi="Arial"/>
          <w:sz w:val="18"/>
          <w:szCs w:val="18"/>
          <w:color w:val="auto"/>
        </w:rPr>
        <w:t>the Plan, the delivery of the document via e-mail, or such other delivery determined at the Company’s discretion. Optionee acknowledges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Optionee may receive from the Company a paper copy of any documents delivered electronically at no cost if Optionee contacts the Company by telephone, through a postal service, or electronic mail. Optionee further acknowledges that Optionee will be provided with a</w:t>
      </w:r>
    </w:p>
    <w:p>
      <w:pPr>
        <w:spacing w:after="0" w:line="236" w:lineRule="auto"/>
        <w:rPr>
          <w:sz w:val="20"/>
          <w:szCs w:val="20"/>
          <w:color w:val="auto"/>
        </w:rPr>
      </w:pPr>
      <w:r>
        <w:rPr>
          <w:rFonts w:ascii="Arial" w:cs="Arial" w:eastAsia="Arial" w:hAnsi="Arial"/>
          <w:sz w:val="18"/>
          <w:szCs w:val="18"/>
          <w:color w:val="auto"/>
        </w:rPr>
        <w:t>paper copy of any documents delivered electronically if electronic delivery fails; similarly, Optionee understands that Optionee must provide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on request to the Company or any designated third party a paper copy of any documents delivered electronically if electronic delivery fails. Also, Optionee understands that Optionee’s consent may be revoked or changed, including any change in the electronic mail address to which</w:t>
      </w:r>
    </w:p>
    <w:p>
      <w:pPr>
        <w:spacing w:after="0" w:line="235" w:lineRule="auto"/>
        <w:rPr>
          <w:sz w:val="20"/>
          <w:szCs w:val="20"/>
          <w:color w:val="auto"/>
        </w:rPr>
      </w:pPr>
      <w:r>
        <w:rPr>
          <w:rFonts w:ascii="Arial" w:cs="Arial" w:eastAsia="Arial" w:hAnsi="Arial"/>
          <w:sz w:val="18"/>
          <w:szCs w:val="18"/>
          <w:color w:val="auto"/>
        </w:rPr>
        <w:t>documents are delivered (if Optionee has provided an electronic mail address), at any time by notifying the Company of such revised or</w:t>
      </w:r>
    </w:p>
    <w:p>
      <w:pPr>
        <w:spacing w:after="0" w:line="220" w:lineRule="auto"/>
        <w:rPr>
          <w:sz w:val="20"/>
          <w:szCs w:val="20"/>
          <w:color w:val="auto"/>
        </w:rPr>
      </w:pPr>
      <w:r>
        <w:rPr>
          <w:rFonts w:ascii="Arial" w:cs="Arial" w:eastAsia="Arial" w:hAnsi="Arial"/>
          <w:sz w:val="20"/>
          <w:szCs w:val="20"/>
          <w:color w:val="auto"/>
        </w:rPr>
        <w:t>revoked consent by telephone, postal service, or electronic mail. Finally, Optionee understands that Optionee is not required to consent to electronic delivery if local laws prohibit such consent.</w:t>
      </w:r>
    </w:p>
    <w:p>
      <w:pPr>
        <w:spacing w:after="0" w:line="164" w:lineRule="exact"/>
        <w:rPr>
          <w:sz w:val="20"/>
          <w:szCs w:val="20"/>
          <w:color w:val="auto"/>
        </w:rPr>
      </w:pPr>
    </w:p>
    <w:p>
      <w:pPr>
        <w:jc w:val="both"/>
        <w:ind w:firstLine="656"/>
        <w:spacing w:after="0" w:line="236" w:lineRule="auto"/>
        <w:tabs>
          <w:tab w:leader="none" w:pos="1296" w:val="left"/>
        </w:tabs>
        <w:numPr>
          <w:ilvl w:val="0"/>
          <w:numId w:val="40"/>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Insider Trading Restrictions/Market Abuse Laws</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acknowledges that, depending on Optionee’s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be subject to insider trading restrictions and/or market abuse laws, which may affect Optionee’s ability to acquire or sell the Shares or rights to Shares under the Plan during such times as Optionee is considered to have “inside information” regarding the Company (as defined by the laws in Optionee’s country). Any restrictions under these laws or regulations are separate from and in addition to any restrictions that may be imposed under any applicable Company insider trading policy. Optionee acknowledges that it is Optionee’s responsibility to comply with any applicable restrictions and understands that Optionee should consult his or her personal legal advisor on such matters. In addition, Optionee acknowledges that he or she has read the Company’s Insider Trading Policy, and agrees to comply with such policy, as it may be amended from time to time, whenever Optionee acquires or disposes of the Company’s securities.</w:t>
      </w:r>
    </w:p>
    <w:p>
      <w:pPr>
        <w:spacing w:after="0" w:line="167" w:lineRule="exact"/>
        <w:rPr>
          <w:rFonts w:ascii="Arial" w:cs="Arial" w:eastAsia="Arial" w:hAnsi="Arial"/>
          <w:sz w:val="18"/>
          <w:szCs w:val="18"/>
          <w:b w:val="1"/>
          <w:bCs w:val="1"/>
          <w:color w:val="010000"/>
        </w:rPr>
      </w:pPr>
    </w:p>
    <w:p>
      <w:pPr>
        <w:jc w:val="both"/>
        <w:ind w:firstLine="656"/>
        <w:spacing w:after="0" w:line="219" w:lineRule="auto"/>
        <w:tabs>
          <w:tab w:leader="none" w:pos="1296" w:val="left"/>
        </w:tabs>
        <w:numPr>
          <w:ilvl w:val="0"/>
          <w:numId w:val="40"/>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Award Subject to Company Clawback or Recoupment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extent permitted by applicable law, the Option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clawback or recoupment pursuant to any compensation clawback or recoupment policy adopted by the Board or required by law during the term of Optionee’s employment or other Service that is applicable to Optionee. In addition to any other remedies available under such policy and applicable law, the Company may require the cancellation of Optionee’s Option (whether vested or unvested) and the recoupment of any gains realized with respect to Optionee’s Option.</w:t>
      </w:r>
    </w:p>
    <w:p>
      <w:pPr>
        <w:spacing w:after="0" w:line="152" w:lineRule="exact"/>
        <w:rPr>
          <w:sz w:val="20"/>
          <w:szCs w:val="20"/>
          <w:color w:val="auto"/>
        </w:rPr>
      </w:pPr>
    </w:p>
    <w:p>
      <w:pPr>
        <w:ind w:firstLine="648"/>
        <w:spacing w:after="0" w:line="239" w:lineRule="auto"/>
        <w:rPr>
          <w:sz w:val="20"/>
          <w:szCs w:val="20"/>
          <w:color w:val="auto"/>
        </w:rPr>
      </w:pPr>
      <w:r>
        <w:rPr>
          <w:rFonts w:ascii="Arial" w:cs="Arial" w:eastAsia="Arial" w:hAnsi="Arial"/>
          <w:sz w:val="20"/>
          <w:szCs w:val="20"/>
          <w:b w:val="1"/>
          <w:bCs w:val="1"/>
          <w:color w:val="auto"/>
        </w:rPr>
        <w:t>BY ACCEPTING THIS OPTION, OPTIONEE AGREES TO ALL OF THE TERMS AND CONDITIONS DESCRIBED ABOVE AND IN THE PLAN.</w:t>
      </w:r>
    </w:p>
    <w:p>
      <w:pPr>
        <w:sectPr>
          <w:pgSz w:w="11900" w:h="16838" w:orient="portrait"/>
          <w:cols w:equalWidth="0" w:num="1">
            <w:col w:w="11240"/>
          </w:cols>
          <w:pgMar w:left="320" w:top="75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GENEDX HOLDINGS CORP.</w:t>
      </w:r>
    </w:p>
    <w:p>
      <w:pPr>
        <w:jc w:val="center"/>
        <w:spacing w:after="0"/>
        <w:rPr>
          <w:sz w:val="20"/>
          <w:szCs w:val="20"/>
          <w:color w:val="auto"/>
        </w:rPr>
      </w:pPr>
      <w:r>
        <w:rPr>
          <w:rFonts w:ascii="Arial" w:cs="Arial" w:eastAsia="Arial" w:hAnsi="Arial"/>
          <w:sz w:val="20"/>
          <w:szCs w:val="20"/>
          <w:b w:val="1"/>
          <w:bCs w:val="1"/>
          <w:color w:val="auto"/>
        </w:rPr>
        <w:t>NOTICE OF INDUCEMENT RESTRICTED STOCK UNIT GRANT</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material inducement to the employment of the Participant named below, the Participant has been granted an award of restricted stock units (the “</w:t>
      </w:r>
      <w:r>
        <w:rPr>
          <w:rFonts w:ascii="Arial" w:cs="Arial" w:eastAsia="Arial" w:hAnsi="Arial"/>
          <w:sz w:val="18"/>
          <w:szCs w:val="18"/>
          <w:b w:val="1"/>
          <w:bCs w:val="1"/>
          <w:color w:val="auto"/>
        </w:rPr>
        <w:t>RSUs</w:t>
      </w:r>
      <w:r>
        <w:rPr>
          <w:rFonts w:ascii="Arial" w:cs="Arial" w:eastAsia="Arial" w:hAnsi="Arial"/>
          <w:sz w:val="18"/>
          <w:szCs w:val="18"/>
          <w:color w:val="auto"/>
        </w:rPr>
        <w:t>”) by GeneDx Holdings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the Company’s 2023 Equity Inducement Plan (the “</w:t>
      </w:r>
      <w:r>
        <w:rPr>
          <w:rFonts w:ascii="Arial" w:cs="Arial" w:eastAsia="Arial" w:hAnsi="Arial"/>
          <w:sz w:val="18"/>
          <w:szCs w:val="18"/>
          <w:b w:val="1"/>
          <w:bCs w:val="1"/>
          <w:color w:val="auto"/>
        </w:rPr>
        <w:t>Plan</w:t>
      </w:r>
      <w:r>
        <w:rPr>
          <w:rFonts w:ascii="Arial" w:cs="Arial" w:eastAsia="Arial" w:hAnsi="Arial"/>
          <w:sz w:val="18"/>
          <w:szCs w:val="18"/>
          <w:color w:val="auto"/>
        </w:rPr>
        <w:t>”). The</w:t>
      </w:r>
    </w:p>
    <w:p>
      <w:pPr>
        <w:spacing w:after="0" w:line="220" w:lineRule="auto"/>
        <w:rPr>
          <w:sz w:val="20"/>
          <w:szCs w:val="20"/>
          <w:color w:val="auto"/>
        </w:rPr>
      </w:pPr>
      <w:r>
        <w:rPr>
          <w:rFonts w:ascii="Arial" w:cs="Arial" w:eastAsia="Arial" w:hAnsi="Arial"/>
          <w:sz w:val="20"/>
          <w:szCs w:val="20"/>
          <w:color w:val="auto"/>
        </w:rPr>
        <w:t>RSUs are also subject to the terms and conditions of this Notice of Restricted Stock Unit Grant (this “</w:t>
      </w:r>
      <w:r>
        <w:rPr>
          <w:rFonts w:ascii="Arial" w:cs="Arial" w:eastAsia="Arial" w:hAnsi="Arial"/>
          <w:sz w:val="20"/>
          <w:szCs w:val="20"/>
          <w:b w:val="1"/>
          <w:bCs w:val="1"/>
          <w:color w:val="auto"/>
        </w:rPr>
        <w:t>Notice</w:t>
      </w:r>
      <w:r>
        <w:rPr>
          <w:rFonts w:ascii="Arial" w:cs="Arial" w:eastAsia="Arial" w:hAnsi="Arial"/>
          <w:sz w:val="20"/>
          <w:szCs w:val="20"/>
          <w:color w:val="auto"/>
        </w:rPr>
        <w:t xml:space="preserve">”), and the Inducement Restricted Stock Unit Agreement attached as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hereto (the “</w:t>
      </w:r>
      <w:r>
        <w:rPr>
          <w:rFonts w:ascii="Arial" w:cs="Arial" w:eastAsia="Arial" w:hAnsi="Arial"/>
          <w:sz w:val="20"/>
          <w:szCs w:val="20"/>
          <w:b w:val="1"/>
          <w:bCs w:val="1"/>
          <w:color w:val="auto"/>
        </w:rPr>
        <w:t>RSU Agreement</w:t>
      </w:r>
      <w:r>
        <w:rPr>
          <w:rFonts w:ascii="Arial" w:cs="Arial" w:eastAsia="Arial" w:hAnsi="Arial"/>
          <w:sz w:val="20"/>
          <w:szCs w:val="20"/>
          <w:color w:val="auto"/>
        </w:rPr>
        <w:t>”).</w:t>
      </w:r>
    </w:p>
    <w:p>
      <w:pPr>
        <w:spacing w:after="0" w:line="17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Capitalized terms not expressly defined herein but defined in the Plan or the RSU Agreement will have the same definitions as in the Plan or the RSU Agreement.</w:t>
      </w:r>
    </w:p>
    <w:p>
      <w:pPr>
        <w:sectPr>
          <w:pgSz w:w="11900" w:h="16838" w:orient="portrait"/>
          <w:cols w:equalWidth="0" w:num="1">
            <w:col w:w="11240"/>
          </w:cols>
          <w:pgMar w:left="320" w:top="104" w:right="339" w:bottom="1440" w:gutter="0" w:footer="0" w:header="0"/>
        </w:sect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Participant Name: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%%FIRST_NAME_MIDDLE_NAME_LAST_NAME%-%</w:t>
      </w:r>
    </w:p>
    <w:p>
      <w:pPr>
        <w:spacing w:after="0" w:line="38" w:lineRule="exact"/>
        <w:rPr>
          <w:sz w:val="20"/>
          <w:szCs w:val="20"/>
          <w:color w:val="auto"/>
        </w:rPr>
      </w:pPr>
    </w:p>
    <w:p>
      <w:pPr>
        <w:sectPr>
          <w:pgSz w:w="11900" w:h="16838" w:orient="portrait"/>
          <w:cols w:equalWidth="0" w:num="2">
            <w:col w:w="2840" w:space="720"/>
            <w:col w:w="7680"/>
          </w:cols>
          <w:pgMar w:left="320" w:top="104"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%%TOTAL_SHARES_GRANTED,'999,999,999'%-%</w:t>
      </w:r>
    </w:p>
    <w:p>
      <w:pPr>
        <w:spacing w:after="0" w:line="50" w:lineRule="exact"/>
        <w:rPr>
          <w:sz w:val="20"/>
          <w:szCs w:val="20"/>
          <w:color w:val="auto"/>
        </w:rPr>
      </w:pPr>
    </w:p>
    <w:p>
      <w:pPr>
        <w:sectPr>
          <w:pgSz w:w="11900" w:h="16838" w:orient="portrait"/>
          <w:cols w:equalWidth="0" w:num="2">
            <w:col w:w="2840" w:space="720"/>
            <w:col w:w="7680"/>
          </w:cols>
          <w:pgMar w:left="320" w:top="104"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%%OPTION_DATE,'Month DD, YYYY'%-%</w:t>
      </w:r>
    </w:p>
    <w:p>
      <w:pPr>
        <w:spacing w:after="0" w:line="32" w:lineRule="exact"/>
        <w:rPr>
          <w:sz w:val="20"/>
          <w:szCs w:val="20"/>
          <w:color w:val="auto"/>
        </w:rPr>
      </w:pPr>
    </w:p>
    <w:p>
      <w:pPr>
        <w:sectPr>
          <w:pgSz w:w="11900" w:h="16838" w:orient="portrait"/>
          <w:cols w:equalWidth="0" w:num="2">
            <w:col w:w="2840" w:space="720"/>
            <w:col w:w="7680"/>
          </w:cols>
          <w:pgMar w:left="320" w:top="104"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%%VEST_BASE_DATE,'Month DD, YYYY'%-%</w:t>
      </w:r>
    </w:p>
    <w:p>
      <w:pPr>
        <w:spacing w:after="0" w:line="200" w:lineRule="exact"/>
        <w:rPr>
          <w:sz w:val="20"/>
          <w:szCs w:val="20"/>
          <w:color w:val="auto"/>
        </w:rPr>
      </w:pPr>
    </w:p>
    <w:p>
      <w:pPr>
        <w:sectPr>
          <w:pgSz w:w="11900" w:h="16838" w:orient="portrait"/>
          <w:cols w:equalWidth="0" w:num="2">
            <w:col w:w="2840" w:space="720"/>
            <w:col w:w="7680"/>
          </w:cols>
          <w:pgMar w:left="320" w:top="104" w:right="339" w:bottom="1440" w:gutter="0" w:footer="0" w:header="0"/>
          <w:type w:val="continuous"/>
        </w:sectPr>
      </w:pPr>
    </w:p>
    <w:p>
      <w:pPr>
        <w:spacing w:after="0" w:line="351" w:lineRule="exact"/>
        <w:rPr>
          <w:sz w:val="20"/>
          <w:szCs w:val="20"/>
          <w:color w:val="auto"/>
        </w:rPr>
      </w:pPr>
    </w:p>
    <w:p>
      <w:pPr>
        <w:jc w:val="right"/>
        <w:spacing w:after="0" w:line="215" w:lineRule="auto"/>
        <w:rPr>
          <w:sz w:val="20"/>
          <w:szCs w:val="20"/>
          <w:color w:val="auto"/>
        </w:rPr>
      </w:pPr>
      <w:r>
        <w:rPr>
          <w:rFonts w:ascii="Arial" w:cs="Arial" w:eastAsia="Arial" w:hAnsi="Arial"/>
          <w:sz w:val="20"/>
          <w:szCs w:val="20"/>
          <w:b w:val="1"/>
          <w:bCs w:val="1"/>
          <w:color w:val="auto"/>
        </w:rPr>
        <w:t xml:space="preserve">Vesting Schedule:  </w:t>
      </w:r>
      <w:r>
        <w:rPr>
          <w:rFonts w:ascii="Arial" w:cs="Arial" w:eastAsia="Arial" w:hAnsi="Arial"/>
          <w:sz w:val="20"/>
          <w:szCs w:val="20"/>
          <w:color w:val="auto"/>
        </w:rPr>
        <w:t>Subject to the limitations set forth in this Notice, the Plan, and the RSU Agreement, 25% of the RSUs will vest on the</w:t>
      </w:r>
      <w:r>
        <w:rPr>
          <w:rFonts w:ascii="Arial" w:cs="Arial" w:eastAsia="Arial" w:hAnsi="Arial"/>
          <w:sz w:val="20"/>
          <w:szCs w:val="20"/>
          <w:b w:val="1"/>
          <w:bCs w:val="1"/>
          <w:color w:val="auto"/>
        </w:rPr>
        <w:t xml:space="preserve"> </w:t>
      </w:r>
      <w:r>
        <w:rPr>
          <w:rFonts w:ascii="Arial" w:cs="Arial" w:eastAsia="Arial" w:hAnsi="Arial"/>
          <w:sz w:val="20"/>
          <w:szCs w:val="20"/>
          <w:color w:val="auto"/>
        </w:rPr>
        <w:t>first anniversary of the Vesting Commencement Date, and 6.25% of the RSUs will vest on a</w:t>
      </w:r>
    </w:p>
    <w:p>
      <w:pPr>
        <w:spacing w:after="0" w:line="1" w:lineRule="exact"/>
        <w:rPr>
          <w:sz w:val="20"/>
          <w:szCs w:val="20"/>
          <w:color w:val="auto"/>
        </w:rPr>
      </w:pPr>
    </w:p>
    <w:p>
      <w:pPr>
        <w:ind w:left="3240"/>
        <w:spacing w:after="0" w:line="227" w:lineRule="auto"/>
        <w:rPr>
          <w:sz w:val="20"/>
          <w:szCs w:val="20"/>
          <w:color w:val="auto"/>
        </w:rPr>
      </w:pPr>
      <w:r>
        <w:rPr>
          <w:rFonts w:ascii="Arial" w:cs="Arial" w:eastAsia="Arial" w:hAnsi="Arial"/>
          <w:sz w:val="20"/>
          <w:szCs w:val="20"/>
          <w:color w:val="auto"/>
        </w:rPr>
        <w:t>quarterly basis thereafter through the fourth anniversary of the Vesting Commencement Date, subject to the Participant’s continued Service through the applicable vesting date.</w:t>
      </w:r>
    </w:p>
    <w:p>
      <w:pPr>
        <w:spacing w:after="0" w:line="150"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Settlement</w:t>
      </w:r>
      <w:r>
        <w:rPr>
          <w:rFonts w:ascii="Arial" w:cs="Arial" w:eastAsia="Arial" w:hAnsi="Arial"/>
          <w:sz w:val="18"/>
          <w:szCs w:val="18"/>
          <w:color w:val="auto"/>
        </w:rPr>
        <w:t>: RSUs that vest will be settled no later than March 15 of the calendar year following the calendar year in which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occurs. Settlement means the delivery of the Shares underlying the vested portion of the RSU. Such settlement will occur whether or not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Participant remains in continuous Service at the time of settlement, but there will be no settlement of unvested RSUs. No fractional RSUs or rights for fractional Shares will be created pursuant to this Notice or the RSU Agreement.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By accepting (whether in writing, electronically, or otherwise) the RSUs, Participant acknowledges and agrees to the following:</w:t>
      </w:r>
    </w:p>
    <w:p>
      <w:pPr>
        <w:spacing w:after="0" w:line="189" w:lineRule="exact"/>
        <w:rPr>
          <w:sz w:val="20"/>
          <w:szCs w:val="20"/>
          <w:color w:val="auto"/>
        </w:rPr>
      </w:pPr>
    </w:p>
    <w:p>
      <w:pPr>
        <w:jc w:val="both"/>
        <w:ind w:firstLine="656"/>
        <w:spacing w:after="0" w:line="214" w:lineRule="auto"/>
        <w:tabs>
          <w:tab w:leader="none" w:pos="1296" w:val="left"/>
        </w:tabs>
        <w:numPr>
          <w:ilvl w:val="0"/>
          <w:numId w:val="41"/>
        </w:numPr>
        <w:rPr>
          <w:rFonts w:ascii="Arial" w:cs="Arial" w:eastAsia="Arial" w:hAnsi="Arial"/>
          <w:sz w:val="20"/>
          <w:szCs w:val="20"/>
          <w:color w:val="auto"/>
        </w:rPr>
      </w:pPr>
      <w:r>
        <w:rPr>
          <w:rFonts w:ascii="Arial" w:cs="Arial" w:eastAsia="Arial" w:hAnsi="Arial"/>
          <w:sz w:val="20"/>
          <w:szCs w:val="20"/>
          <w:color w:val="auto"/>
        </w:rPr>
        <w:t>Participant understands that Participant’s Service with the Company is for an unspecified duration, can be terminated at any time (i.e., is “at-will”) and that nothing in this Notice or the RSU Agreement changes the at-will nature of that relationship (provided that this sentence does not alter the terms of any written employment agreement Participant may have with the Company). Participant acknowledges that the vesting of the RSUs pursuant to this Notice is subject to Participant’s continuing Service.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w:t>
      </w:r>
    </w:p>
    <w:p>
      <w:pPr>
        <w:spacing w:after="0" w:line="157" w:lineRule="exact"/>
        <w:rPr>
          <w:rFonts w:ascii="Arial" w:cs="Arial" w:eastAsia="Arial" w:hAnsi="Arial"/>
          <w:sz w:val="20"/>
          <w:szCs w:val="20"/>
          <w:color w:val="auto"/>
        </w:rPr>
      </w:pPr>
    </w:p>
    <w:p>
      <w:pPr>
        <w:jc w:val="both"/>
        <w:ind w:firstLine="656"/>
        <w:spacing w:after="0" w:line="227" w:lineRule="auto"/>
        <w:tabs>
          <w:tab w:leader="none" w:pos="1296"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RSUs are subject to the terms and conditions of the Plan, the RSU Agreement, and this Notice, and this Notice is subject to the terms and conditions of the RSU Agreement and the Plan, both of which are incorporated herein by reference. Participant has read this Notice, the RSU Agreement and the Plan.</w:t>
      </w:r>
    </w:p>
    <w:p>
      <w:pPr>
        <w:sectPr>
          <w:pgSz w:w="11900" w:h="16838" w:orient="portrait"/>
          <w:cols w:equalWidth="0" w:num="1">
            <w:col w:w="11240"/>
          </w:cols>
          <w:pgMar w:left="320" w:top="104" w:right="339" w:bottom="1440" w:gutter="0" w:footer="0" w:header="0"/>
          <w:type w:val="continuous"/>
        </w:sectPr>
      </w:pPr>
    </w:p>
    <w:bookmarkStart w:id="31" w:name="page32"/>
    <w:bookmarkEnd w:id="31"/>
    <w:p>
      <w:pPr>
        <w:spacing w:after="0" w:line="222" w:lineRule="exact"/>
        <w:rPr>
          <w:sz w:val="20"/>
          <w:szCs w:val="20"/>
          <w:color w:val="auto"/>
        </w:rPr>
      </w:pPr>
    </w:p>
    <w:p>
      <w:pPr>
        <w:ind w:firstLine="656"/>
        <w:spacing w:after="0" w:line="236" w:lineRule="auto"/>
        <w:tabs>
          <w:tab w:leader="none" w:pos="1296" w:val="left"/>
        </w:tabs>
        <w:numPr>
          <w:ilvl w:val="0"/>
          <w:numId w:val="42"/>
        </w:numPr>
        <w:rPr>
          <w:rFonts w:ascii="Arial" w:cs="Arial" w:eastAsia="Arial" w:hAnsi="Arial"/>
          <w:sz w:val="20"/>
          <w:szCs w:val="20"/>
          <w:color w:val="auto"/>
        </w:rPr>
      </w:pPr>
      <w:r>
        <w:rPr>
          <w:rFonts w:ascii="Arial" w:cs="Arial" w:eastAsia="Arial" w:hAnsi="Arial"/>
          <w:sz w:val="20"/>
          <w:szCs w:val="20"/>
          <w:color w:val="auto"/>
        </w:rPr>
        <w:t>Participant has read the Company’s Insider Trading Policy, and agrees to comply with such policy, as it may be amended from time to time, whenever Participant acquires or disposes of the Company’s securities.</w:t>
      </w:r>
    </w:p>
    <w:p>
      <w:pPr>
        <w:spacing w:after="0" w:line="168" w:lineRule="exact"/>
        <w:rPr>
          <w:rFonts w:ascii="Arial" w:cs="Arial" w:eastAsia="Arial" w:hAnsi="Arial"/>
          <w:sz w:val="20"/>
          <w:szCs w:val="20"/>
          <w:color w:val="auto"/>
        </w:rPr>
      </w:pPr>
    </w:p>
    <w:p>
      <w:pPr>
        <w:jc w:val="both"/>
        <w:ind w:firstLine="656"/>
        <w:spacing w:after="0" w:line="241" w:lineRule="auto"/>
        <w:tabs>
          <w:tab w:leader="none" w:pos="12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lieu of receiving documents in paper format, Participant accepts the electronic delivery of any documents the Company, or any third party involved in administering the RSUs which the Company may designate, may deliver in connection with this grant (including the Notice, the RSU Agreement, account statements or other communications or information) whether via the Company’s intranet or the internet site of another third party or via email, or other means of electronic delivery specified by the Company.</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PARTICIPANT</w:t>
      </w:r>
    </w:p>
    <w:p>
      <w:pPr>
        <w:spacing w:after="0" w:line="249" w:lineRule="exact"/>
        <w:rPr>
          <w:sz w:val="20"/>
          <w:szCs w:val="20"/>
          <w:color w:val="auto"/>
        </w:rPr>
      </w:pPr>
    </w:p>
    <w:p>
      <w:pPr>
        <w:ind w:left="80"/>
        <w:spacing w:after="0"/>
        <w:rPr>
          <w:sz w:val="20"/>
          <w:szCs w:val="20"/>
          <w:color w:val="auto"/>
        </w:rPr>
      </w:pPr>
      <w:r>
        <w:rPr>
          <w:rFonts w:ascii="Arial" w:cs="Arial" w:eastAsia="Arial" w:hAnsi="Arial"/>
          <w:sz w:val="20"/>
          <w:szCs w:val="20"/>
          <w:color w:val="auto"/>
        </w:rPr>
        <w:t>Signature: %%FIRST_NAME_MIDDLE_NAME_LAST_NAME%-%</w:t>
      </w: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Arial" w:cs="Arial" w:eastAsia="Arial" w:hAnsi="Arial"/>
          <w:sz w:val="20"/>
          <w:szCs w:val="20"/>
          <w:color w:val="auto"/>
        </w:rPr>
        <w:t>Print Name: %%FIRST_NAME_MIDDLE_NAME_LAST_NAME%-%</w:t>
      </w: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GENEDX HOLDINGS CORP.</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Devin Schaffer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Its: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16"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ANNEX A</w:t>
      </w:r>
    </w:p>
    <w:p>
      <w:pPr>
        <w:spacing w:after="0" w:line="183"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GENEDX HOLDINGS CORP.</w:t>
      </w:r>
    </w:p>
    <w:p>
      <w:pPr>
        <w:ind w:left="2960"/>
        <w:spacing w:after="0"/>
        <w:rPr>
          <w:sz w:val="20"/>
          <w:szCs w:val="20"/>
          <w:color w:val="auto"/>
        </w:rPr>
      </w:pPr>
      <w:r>
        <w:rPr>
          <w:rFonts w:ascii="Arial" w:cs="Arial" w:eastAsia="Arial" w:hAnsi="Arial"/>
          <w:sz w:val="20"/>
          <w:szCs w:val="20"/>
          <w:b w:val="1"/>
          <w:bCs w:val="1"/>
          <w:color w:val="auto"/>
        </w:rPr>
        <w:t>INDUCEMENT RESTRICTED STOCK UNIT AGREEMENT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defined in this Inducement Restricted Stock Unit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any capitalized terms used and</w:t>
      </w:r>
    </w:p>
    <w:p>
      <w:pPr>
        <w:spacing w:after="0" w:line="18"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not otherwise defined in the Notice of Restricted Stock Unit Grant (the “</w:t>
      </w:r>
      <w:r>
        <w:rPr>
          <w:rFonts w:ascii="Arial" w:cs="Arial" w:eastAsia="Arial" w:hAnsi="Arial"/>
          <w:sz w:val="20"/>
          <w:szCs w:val="20"/>
          <w:b w:val="1"/>
          <w:bCs w:val="1"/>
          <w:color w:val="auto"/>
        </w:rPr>
        <w:t>Notice</w:t>
      </w:r>
      <w:r>
        <w:rPr>
          <w:rFonts w:ascii="Arial" w:cs="Arial" w:eastAsia="Arial" w:hAnsi="Arial"/>
          <w:sz w:val="20"/>
          <w:szCs w:val="20"/>
          <w:color w:val="auto"/>
        </w:rPr>
        <w:t>”) or herein will have the meanings ascribed to them in the GeneDx Holdings Corp. (the “</w:t>
      </w:r>
      <w:r>
        <w:rPr>
          <w:rFonts w:ascii="Arial" w:cs="Arial" w:eastAsia="Arial" w:hAnsi="Arial"/>
          <w:sz w:val="20"/>
          <w:szCs w:val="20"/>
          <w:b w:val="1"/>
          <w:bCs w:val="1"/>
          <w:color w:val="auto"/>
        </w:rPr>
        <w:t>Company</w:t>
      </w:r>
      <w:r>
        <w:rPr>
          <w:rFonts w:ascii="Arial" w:cs="Arial" w:eastAsia="Arial" w:hAnsi="Arial"/>
          <w:sz w:val="20"/>
          <w:szCs w:val="20"/>
          <w:color w:val="auto"/>
        </w:rPr>
        <w:t>”) 2021 Equity Incentive Plan (the “</w:t>
      </w:r>
      <w:r>
        <w:rPr>
          <w:rFonts w:ascii="Arial" w:cs="Arial" w:eastAsia="Arial" w:hAnsi="Arial"/>
          <w:sz w:val="20"/>
          <w:szCs w:val="20"/>
          <w:b w:val="1"/>
          <w:bCs w:val="1"/>
          <w:color w:val="auto"/>
        </w:rPr>
        <w:t>Plan</w:t>
      </w:r>
      <w:r>
        <w:rPr>
          <w:rFonts w:ascii="Arial" w:cs="Arial" w:eastAsia="Arial" w:hAnsi="Arial"/>
          <w:sz w:val="20"/>
          <w:szCs w:val="20"/>
          <w:color w:val="auto"/>
        </w:rPr>
        <w:t>”).</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In the event of any conflict between the terms and conditions of the Plan and the terms and conditions of the Notice or this Agreement, the terms and conditions of the Notice and this Agreement will prevail.</w:t>
      </w:r>
    </w:p>
    <w:p>
      <w:pPr>
        <w:spacing w:after="0" w:line="1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RSUs are intended to constitute an employment inducement award pursuant to Nasdaq Stock Market Listing Rule 5635(c)(4), and consequently are intended to be exempt from the Nasdaq listing rules regarding stockholder approval of equity compensation plans. This Agreement and the terms and conditions of the RSUs shall be interpreted in accordance and consistent with such exemption.</w:t>
      </w:r>
    </w:p>
    <w:p>
      <w:pPr>
        <w:spacing w:after="0" w:line="134" w:lineRule="exact"/>
        <w:rPr>
          <w:sz w:val="20"/>
          <w:szCs w:val="20"/>
          <w:color w:val="auto"/>
        </w:rPr>
      </w:pPr>
    </w:p>
    <w:p>
      <w:pPr>
        <w:ind w:firstLine="8"/>
        <w:spacing w:after="0" w:line="239" w:lineRule="auto"/>
        <w:tabs>
          <w:tab w:leader="none" w:pos="648"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Stockholder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and until such time as Shares are issued in settlement of vested RSUs, Participant will have no</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of the Shares underlying the RSUs and will have no right to dividends or to vote such Shares.</w:t>
      </w:r>
    </w:p>
    <w:p>
      <w:pPr>
        <w:spacing w:after="0" w:line="162" w:lineRule="exact"/>
        <w:rPr>
          <w:rFonts w:ascii="Arial" w:cs="Arial" w:eastAsia="Arial" w:hAnsi="Arial"/>
          <w:sz w:val="20"/>
          <w:szCs w:val="20"/>
          <w:b w:val="1"/>
          <w:bCs w:val="1"/>
          <w:color w:val="auto"/>
        </w:rPr>
      </w:pPr>
    </w:p>
    <w:p>
      <w:pPr>
        <w:ind w:firstLine="8"/>
        <w:spacing w:after="0" w:line="232" w:lineRule="auto"/>
        <w:tabs>
          <w:tab w:leader="none" w:pos="648"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equivalents, if any (whether in cash or Shares), will not be credited to Participant in respect of</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RSUs.</w:t>
      </w:r>
    </w:p>
    <w:p>
      <w:pPr>
        <w:spacing w:after="0" w:line="162" w:lineRule="exact"/>
        <w:rPr>
          <w:rFonts w:ascii="Arial" w:cs="Arial" w:eastAsia="Arial" w:hAnsi="Arial"/>
          <w:sz w:val="20"/>
          <w:szCs w:val="20"/>
          <w:b w:val="1"/>
          <w:bCs w:val="1"/>
          <w:color w:val="auto"/>
        </w:rPr>
      </w:pPr>
    </w:p>
    <w:p>
      <w:pPr>
        <w:jc w:val="both"/>
        <w:ind w:firstLine="8"/>
        <w:spacing w:after="0" w:line="219" w:lineRule="auto"/>
        <w:tabs>
          <w:tab w:leader="none" w:pos="648"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The RSUs and any interest therein will not be sold, assigned, transferred, pledged, hypothecated or otherwise disposed</w:t>
      </w:r>
      <w:r>
        <w:rPr>
          <w:rFonts w:ascii="Arial" w:cs="Arial" w:eastAsia="Arial" w:hAnsi="Arial"/>
          <w:sz w:val="20"/>
          <w:szCs w:val="20"/>
          <w:b w:val="1"/>
          <w:bCs w:val="1"/>
          <w:color w:val="auto"/>
        </w:rPr>
        <w:t xml:space="preserve"> </w:t>
      </w:r>
      <w:r>
        <w:rPr>
          <w:rFonts w:ascii="Arial" w:cs="Arial" w:eastAsia="Arial" w:hAnsi="Arial"/>
          <w:sz w:val="20"/>
          <w:szCs w:val="20"/>
          <w:color w:val="auto"/>
        </w:rPr>
        <w:t>of in any manner, other than by will or by the laws of descent and distribution or court order or unless otherwise permitted by the Committee on a case-by-case basis. By signing this Agreement, Participant agrees not to sell any Shares acquired pursuant to this Agreement at a time when applicable laws, regulations or Company or underwriter trading policies prohibit sale. This restriction will apply so long as Participant remains in Service.</w:t>
      </w:r>
    </w:p>
    <w:p>
      <w:pPr>
        <w:spacing w:after="0" w:line="152" w:lineRule="exact"/>
        <w:rPr>
          <w:rFonts w:ascii="Arial" w:cs="Arial" w:eastAsia="Arial" w:hAnsi="Arial"/>
          <w:sz w:val="20"/>
          <w:szCs w:val="20"/>
          <w:b w:val="1"/>
          <w:bCs w:val="1"/>
          <w:color w:val="auto"/>
        </w:rPr>
      </w:pPr>
    </w:p>
    <w:p>
      <w:pPr>
        <w:jc w:val="both"/>
        <w:ind w:firstLine="8"/>
        <w:spacing w:after="0" w:line="219" w:lineRule="auto"/>
        <w:tabs>
          <w:tab w:leader="none" w:pos="648"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If Participant’s Service terminates for any reason, all unvested RSUs will be forfeited, and all of Participant’s rights to</w:t>
      </w:r>
      <w:r>
        <w:rPr>
          <w:rFonts w:ascii="Arial" w:cs="Arial" w:eastAsia="Arial" w:hAnsi="Arial"/>
          <w:sz w:val="20"/>
          <w:szCs w:val="20"/>
          <w:b w:val="1"/>
          <w:bCs w:val="1"/>
          <w:color w:val="auto"/>
        </w:rPr>
        <w:t xml:space="preserve"> </w:t>
      </w:r>
      <w:r>
        <w:rPr>
          <w:rFonts w:ascii="Arial" w:cs="Arial" w:eastAsia="Arial" w:hAnsi="Arial"/>
          <w:sz w:val="20"/>
          <w:szCs w:val="20"/>
          <w:color w:val="auto"/>
        </w:rPr>
        <w:t>such RSUs will immediately terminate without payment of any consideration to Participant.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 leave of absence).</w:t>
      </w:r>
    </w:p>
    <w:p>
      <w:pPr>
        <w:spacing w:after="0" w:line="165" w:lineRule="exact"/>
        <w:rPr>
          <w:rFonts w:ascii="Arial" w:cs="Arial" w:eastAsia="Arial" w:hAnsi="Arial"/>
          <w:sz w:val="20"/>
          <w:szCs w:val="20"/>
          <w:b w:val="1"/>
          <w:bCs w:val="1"/>
          <w:color w:val="auto"/>
        </w:rPr>
      </w:pPr>
    </w:p>
    <w:p>
      <w:pPr>
        <w:ind w:left="660" w:hanging="652"/>
        <w:spacing w:after="0"/>
        <w:tabs>
          <w:tab w:leader="none" w:pos="6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Taxes</w:t>
      </w:r>
    </w:p>
    <w:p>
      <w:pPr>
        <w:spacing w:after="0" w:line="181" w:lineRule="exact"/>
        <w:rPr>
          <w:rFonts w:ascii="Arial" w:cs="Arial" w:eastAsia="Arial" w:hAnsi="Arial"/>
          <w:sz w:val="20"/>
          <w:szCs w:val="20"/>
          <w:b w:val="1"/>
          <w:bCs w:val="1"/>
          <w:color w:val="auto"/>
        </w:rPr>
      </w:pPr>
    </w:p>
    <w:p>
      <w:pPr>
        <w:jc w:val="both"/>
        <w:ind w:firstLine="656"/>
        <w:spacing w:after="0" w:line="220" w:lineRule="auto"/>
        <w:tabs>
          <w:tab w:leader="none" w:pos="1296"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Tax Consequences</w:t>
      </w:r>
      <w:r>
        <w:rPr>
          <w:rFonts w:ascii="Arial" w:cs="Arial" w:eastAsia="Arial" w:hAnsi="Arial"/>
          <w:sz w:val="20"/>
          <w:szCs w:val="20"/>
          <w:color w:val="auto"/>
        </w:rPr>
        <w:t>. PARTICIPANT SHOULD CONSULT A TAX ADVISER BEFORE ACQUIRING THE SHARES IN THE JURISDICTION IN WHICH PARTICIPANT IS SUBJECT TO TAX. Shares will not be issued under this Agreement unless Participant makes arrangements acceptable to the Company to pay any withholding taxes that may be due as a result of the acquisition or vesting of Shares.</w:t>
      </w:r>
    </w:p>
    <w:p>
      <w:pPr>
        <w:spacing w:after="0" w:line="163" w:lineRule="exact"/>
        <w:rPr>
          <w:rFonts w:ascii="Arial" w:cs="Arial" w:eastAsia="Arial" w:hAnsi="Arial"/>
          <w:sz w:val="20"/>
          <w:szCs w:val="20"/>
          <w:color w:val="auto"/>
        </w:rPr>
      </w:pPr>
    </w:p>
    <w:p>
      <w:pPr>
        <w:jc w:val="both"/>
        <w:ind w:firstLine="656"/>
        <w:spacing w:after="0" w:line="236" w:lineRule="auto"/>
        <w:tabs>
          <w:tab w:leader="none" w:pos="1296"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Regardless of any action the Company or, if different, Participant’s employer (the “</w:t>
      </w:r>
      <w:r>
        <w:rPr>
          <w:rFonts w:ascii="Arial" w:cs="Arial" w:eastAsia="Arial" w:hAnsi="Arial"/>
          <w:sz w:val="18"/>
          <w:szCs w:val="18"/>
          <w:b w:val="1"/>
          <w:bCs w:val="1"/>
          <w:color w:val="auto"/>
        </w:rPr>
        <w:t>Employer</w:t>
      </w:r>
      <w:r>
        <w:rPr>
          <w:rFonts w:ascii="Arial" w:cs="Arial" w:eastAsia="Arial" w:hAnsi="Arial"/>
          <w:sz w:val="18"/>
          <w:szCs w:val="18"/>
          <w:color w:val="auto"/>
        </w:rPr>
        <w:t>”) takes with respect to any or all income tax, social insurance, payroll tax, fringe benefits tax, payment on account and other tax-related items related to Participant’s RSUs and legally applicable to Participant (“</w:t>
      </w:r>
      <w:r>
        <w:rPr>
          <w:rFonts w:ascii="Arial" w:cs="Arial" w:eastAsia="Arial" w:hAnsi="Arial"/>
          <w:sz w:val="18"/>
          <w:szCs w:val="18"/>
          <w:b w:val="1"/>
          <w:bCs w:val="1"/>
          <w:color w:val="auto"/>
        </w:rPr>
        <w:t>Tax-Related Items</w:t>
      </w:r>
      <w:r>
        <w:rPr>
          <w:rFonts w:ascii="Arial" w:cs="Arial" w:eastAsia="Arial" w:hAnsi="Arial"/>
          <w:sz w:val="18"/>
          <w:szCs w:val="18"/>
          <w:color w:val="auto"/>
        </w:rPr>
        <w:t>”), Participant acknowledges that the ultimate liability for all Tax-Related Items is and remains Participant’s responsibility and may exceed the amount actually withheld by the Company or the Employer. Participant further acknowledges that the Company and the Employer (a) make no representations or undertakings regarding the treatment of any Tax-Related Items in connection with any aspect of the RSUs, including the grant of the RSUs, the issuance of the Shares subject to the RSUs, the vesting of such Shares, the subsequent sale of such Shares and the receipt of any dividends; and (b) do not commit to and are under no obligation to structure the terms of the RSUs to reduce or eliminate Participant’s</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23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liability for Tax-Related Items or to achieve any particular tax result. Participant acknowledges that if Participant is subject to Tax-Related Items in more than one jurisdiction, the Company and/or the Employer (or former employer, as applicable) may be required to withhold or account for Tax-Related Items in more than one jurisdiction.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only recognize Participant as a record holder of the Shares subject to the RSUs if Participant has paid or made,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prior to any relevant taxable or tax withholding event, as applicable, adequate arrangements satisfactory to the Company and/or the Employer to satisfy any withholding obligation the Company and/or the Employer may have for Tax-Related Items. In this regard, Participant</w:t>
      </w:r>
    </w:p>
    <w:p>
      <w:pPr>
        <w:spacing w:after="0" w:line="236" w:lineRule="auto"/>
        <w:rPr>
          <w:sz w:val="20"/>
          <w:szCs w:val="20"/>
          <w:color w:val="auto"/>
        </w:rPr>
      </w:pPr>
      <w:r>
        <w:rPr>
          <w:rFonts w:ascii="Arial" w:cs="Arial" w:eastAsia="Arial" w:hAnsi="Arial"/>
          <w:sz w:val="18"/>
          <w:szCs w:val="18"/>
          <w:color w:val="auto"/>
        </w:rPr>
        <w:t>authorizes the Company and/or the Employer, and their respective agents, at their discretion, to withhold all applicable Tax-Related Items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from Participant’s wages or other cash compensation paid to Participant by the Company and/or the Employer or by withholding from proceeds of the sale of the Shares subject to the RSUs either through a voluntary sale or through a mandatory sale arranged by the Company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 Participant’s behalf and Participant hereby authorizes such sale pursuant to this authorization). The Committee may also authorize one or</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 combination of the following methods to satisfy Tax-Related Items: (a) payment by Participant to the Company or the Employer of an amount equal to the Tax-Related Items in cash, (b) having the Company withhold Shares subject to the RSUs that would otherwise be issued</w:t>
      </w:r>
    </w:p>
    <w:p>
      <w:pPr>
        <w:spacing w:after="0" w:line="236" w:lineRule="auto"/>
        <w:rPr>
          <w:sz w:val="20"/>
          <w:szCs w:val="20"/>
          <w:color w:val="auto"/>
        </w:rPr>
      </w:pPr>
      <w:r>
        <w:rPr>
          <w:rFonts w:ascii="Arial" w:cs="Arial" w:eastAsia="Arial" w:hAnsi="Arial"/>
          <w:sz w:val="18"/>
          <w:szCs w:val="18"/>
          <w:color w:val="auto"/>
        </w:rPr>
        <w:t>to Participant when they vest having a value equal to the Tax-Related Items to be withheld, (c) delivering to the Company already-owned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Shares having a value equal to the Tax-Related Items to be withheld, or (d) any other arrangement approved by the Company and permissible under applicable law; in all cases, under such rules as may be established by the Committee and in compliance with the Company’s insider</w:t>
      </w:r>
    </w:p>
    <w:p>
      <w:pPr>
        <w:spacing w:after="0" w:line="235" w:lineRule="auto"/>
        <w:rPr>
          <w:sz w:val="20"/>
          <w:szCs w:val="20"/>
          <w:color w:val="auto"/>
        </w:rPr>
      </w:pPr>
      <w:r>
        <w:rPr>
          <w:rFonts w:ascii="Arial" w:cs="Arial" w:eastAsia="Arial" w:hAnsi="Arial"/>
          <w:sz w:val="18"/>
          <w:szCs w:val="18"/>
          <w:color w:val="auto"/>
        </w:rPr>
        <w:t xml:space="preserve">trading policy and 10b5-1 trading plan policy, if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Participant is a Section 16 officer of the Company</w:t>
      </w:r>
    </w:p>
    <w:p>
      <w:pPr>
        <w:jc w:val="both"/>
        <w:spacing w:after="0" w:line="226" w:lineRule="auto"/>
        <w:rPr>
          <w:sz w:val="20"/>
          <w:szCs w:val="20"/>
          <w:color w:val="auto"/>
        </w:rPr>
      </w:pPr>
      <w:r>
        <w:rPr>
          <w:rFonts w:ascii="Arial" w:cs="Arial" w:eastAsia="Arial" w:hAnsi="Arial"/>
          <w:sz w:val="18"/>
          <w:szCs w:val="18"/>
          <w:color w:val="auto"/>
        </w:rPr>
        <w:t>under the Exchange Act, then the method of withholding will be a mandatory sale (unless the Committee will establish an alternate method prior to the taxable or withholding event). Participant will pay to the Company or the Employer any amount of Tax-Related Items that the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Company or the Employer may be required to withhold as a result of Participant’s participation in the Plan or the issuance of Shares subject to the RSUs or vesting thereof that cannot be satisfied by the means previously described.</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Depending on the withholding method, the Company may withhold or account for Tax-Related Items by considering applicable statutory withholding rates or other applicable withholding rates, including up to the maximum applicable rate in which case Participant may</w:t>
      </w:r>
    </w:p>
    <w:p>
      <w:pPr>
        <w:jc w:val="both"/>
        <w:spacing w:after="0" w:line="226" w:lineRule="auto"/>
        <w:rPr>
          <w:sz w:val="20"/>
          <w:szCs w:val="20"/>
          <w:color w:val="auto"/>
        </w:rPr>
      </w:pPr>
      <w:r>
        <w:rPr>
          <w:rFonts w:ascii="Arial" w:cs="Arial" w:eastAsia="Arial" w:hAnsi="Arial"/>
          <w:sz w:val="18"/>
          <w:szCs w:val="18"/>
          <w:color w:val="auto"/>
        </w:rPr>
        <w:t>receive a refund of any over-withheld amount in cash and will have no entitlement to the Shares subject to the RSU that would otherwise be released when they vest. If the obligation for Tax-Related Items is satisfied by withholding in Shares that would otherwise be subject to</w:t>
      </w:r>
    </w:p>
    <w:p>
      <w:pPr>
        <w:spacing w:after="0" w:line="236" w:lineRule="auto"/>
        <w:rPr>
          <w:sz w:val="20"/>
          <w:szCs w:val="20"/>
          <w:color w:val="auto"/>
        </w:rPr>
      </w:pPr>
      <w:r>
        <w:rPr>
          <w:rFonts w:ascii="Arial" w:cs="Arial" w:eastAsia="Arial" w:hAnsi="Arial"/>
          <w:sz w:val="18"/>
          <w:szCs w:val="18"/>
          <w:color w:val="auto"/>
        </w:rPr>
        <w:t>release when they vest, for tax purposes, Participant is deemed to have been issued the full number of such Shares, notwithstanding that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number of the such Shares are held back solely for the purpose of paying the Tax-Related Items. Finally, Participant acknowledges that the Company has no obligation to deliver Shares subject to the RSUs to Participant until Participant has satisfied the obligations in connection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with the Tax-Related Items as described in this Section.</w:t>
      </w:r>
    </w:p>
    <w:p>
      <w:pPr>
        <w:spacing w:after="0" w:line="173" w:lineRule="exact"/>
        <w:rPr>
          <w:sz w:val="20"/>
          <w:szCs w:val="20"/>
          <w:color w:val="auto"/>
        </w:rPr>
      </w:pPr>
    </w:p>
    <w:p>
      <w:pPr>
        <w:jc w:val="both"/>
        <w:ind w:firstLine="656"/>
        <w:spacing w:after="0" w:line="220" w:lineRule="auto"/>
        <w:tabs>
          <w:tab w:leader="none" w:pos="1296"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For purposes of this Agreement, a termination of employment will be determined consistent with the rules relating to a “separation from service” as defined in Section 409A of the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xml:space="preserve">”).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the payment will not be made or commence until the earlier of (i) the expiration of the six-month period measured from Participant’s separation from service from the Company or (ii) the date of Participant’s death following a separation from service;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deferral will only be effected to the extent required to avoid adverse tax treatment to Participant including, without limitation, the additional tax for which Participant would otherwise be liable under Section 409A(a)(1)(B)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will be deemed a short-term deferral, even if it may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38"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qualify for an exemption from Section 409A under another provision of Section 409A. Payments pursuant to this section are intended to constitute separate payments for purposes of Section 1.409A-2(b)(2) of the Treasury Regulations.</w:t>
      </w:r>
    </w:p>
    <w:p>
      <w:pPr>
        <w:spacing w:after="0" w:line="163" w:lineRule="exact"/>
        <w:rPr>
          <w:sz w:val="20"/>
          <w:szCs w:val="20"/>
          <w:color w:val="auto"/>
        </w:rPr>
      </w:pPr>
    </w:p>
    <w:p>
      <w:pPr>
        <w:jc w:val="both"/>
        <w:ind w:firstLine="8"/>
        <w:spacing w:after="0" w:line="239" w:lineRule="auto"/>
        <w:tabs>
          <w:tab w:leader="none" w:pos="648"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Participant agree that the RSUs are granted under and governed by the Notice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are governed by terms and conditions identical to those of the Plan, which is incorporated herein by reference. Participant</w:t>
      </w:r>
    </w:p>
    <w:p>
      <w:pPr>
        <w:spacing w:after="0" w:line="1" w:lineRule="exact"/>
        <w:rPr>
          <w:rFonts w:ascii="Arial" w:cs="Arial" w:eastAsia="Arial" w:hAnsi="Arial"/>
          <w:sz w:val="18"/>
          <w:szCs w:val="18"/>
          <w:b w:val="1"/>
          <w:bCs w:val="1"/>
          <w:color w:val="auto"/>
        </w:rPr>
      </w:pPr>
    </w:p>
    <w:p>
      <w:pPr>
        <w:jc w:val="both"/>
        <w:spacing w:after="0" w:line="217" w:lineRule="auto"/>
        <w:rPr>
          <w:rFonts w:ascii="Arial" w:cs="Arial" w:eastAsia="Arial" w:hAnsi="Arial"/>
          <w:sz w:val="18"/>
          <w:szCs w:val="18"/>
          <w:b w:val="1"/>
          <w:bCs w:val="1"/>
          <w:color w:val="auto"/>
        </w:rPr>
      </w:pPr>
      <w:r>
        <w:rPr>
          <w:rFonts w:ascii="Arial" w:cs="Arial" w:eastAsia="Arial" w:hAnsi="Arial"/>
          <w:sz w:val="20"/>
          <w:szCs w:val="20"/>
          <w:color w:val="auto"/>
        </w:rPr>
        <w:t>(i) acknowledges receipt of a copy of each of the foregoing documents, (ii) represents that Participant has carefully read and is familiar with their provisions and (iii) hereby accepts the RSUs subject to all of the terms and conditions set forth herein and those set forth in the Plan and the Notice.</w:t>
      </w:r>
    </w:p>
    <w:p>
      <w:pPr>
        <w:spacing w:after="0" w:line="164" w:lineRule="exact"/>
        <w:rPr>
          <w:rFonts w:ascii="Arial" w:cs="Arial" w:eastAsia="Arial" w:hAnsi="Arial"/>
          <w:sz w:val="18"/>
          <w:szCs w:val="18"/>
          <w:b w:val="1"/>
          <w:bCs w:val="1"/>
          <w:color w:val="auto"/>
        </w:rPr>
      </w:pPr>
    </w:p>
    <w:p>
      <w:pPr>
        <w:jc w:val="both"/>
        <w:ind w:firstLine="8"/>
        <w:spacing w:after="0" w:line="239" w:lineRule="auto"/>
        <w:tabs>
          <w:tab w:leader="none" w:pos="648"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Enforcement of Rights; Severability</w:t>
      </w:r>
      <w:r>
        <w:rPr>
          <w:rFonts w:ascii="Arial" w:cs="Arial" w:eastAsia="Arial" w:hAnsi="Arial"/>
          <w:sz w:val="18"/>
          <w:szCs w:val="18"/>
          <w:color w:val="auto"/>
        </w:rPr>
        <w:t>. This Agreement, the Plan and the Notice constitute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understanding of the parties relating to the subject matter herein and supersede all prior discussions between them. Any prior agreements, commitments or negotiations concerning the purchase of the Shares hereunder are superseded. No modification of or amendment to this Agreement, nor any waiver of any rights under this Agreement, will be effective unless in writing and signed by the parties to this Agreement. The failure by either party to enforce any rights under this Agreement will not be construed as a waiver of any rights of such party. If any provision of this Agreement is determined by a court of law to be illegal or unenforceable, then such provision will be enforced to the maximum extent possible and the other provisions will remain fully effective and enforceable.</w:t>
      </w:r>
    </w:p>
    <w:p>
      <w:pPr>
        <w:spacing w:after="0" w:line="150" w:lineRule="exact"/>
        <w:rPr>
          <w:rFonts w:ascii="Arial" w:cs="Arial" w:eastAsia="Arial" w:hAnsi="Arial"/>
          <w:sz w:val="18"/>
          <w:szCs w:val="18"/>
          <w:b w:val="1"/>
          <w:bCs w:val="1"/>
          <w:color w:val="auto"/>
        </w:rPr>
      </w:pPr>
    </w:p>
    <w:p>
      <w:pPr>
        <w:ind w:left="660" w:hanging="652"/>
        <w:spacing w:after="0"/>
        <w:tabs>
          <w:tab w:leader="none" w:pos="66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Stop Transfer Orders</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jc w:val="both"/>
        <w:ind w:firstLine="656"/>
        <w:spacing w:after="0" w:line="223" w:lineRule="auto"/>
        <w:tabs>
          <w:tab w:leader="none" w:pos="1296" w:val="left"/>
        </w:tabs>
        <w:numPr>
          <w:ilvl w:val="1"/>
          <w:numId w:val="45"/>
        </w:numPr>
        <w:rPr>
          <w:rFonts w:ascii="Arial" w:cs="Arial" w:eastAsia="Arial" w:hAnsi="Arial"/>
          <w:sz w:val="20"/>
          <w:szCs w:val="20"/>
          <w:color w:val="auto"/>
        </w:rPr>
      </w:pPr>
      <w:r>
        <w:rPr>
          <w:rFonts w:ascii="Arial" w:cs="Arial" w:eastAsia="Arial" w:hAnsi="Arial"/>
          <w:sz w:val="20"/>
          <w:szCs w:val="20"/>
          <w:u w:val="single" w:color="auto"/>
          <w:color w:val="auto"/>
        </w:rPr>
        <w:t>Stop-Transfer Notices</w:t>
      </w:r>
      <w:r>
        <w:rPr>
          <w:rFonts w:ascii="Arial" w:cs="Arial" w:eastAsia="Arial" w:hAnsi="Arial"/>
          <w:sz w:val="20"/>
          <w:szCs w:val="20"/>
          <w:color w:val="auto"/>
        </w:rPr>
        <w:t>. Participant agrees that, in order to ensure compliance with the restrictions referred to herein, the Company may issue appropriate “stop transfer” restrictions to its transfer agent, if any, and that if the Company transfers its own securities, it may make appropriate notations to the same effect in its own records.</w:t>
      </w:r>
    </w:p>
    <w:p>
      <w:pPr>
        <w:spacing w:after="0" w:line="168" w:lineRule="exact"/>
        <w:rPr>
          <w:rFonts w:ascii="Arial" w:cs="Arial" w:eastAsia="Arial" w:hAnsi="Arial"/>
          <w:sz w:val="20"/>
          <w:szCs w:val="20"/>
          <w:color w:val="auto"/>
        </w:rPr>
      </w:pPr>
    </w:p>
    <w:p>
      <w:pPr>
        <w:jc w:val="both"/>
        <w:ind w:firstLine="656"/>
        <w:spacing w:after="0" w:line="223" w:lineRule="auto"/>
        <w:tabs>
          <w:tab w:leader="none" w:pos="1296" w:val="left"/>
        </w:tabs>
        <w:numPr>
          <w:ilvl w:val="1"/>
          <w:numId w:val="45"/>
        </w:numPr>
        <w:rPr>
          <w:rFonts w:ascii="Arial" w:cs="Arial" w:eastAsia="Arial" w:hAnsi="Arial"/>
          <w:sz w:val="20"/>
          <w:szCs w:val="20"/>
          <w:color w:val="auto"/>
        </w:rPr>
      </w:pPr>
      <w:r>
        <w:rPr>
          <w:rFonts w:ascii="Arial" w:cs="Arial" w:eastAsia="Arial" w:hAnsi="Arial"/>
          <w:sz w:val="20"/>
          <w:szCs w:val="20"/>
          <w:u w:val="single" w:color="auto"/>
          <w:color w:val="auto"/>
        </w:rPr>
        <w:t>Refusal to Transfer</w:t>
      </w:r>
      <w:r>
        <w:rPr>
          <w:rFonts w:ascii="Arial" w:cs="Arial" w:eastAsia="Arial" w:hAnsi="Arial"/>
          <w:sz w:val="20"/>
          <w:szCs w:val="20"/>
          <w:color w:val="auto"/>
        </w:rPr>
        <w:t>. The Company will not be required (i) to transfer on its books any Shares that have been sold or otherwise transferred in violation of any of the provisions of this Agreement or (ii) to treat as the owner or to accord the right to vote or pay dividends to any purchaser or other transferee to whom such Shares will have been so transferred.</w:t>
      </w:r>
    </w:p>
    <w:p>
      <w:pPr>
        <w:spacing w:after="0" w:line="162" w:lineRule="exact"/>
        <w:rPr>
          <w:rFonts w:ascii="Arial" w:cs="Arial" w:eastAsia="Arial" w:hAnsi="Arial"/>
          <w:sz w:val="20"/>
          <w:szCs w:val="20"/>
          <w:color w:val="auto"/>
        </w:rPr>
      </w:pPr>
    </w:p>
    <w:p>
      <w:pPr>
        <w:jc w:val="both"/>
        <w:ind w:firstLine="8"/>
        <w:spacing w:after="0" w:line="224" w:lineRule="auto"/>
        <w:tabs>
          <w:tab w:leader="none" w:pos="648"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Compliance with Laws and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issuance of Shares will be subject to and conditioned upon compliance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Participant (including any written representations, warranties and agreements as the Committee may request of Participant for compliance with applicable laws) with all applicable foreign and US state and federal laws and regulations and with all applicable requirements of any stock exchange or automated quotation system on which the Shares may be listed or quoted at the time of the issuance or transfer. Participant may not be issued any Shares if the issuance would constitute a violation of any applicable federal, state or foreign securities laws or other law or regulations or the requirements of any stock exchange or market system upon which the Shares may then be listed. The inability of the Company to obtain from any regulatory body having jurisdiction the authority, if any, deemed by the Company’s legal counsel to be necessary to the lawful issuance and sale of any Shares will relieve the Company of any liability in respect of the failure to issue or sell the Shares.</w:t>
      </w:r>
    </w:p>
    <w:p>
      <w:pPr>
        <w:spacing w:after="0" w:line="162" w:lineRule="exact"/>
        <w:rPr>
          <w:rFonts w:ascii="Arial" w:cs="Arial" w:eastAsia="Arial" w:hAnsi="Arial"/>
          <w:sz w:val="19"/>
          <w:szCs w:val="19"/>
          <w:b w:val="1"/>
          <w:bCs w:val="1"/>
          <w:color w:val="auto"/>
        </w:rPr>
      </w:pPr>
    </w:p>
    <w:p>
      <w:pPr>
        <w:ind w:firstLine="8"/>
        <w:spacing w:after="0" w:line="292" w:lineRule="auto"/>
        <w:tabs>
          <w:tab w:leader="none" w:pos="648"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will affect in any manner whatsoever the right or</w:t>
      </w:r>
      <w:r>
        <w:rPr>
          <w:rFonts w:ascii="Arial" w:cs="Arial" w:eastAsia="Arial" w:hAnsi="Arial"/>
          <w:sz w:val="18"/>
          <w:szCs w:val="18"/>
          <w:b w:val="1"/>
          <w:bCs w:val="1"/>
          <w:color w:val="auto"/>
        </w:rPr>
        <w:t xml:space="preserve"> </w:t>
      </w:r>
      <w:r>
        <w:rPr>
          <w:rFonts w:ascii="Arial" w:cs="Arial" w:eastAsia="Arial" w:hAnsi="Arial"/>
          <w:sz w:val="18"/>
          <w:szCs w:val="18"/>
          <w:color w:val="auto"/>
        </w:rPr>
        <w:t>power of the Company, or a Parent or Subsidiary of the Company, to terminate Participant’s Service, for any reason, with or without cause.</w:t>
      </w:r>
    </w:p>
    <w:p>
      <w:pPr>
        <w:spacing w:after="0" w:line="103" w:lineRule="exact"/>
        <w:rPr>
          <w:rFonts w:ascii="Arial" w:cs="Arial" w:eastAsia="Arial" w:hAnsi="Arial"/>
          <w:sz w:val="18"/>
          <w:szCs w:val="18"/>
          <w:b w:val="1"/>
          <w:bCs w:val="1"/>
          <w:color w:val="auto"/>
        </w:rPr>
      </w:pPr>
    </w:p>
    <w:p>
      <w:pPr>
        <w:ind w:firstLine="8"/>
        <w:spacing w:after="0" w:line="239" w:lineRule="auto"/>
        <w:tabs>
          <w:tab w:leader="none" w:pos="637"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Choice of Law</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will be governed by, and construed in accordance with, the laws of the State of Delaware,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giving effect to such state’s conflict of laws rules.</w:t>
      </w:r>
    </w:p>
    <w:p>
      <w:pPr>
        <w:spacing w:after="0" w:line="162" w:lineRule="exact"/>
        <w:rPr>
          <w:rFonts w:ascii="Arial" w:cs="Arial" w:eastAsia="Arial" w:hAnsi="Arial"/>
          <w:sz w:val="20"/>
          <w:szCs w:val="20"/>
          <w:b w:val="1"/>
          <w:bCs w:val="1"/>
          <w:color w:val="auto"/>
        </w:rPr>
      </w:pPr>
    </w:p>
    <w:p>
      <w:pPr>
        <w:jc w:val="both"/>
        <w:ind w:firstLine="8"/>
        <w:spacing w:after="0" w:line="218" w:lineRule="auto"/>
        <w:tabs>
          <w:tab w:leader="none" w:pos="648"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Delivery of Documents and Notices</w:t>
      </w:r>
      <w:r>
        <w:rPr>
          <w:rFonts w:ascii="Arial" w:cs="Arial" w:eastAsia="Arial" w:hAnsi="Arial"/>
          <w:sz w:val="20"/>
          <w:szCs w:val="20"/>
          <w:b w:val="1"/>
          <w:bCs w:val="1"/>
          <w:color w:val="auto"/>
        </w:rPr>
        <w:t xml:space="preserve">. </w:t>
      </w:r>
      <w:r>
        <w:rPr>
          <w:rFonts w:ascii="Arial" w:cs="Arial" w:eastAsia="Arial" w:hAnsi="Arial"/>
          <w:sz w:val="20"/>
          <w:szCs w:val="20"/>
          <w:color w:val="auto"/>
        </w:rPr>
        <w:t>Any document relating to participating in the Plan and/or notice required or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will be given in writing and will be deemed effectively given (except to the extent that this Agreement provides for effectiveness only upon actual receipt of such notice) upon personal delivery, electronic delivery or deposit in the U.S. Post Office or foreign postal service, by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35" w:name="page36"/>
    <w:bookmarkEnd w:id="35"/>
    <w:p>
      <w:pPr>
        <w:spacing w:after="0" w:line="200" w:lineRule="exact"/>
        <w:rPr>
          <w:sz w:val="20"/>
          <w:szCs w:val="20"/>
          <w:color w:val="auto"/>
        </w:rPr>
      </w:pP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47" w:lineRule="exact"/>
        <w:rPr>
          <w:sz w:val="20"/>
          <w:szCs w:val="20"/>
          <w:color w:val="auto"/>
        </w:rPr>
      </w:pPr>
    </w:p>
    <w:p>
      <w:pPr>
        <w:jc w:val="both"/>
        <w:ind w:firstLine="8"/>
        <w:spacing w:after="0" w:line="216" w:lineRule="auto"/>
        <w:tabs>
          <w:tab w:leader="none" w:pos="648"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Award Subject to Company Clawback or Recoupment</w:t>
      </w:r>
      <w:r>
        <w:rPr>
          <w:rFonts w:ascii="Arial" w:cs="Arial" w:eastAsia="Arial" w:hAnsi="Arial"/>
          <w:sz w:val="20"/>
          <w:szCs w:val="20"/>
          <w:color w:val="auto"/>
        </w:rPr>
        <w:t>. To the extent permitted by applicable law, RSUs will be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clawback or recoupment pursuant to any compensation clawback or recoupment policy adopted by the Board or the Committee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w:t>
      </w:r>
    </w:p>
    <w:p>
      <w:pPr>
        <w:spacing w:after="0" w:line="173"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BY ACCEPTING THIS AWARD OF RSUS, PARTICIPANT AGREES TO ALL OF THE TERMS AND CONDITIONS DESCRIBED ABOVE AND IN THE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decimal"/>
      <w:start w:val="3"/>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decimal"/>
      <w:start w:val="5"/>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decimal"/>
      <w:start w:val="6"/>
    </w:lvl>
  </w:abstractNum>
  <w:abstractNum w:abstractNumId="7">
    <w:nsid w:val="54E49EB4"/>
    <w:multiLevelType w:val="hybridMultilevel"/>
    <w:lvl w:ilvl="0">
      <w:lvlJc w:val="left"/>
      <w:lvlText w:val="(%1)"/>
      <w:numFmt w:val="lowerLetter"/>
      <w:start w:val="3"/>
    </w:lvl>
  </w:abstractNum>
  <w:abstractNum w:abstractNumId="8">
    <w:nsid w:val="71F32454"/>
    <w:multiLevelType w:val="hybridMultilevel"/>
    <w:lvl w:ilvl="0">
      <w:lvlJc w:val="left"/>
      <w:lvlText w:val="%1."/>
      <w:numFmt w:val="decimal"/>
      <w:start w:val="7"/>
    </w:lvl>
  </w:abstractNum>
  <w:abstractNum w:abstractNumId="9">
    <w:nsid w:val="2CA88611"/>
    <w:multiLevelType w:val="hybridMultilevel"/>
    <w:lvl w:ilvl="0">
      <w:lvlJc w:val="left"/>
      <w:lvlText w:val="%1."/>
      <w:numFmt w:val="decimal"/>
      <w:start w:val="8"/>
    </w:lvl>
  </w:abstractNum>
  <w:abstractNum w:abstractNumId="10">
    <w:nsid w:val="836C40E"/>
    <w:multiLevelType w:val="hybridMultilevel"/>
    <w:lvl w:ilvl="0">
      <w:lvlJc w:val="left"/>
      <w:lvlText w:val="%1."/>
      <w:numFmt w:val="decimal"/>
      <w:start w:val="9"/>
    </w:lvl>
  </w:abstractNum>
  <w:abstractNum w:abstractNumId="11">
    <w:nsid w:val="2901D82"/>
    <w:multiLevelType w:val="hybridMultilevel"/>
    <w:lvl w:ilvl="0">
      <w:lvlJc w:val="left"/>
      <w:lvlText w:val="(%1)"/>
      <w:numFmt w:val="decimal"/>
      <w:start w:val="10"/>
    </w:lvl>
  </w:abstractNum>
  <w:abstractNum w:abstractNumId="12">
    <w:nsid w:val="3A95F874"/>
    <w:multiLevelType w:val="hybridMultilevel"/>
    <w:lvl w:ilvl="0">
      <w:lvlJc w:val="left"/>
      <w:lvlText w:val="%1."/>
      <w:numFmt w:val="decimal"/>
      <w:start w:val="10"/>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decimal"/>
      <w:start w:val="11"/>
    </w:lvl>
    <w:lvl w:ilvl="1">
      <w:lvlJc w:val="left"/>
      <w:lvlText w:val="(%2)"/>
      <w:numFmt w:val="lowerLetter"/>
      <w:start w:val="1"/>
    </w:lvl>
  </w:abstractNum>
  <w:abstractNum w:abstractNumId="15">
    <w:nsid w:val="7C3DBD3D"/>
    <w:multiLevelType w:val="hybridMultilevel"/>
    <w:lvl w:ilvl="0">
      <w:lvlJc w:val="left"/>
      <w:lvlText w:val="%1."/>
      <w:numFmt w:val="decimal"/>
      <w:start w:val="12"/>
    </w:lvl>
  </w:abstractNum>
  <w:abstractNum w:abstractNumId="16">
    <w:nsid w:val="737B8DDC"/>
    <w:multiLevelType w:val="hybridMultilevel"/>
    <w:lvl w:ilvl="0">
      <w:lvlJc w:val="left"/>
      <w:lvlText w:val="%1."/>
      <w:numFmt w:val="decimal"/>
      <w:start w:val="13"/>
    </w:lvl>
  </w:abstractNum>
  <w:abstractNum w:abstractNumId="17">
    <w:nsid w:val="6CEAF087"/>
    <w:multiLevelType w:val="hybridMultilevel"/>
    <w:lvl w:ilvl="0">
      <w:lvlJc w:val="left"/>
      <w:lvlText w:val="%1."/>
      <w:numFmt w:val="decimal"/>
      <w:start w:val="14"/>
    </w:lvl>
  </w:abstractNum>
  <w:abstractNum w:abstractNumId="18">
    <w:nsid w:val="22221A70"/>
    <w:multiLevelType w:val="hybridMultilevel"/>
    <w:lvl w:ilvl="0">
      <w:lvlJc w:val="left"/>
      <w:lvlText w:val="%1."/>
      <w:numFmt w:val="decimal"/>
      <w:start w:val="15"/>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decimal"/>
      <w:start w:val="2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23"/>
    </w:lvl>
  </w:abstractNum>
  <w:abstractNum w:abstractNumId="25">
    <w:nsid w:val="5072367"/>
    <w:multiLevelType w:val="hybridMultilevel"/>
    <w:lvl w:ilvl="0">
      <w:lvlJc w:val="left"/>
      <w:lvlText w:val="(%1)"/>
      <w:numFmt w:val="lowerLetter"/>
      <w:start w:val="27"/>
    </w:lvl>
  </w:abstractNum>
  <w:abstractNum w:abstractNumId="26">
    <w:nsid w:val="3804823E"/>
    <w:multiLevelType w:val="hybridMultilevel"/>
    <w:lvl w:ilvl="0">
      <w:lvlJc w:val="left"/>
      <w:lvlText w:val="%1."/>
      <w:numFmt w:val="decimal"/>
      <w:start w:val="27"/>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lvl w:ilvl="1">
      <w:lvlJc w:val="left"/>
      <w:lvlText w:val="(%2)"/>
      <w:numFmt w:val="lowerLetter"/>
      <w:start w:val="1"/>
    </w:lvl>
  </w:abstractNum>
  <w:abstractNum w:abstractNumId="29">
    <w:nsid w:val="5C482A97"/>
    <w:multiLevelType w:val="hybridMultilevel"/>
    <w:lvl w:ilvl="0">
      <w:lvlJc w:val="left"/>
      <w:lvlText w:val="%1."/>
      <w:numFmt w:val="decimal"/>
      <w:start w:val="4"/>
    </w:lvl>
    <w:lvl w:ilvl="1">
      <w:lvlJc w:val="left"/>
      <w:lvlText w:val="(%2)"/>
      <w:numFmt w:val="lowerLetter"/>
      <w:start w:val="1"/>
    </w:lvl>
  </w:abstractNum>
  <w:abstractNum w:abstractNumId="30">
    <w:nsid w:val="2463B9EA"/>
    <w:multiLevelType w:val="hybridMultilevel"/>
    <w:lvl w:ilvl="0">
      <w:lvlJc w:val="left"/>
      <w:lvlText w:val="(%1)"/>
      <w:numFmt w:val="lowerLetter"/>
      <w:start w:val="3"/>
    </w:lvl>
  </w:abstractNum>
  <w:abstractNum w:abstractNumId="31">
    <w:nsid w:val="5E884ADC"/>
    <w:multiLevelType w:val="hybridMultilevel"/>
    <w:lvl w:ilvl="0">
      <w:lvlJc w:val="left"/>
      <w:lvlText w:val="%1."/>
      <w:numFmt w:val="decimal"/>
      <w:start w:val="6"/>
    </w:lvl>
    <w:lvl w:ilvl="1">
      <w:lvlJc w:val="left"/>
      <w:lvlText w:val="(%2)"/>
      <w:numFmt w:val="lowerLetter"/>
      <w:start w:val="1"/>
    </w:lvl>
  </w:abstractNum>
  <w:abstractNum w:abstractNumId="32">
    <w:nsid w:val="51EAD36B"/>
    <w:multiLevelType w:val="hybridMultilevel"/>
    <w:lvl w:ilvl="0">
      <w:lvlJc w:val="left"/>
      <w:lvlText w:val="(%1)"/>
      <w:numFmt w:val="lowerRoman"/>
      <w:start w:val="1"/>
    </w:lvl>
  </w:abstractNum>
  <w:abstractNum w:abstractNumId="33">
    <w:nsid w:val="2D517796"/>
    <w:multiLevelType w:val="hybridMultilevel"/>
    <w:lvl w:ilvl="0">
      <w:lvlJc w:val="left"/>
      <w:lvlText w:val="(%1)"/>
      <w:numFmt w:val="lowerRoman"/>
      <w:start w:val="3"/>
    </w:lvl>
  </w:abstractNum>
  <w:abstractNum w:abstractNumId="34">
    <w:nsid w:val="580BD78F"/>
    <w:multiLevelType w:val="hybridMultilevel"/>
    <w:lvl w:ilvl="0">
      <w:lvlJc w:val="left"/>
      <w:lvlText w:val="%1."/>
      <w:numFmt w:val="decimal"/>
      <w:start w:val="9"/>
    </w:lvl>
    <w:lvl w:ilvl="1">
      <w:lvlJc w:val="left"/>
      <w:lvlText w:val="(%2)"/>
      <w:numFmt w:val="lowerLetter"/>
      <w:start w:val="1"/>
    </w:lvl>
  </w:abstractNum>
  <w:abstractNum w:abstractNumId="35">
    <w:nsid w:val="153EA438"/>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6">
    <w:nsid w:val="3855585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7">
    <w:nsid w:val="70A64E2A"/>
    <w:multiLevelType w:val="hybridMultilevel"/>
    <w:lvl w:ilvl="0">
      <w:lvlJc w:val="left"/>
      <w:lvlText w:val="%1."/>
      <w:numFmt w:val="decimal"/>
      <w:start w:val="13"/>
    </w:lvl>
  </w:abstractNum>
  <w:abstractNum w:abstractNumId="38">
    <w:nsid w:val="6A2342EC"/>
    <w:multiLevelType w:val="hybridMultilevel"/>
    <w:lvl w:ilvl="0">
      <w:lvlJc w:val="left"/>
      <w:lvlText w:val="%1."/>
      <w:numFmt w:val="decimal"/>
      <w:start w:val="18"/>
    </w:lvl>
  </w:abstractNum>
  <w:abstractNum w:abstractNumId="39">
    <w:nsid w:val="2A487CB0"/>
    <w:multiLevelType w:val="hybridMultilevel"/>
    <w:lvl w:ilvl="0">
      <w:lvlJc w:val="left"/>
      <w:lvlText w:val="%1."/>
      <w:numFmt w:val="decimal"/>
      <w:start w:val="20"/>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3"/>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lowerLetter"/>
      <w:start w:val="3"/>
    </w:lvl>
  </w:abstractNum>
  <w:abstractNum w:abstractNumId="44">
    <w:nsid w:val="7A6D8D3C"/>
    <w:multiLevelType w:val="hybridMultilevel"/>
    <w:lvl w:ilvl="0">
      <w:lvlJc w:val="left"/>
      <w:lvlText w:val="%1."/>
      <w:numFmt w:val="decimal"/>
      <w:start w:val="6"/>
    </w:lvl>
    <w:lvl w:ilvl="1">
      <w:lvlJc w:val="left"/>
      <w:lvlText w:val="(%2)"/>
      <w:numFmt w:val="lowerLetter"/>
      <w:start w:val="1"/>
    </w:lvl>
  </w:abstractNum>
  <w:abstractNum w:abstractNumId="45">
    <w:nsid w:val="4B588F54"/>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2023-07-24T16:22:59Z</dcterms:created>
  <dcterms:modified xsi:type="dcterms:W3CDTF">2023-07-24T16:22:59Z</dcterms:modified>
</cp:coreProperties>
</file>