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419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41946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Meister Keith 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78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GeneDx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WGS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gridSpan w:val="3"/>
            <w:vMerge w:val="restart"/>
          </w:tcPr>
          <w:p>
            <w:pPr>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6"/>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6"/>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5"/>
                <w:szCs w:val="5"/>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70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9"/>
                <w:szCs w:val="9"/>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7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7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11"/>
          </w:tcPr>
          <w:p>
            <w:pPr>
              <w:spacing w:after="0"/>
              <w:rPr>
                <w:sz w:val="20"/>
                <w:szCs w:val="20"/>
                <w:color w:val="auto"/>
              </w:rPr>
            </w:pPr>
            <w:r>
              <w:rPr>
                <w:rFonts w:ascii="Arial" w:cs="Arial" w:eastAsia="Arial" w:hAnsi="Arial"/>
                <w:sz w:val="13"/>
                <w:szCs w:val="13"/>
                <w:color w:val="auto"/>
              </w:rPr>
              <w:t>3. Date of Earliest Transaction (Month/Day/Year)</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C/O CORVEX MANAGEMENT LP</w:t>
            </w:r>
          </w:p>
        </w:tc>
        <w:tc>
          <w:tcPr>
            <w:tcW w:w="1280" w:type="dxa"/>
            <w:vAlign w:val="bottom"/>
            <w:gridSpan w:val="8"/>
          </w:tcPr>
          <w:p>
            <w:pPr>
              <w:ind w:left="160"/>
              <w:spacing w:after="0"/>
              <w:rPr>
                <w:sz w:val="20"/>
                <w:szCs w:val="20"/>
                <w:color w:val="auto"/>
              </w:rPr>
            </w:pPr>
            <w:r>
              <w:rPr>
                <w:rFonts w:ascii="Times New Roman" w:cs="Times New Roman" w:eastAsia="Times New Roman" w:hAnsi="Times New Roman"/>
                <w:sz w:val="17"/>
                <w:szCs w:val="17"/>
                <w:color w:val="0000FF"/>
              </w:rPr>
              <w:t>11/15/2023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7"/>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667 MADISON AVENUE</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6"/>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15"/>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5"/>
            <w:vMerge w:val="continue"/>
          </w:tcPr>
          <w:p>
            <w:pPr>
              <w:spacing w:after="0"/>
              <w:rPr>
                <w:sz w:val="9"/>
                <w:szCs w:val="9"/>
                <w:color w:val="auto"/>
              </w:rPr>
            </w:pPr>
          </w:p>
        </w:tc>
        <w:tc>
          <w:tcPr>
            <w:tcW w:w="3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1280" w:type="dxa"/>
            <w:vAlign w:val="bottom"/>
            <w:gridSpan w:val="8"/>
            <w:vMerge w:val="restart"/>
          </w:tcPr>
          <w:p>
            <w:pPr>
              <w:ind w:left="160"/>
              <w:spacing w:after="0" w:line="189" w:lineRule="exact"/>
              <w:rPr>
                <w:sz w:val="20"/>
                <w:szCs w:val="20"/>
                <w:color w:val="auto"/>
              </w:rPr>
            </w:pPr>
            <w:r>
              <w:rPr>
                <w:rFonts w:ascii="Times New Roman" w:cs="Times New Roman" w:eastAsia="Times New Roman" w:hAnsi="Times New Roman"/>
                <w:sz w:val="17"/>
                <w:szCs w:val="17"/>
                <w:color w:val="0000FF"/>
              </w:rPr>
              <w:t>11/17/2023</w:t>
            </w: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80" w:type="dxa"/>
            <w:vAlign w:val="bottom"/>
            <w:gridSpan w:val="8"/>
            <w:vMerge w:val="continue"/>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4"/>
          </w:tcPr>
          <w:p>
            <w:pPr>
              <w:ind w:left="4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10065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3"/>
          </w:tcPr>
          <w:p>
            <w:pPr>
              <w:spacing w:after="0"/>
              <w:rPr>
                <w:sz w:val="10"/>
                <w:szCs w:val="10"/>
                <w:color w:val="auto"/>
              </w:rPr>
            </w:pPr>
          </w:p>
        </w:tc>
        <w:tc>
          <w:tcPr>
            <w:tcW w:w="8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2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tcPr>
          <w:p>
            <w:pPr>
              <w:ind w:left="50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4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80" w:type="dxa"/>
            <w:vAlign w:val="bottom"/>
            <w:gridSpan w:val="8"/>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4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gridSpan w:val="2"/>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Price</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w w:val="95"/>
              </w:rPr>
              <w:t>(D)</w:t>
            </w:r>
          </w:p>
        </w:tc>
        <w:tc>
          <w:tcPr>
            <w:tcW w:w="2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w w:val="99"/>
              </w:rPr>
              <w:t>2,806,925</w:t>
            </w:r>
          </w:p>
        </w:tc>
        <w:tc>
          <w:tcPr>
            <w:tcW w:w="92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7"/>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140" w:type="dxa"/>
            <w:vAlign w:val="bottom"/>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20" w:type="dxa"/>
            <w:vAlign w:val="bottom"/>
            <w:gridSpan w:val="2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w w:val="95"/>
              </w:rPr>
              <w:t>10.</w:t>
            </w:r>
          </w:p>
        </w:tc>
        <w:tc>
          <w:tcPr>
            <w:tcW w:w="5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1"/>
                <w:szCs w:val="11"/>
                <w:color w:val="auto"/>
              </w:rPr>
            </w:pP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4"/>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5"/>
          </w:tcPr>
          <w:p>
            <w:pPr>
              <w:ind w:left="140"/>
              <w:spacing w:after="0"/>
              <w:rPr>
                <w:sz w:val="20"/>
                <w:szCs w:val="20"/>
                <w:color w:val="auto"/>
              </w:rPr>
            </w:pPr>
            <w:r>
              <w:rPr>
                <w:rFonts w:ascii="Arial" w:cs="Arial" w:eastAsia="Arial" w:hAnsi="Arial"/>
                <w:sz w:val="12"/>
                <w:szCs w:val="12"/>
                <w:b w:val="1"/>
                <w:bCs w:val="1"/>
                <w:color w:val="auto"/>
              </w:rPr>
              <w:t>Amount</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9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5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4"/>
                <w:szCs w:val="14"/>
                <w:color w:val="auto"/>
              </w:rPr>
            </w:pP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3"/>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Meister Keith A.</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CORVEX MANAGEMENT LP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667 MADISON AVENUE</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10065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Corvex Management LP</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667 MADISON AVENUE</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10065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-5183505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16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Investment funds advised by Corvex Management LP are the holders of 2,473,781 shares of the Class A common stock, par value $0.0001 per share ("Class A Common Stock") of GeneDx Holdings Corp. (the "Issuer") reported herein. Mr. Meister may be deemed to indirectly beneficially own these shares by virtue of Mr. Meister's control of the general partner of Corvex Management LP.</w:t>
      </w:r>
    </w:p>
    <w:p>
      <w:pPr>
        <w:spacing w:after="0" w:line="7" w:lineRule="exact"/>
        <w:rPr>
          <w:rFonts w:ascii="Times New Roman" w:cs="Times New Roman" w:eastAsia="Times New Roman" w:hAnsi="Times New Roman"/>
          <w:sz w:val="13"/>
          <w:szCs w:val="13"/>
          <w:color w:val="008000"/>
        </w:rPr>
      </w:pPr>
    </w:p>
    <w:p>
      <w:pPr>
        <w:ind w:right="40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CMLS Holdings LLC ("CMLS Holdings") is the holder of 333,144 shares of the Class A Common Stock reported herein. Mr. Meister is one of two members of the Board of Managers of CMLS Holdings, and Mr. Meister shares voting and investment discretion with respect to the securities held by CMLS Holdings.</w:t>
      </w:r>
    </w:p>
    <w:p>
      <w:pPr>
        <w:spacing w:after="0" w:line="7" w:lineRule="exact"/>
        <w:rPr>
          <w:rFonts w:ascii="Times New Roman" w:cs="Times New Roman" w:eastAsia="Times New Roman" w:hAnsi="Times New Roman"/>
          <w:sz w:val="13"/>
          <w:szCs w:val="13"/>
          <w:color w:val="008000"/>
        </w:rPr>
      </w:pPr>
    </w:p>
    <w:p>
      <w:pPr>
        <w:ind w:right="1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the purposes of this filing, Mr. Meister disclaims beneficial ownership of the reported securities except to the extent of his pecuniary interest therein. This filing shall not be deemed an admission that Mr. Meister is the beneficial owner of any of the reported securities for purposes of Section 16 of the Securities Exchange Act of 1934, as amended, or otherwise.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3"/>
          <w:szCs w:val="13"/>
          <w:color w:val="008000"/>
        </w:rPr>
        <w:t>The Form 4 filed on November 17, 2023 is being amended hereby to correct the number of shares of the Issuer's Class A Common Stock reported in Column 5 of Table I and the related footnotes 1 and 2, which numbers were misstated in the original report due to administrative error. As of the Date of Earliest Transaction set forth in box 3 above, and after giving effect to the transaction reported on that date, the investment funds advised by Corvex Management LP were the holders of 2,473,781 shares of Class A Common Stock and CMLS Holdings was the holder of 333,144 shares (aggregating to 2,806,925 shares indirectly beneficially owned by Mr. Meister). Any subsequent Forms 4 filed by the Reporting Persons through the date of this amendment should be read to incorporate this correction in the context of any transactions reported therein. Additionally, for the avoidance of doubt, all numbers presented above give effect to the Issuer's 1-for-33 reverse stock split that occurred effective May 4, 2023.</w:t>
      </w:r>
    </w:p>
    <w:p>
      <w:pPr>
        <w:spacing w:after="0" w:line="196"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 Keith A. Meister</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10/06/2025</w:t>
            </w:r>
          </w:p>
        </w:tc>
      </w:tr>
      <w:tr>
        <w:trPr>
          <w:trHeight w:val="20"/>
        </w:trPr>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47"/>
        </w:trPr>
        <w:tc>
          <w:tcPr>
            <w:tcW w:w="21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 Keith A. Meister,</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3"/>
        </w:trPr>
        <w:tc>
          <w:tcPr>
            <w:tcW w:w="200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Managing Partner of Corvex</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10/06/2025</w:t>
            </w:r>
          </w:p>
        </w:tc>
      </w:tr>
      <w:tr>
        <w:trPr>
          <w:trHeight w:val="193"/>
        </w:trPr>
        <w:tc>
          <w:tcPr>
            <w:tcW w:w="11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Management LP</w:t>
            </w:r>
          </w:p>
        </w:tc>
        <w:tc>
          <w:tcPr>
            <w:tcW w:w="94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5"/>
        </w:trPr>
        <w:tc>
          <w:tcPr>
            <w:tcW w:w="210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3" Type="http://schemas.openxmlformats.org/officeDocument/2006/relationships/hyperlink" Target="http://www.sec.gov/cgi-bin/browse-edgar?action=getcompany&amp;CIK=0001307631" TargetMode="External"/><Relationship Id="rId14" Type="http://schemas.openxmlformats.org/officeDocument/2006/relationships/hyperlink" Target="http://www.sec.gov/cgi-bin/browse-edgar?action=getcompany&amp;CIK=0001818331" TargetMode="External"/><Relationship Id="rId15" Type="http://schemas.openxmlformats.org/officeDocument/2006/relationships/hyperlink" Target="http://www.sec.gov/cgi-bin/browse-edgar?action=getcompany&amp;CIK=00015354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2025-10-06T15:24:21Z</dcterms:created>
  <dcterms:modified xsi:type="dcterms:W3CDTF">2025-10-06T15:24:21Z</dcterms:modified>
</cp:coreProperties>
</file>