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Clark Daniel Emmett</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w w:val="95"/>
              </w:rPr>
              <w:t>C/O SEMA4 HOLDINGS CORP.</w:t>
            </w:r>
          </w:p>
        </w:tc>
        <w:tc>
          <w:tcPr>
            <w:tcW w:w="1260" w:type="dxa"/>
            <w:vAlign w:val="bottom"/>
          </w:tcPr>
          <w:p>
            <w:pPr>
              <w:spacing w:after="0"/>
              <w:rPr>
                <w:sz w:val="18"/>
                <w:szCs w:val="18"/>
                <w:color w:val="auto"/>
              </w:rPr>
            </w:pPr>
          </w:p>
        </w:tc>
        <w:tc>
          <w:tcPr>
            <w:tcW w:w="2060" w:type="dxa"/>
            <w:vAlign w:val="bottom"/>
            <w:gridSpan w:val="3"/>
          </w:tcPr>
          <w:p>
            <w:pPr>
              <w:ind w:left="160"/>
              <w:spacing w:after="0"/>
              <w:rPr>
                <w:sz w:val="20"/>
                <w:szCs w:val="20"/>
                <w:color w:val="auto"/>
              </w:rPr>
            </w:pPr>
            <w:r>
              <w:rPr>
                <w:rFonts w:ascii="Arial" w:cs="Arial" w:eastAsia="Arial" w:hAnsi="Arial"/>
                <w:sz w:val="17"/>
                <w:szCs w:val="17"/>
                <w:color w:val="0000FF"/>
              </w:rPr>
              <w:t>10/25/2021</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34"/>
        <w:spacing w:after="0"/>
        <w:rPr>
          <w:sz w:val="20"/>
          <w:szCs w:val="20"/>
          <w:color w:val="auto"/>
        </w:rPr>
      </w:pPr>
      <w:r>
        <w:rPr>
          <w:rFonts w:ascii="Arial" w:cs="Arial" w:eastAsia="Arial" w:hAnsi="Arial"/>
          <w:sz w:val="16"/>
          <w:szCs w:val="16"/>
          <w:color w:val="0000FF"/>
        </w:rPr>
        <w:t>Secretary and General Counsel</w:t>
      </w:r>
    </w:p>
    <w:p>
      <w:pPr>
        <w:spacing w:after="0" w:line="402" w:lineRule="exact"/>
        <w:rPr>
          <w:sz w:val="20"/>
          <w:szCs w:val="20"/>
          <w:color w:val="auto"/>
        </w:rPr>
      </w:pPr>
    </w:p>
    <w:p>
      <w:pPr>
        <w:sectPr>
          <w:pgSz w:w="11900" w:h="16838" w:orient="portrait"/>
          <w:cols w:equalWidth="0" w:num="2">
            <w:col w:w="7660" w:space="66"/>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20" w:type="dxa"/>
            <w:vAlign w:val="bottom"/>
            <w:vMerge w:val="restart"/>
          </w:tcPr>
          <w:p>
            <w:pPr>
              <w:spacing w:after="0"/>
              <w:rPr>
                <w:sz w:val="20"/>
                <w:szCs w:val="20"/>
                <w:color w:val="auto"/>
              </w:rPr>
            </w:pPr>
            <w:r>
              <w:rPr>
                <w:rFonts w:ascii="Arial" w:cs="Arial" w:eastAsia="Arial" w:hAnsi="Arial"/>
                <w:sz w:val="17"/>
                <w:szCs w:val="17"/>
                <w:color w:val="0000FF"/>
                <w:w w:val="88"/>
              </w:rPr>
              <w:t>CT</w:t>
            </w:r>
          </w:p>
        </w:tc>
        <w:tc>
          <w:tcPr>
            <w:tcW w:w="9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06902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gridSpan w:val="3"/>
          </w:tcPr>
          <w:p>
            <w:pPr>
              <w:ind w:left="840"/>
              <w:spacing w:after="0"/>
              <w:rPr>
                <w:sz w:val="20"/>
                <w:szCs w:val="20"/>
                <w:color w:val="auto"/>
              </w:rPr>
            </w:pPr>
            <w:r>
              <w:rPr>
                <w:rFonts w:ascii="Arial" w:cs="Arial" w:eastAsia="Arial" w:hAnsi="Arial"/>
                <w:sz w:val="17"/>
                <w:szCs w:val="17"/>
                <w:color w:val="0000FF"/>
              </w:rPr>
              <w:t>10/25/2021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Arial" w:cs="Arial" w:eastAsia="Arial" w:hAnsi="Arial"/>
                <w:sz w:val="17"/>
                <w:szCs w:val="17"/>
                <w:color w:val="0000FF"/>
                <w:w w:val="89"/>
              </w:rPr>
              <w:t>3,940</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3,940</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10/25/2021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9"/>
              </w:rPr>
              <w:t>1,256</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7.54</w:t>
            </w:r>
          </w:p>
        </w:tc>
        <w:tc>
          <w:tcPr>
            <w:tcW w:w="132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2,684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tcPr>
          <w:p>
            <w:pPr>
              <w:ind w:left="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3,940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10/25/2021</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3,940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59,079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5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6.25% vest in quarterly installments over the four-year period commencing on July 25, 2021 until fully vested, subject to the Reporting Person's continued service to the Issuer on each vesting 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Daniel Clark,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44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2021-11-02T19:22:55Z</dcterms:created>
  <dcterms:modified xsi:type="dcterms:W3CDTF">2021-11-02T19:22:55Z</dcterms:modified>
</cp:coreProperties>
</file>