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Ryan Jason</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SEMA4 HOLDINGS CORP.</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LUDLOW ST, NORTH TOWER, 8TH FL.</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STAMFORD</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CT</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06902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Sema4 Holdings Corp.</w:t>
              </w:r>
            </w:hyperlink>
            <w:r>
              <w:rPr/>
              <w:t xml:space="preserve"> [ </w:t>
            </w:r>
            <w:r>
              <w:rPr>
                <w:rFonts w:ascii="Times;serif" w:hAnsi="Times;serif"/>
                <w:color w:val="0000FF"/>
                <w:sz w:val="24"/>
                <w:highlight w:val="white"/>
              </w:rPr>
              <w:t>SMFR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04/27/2022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4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04/27/2022</w:t>
            </w:r>
          </w:p>
        </w:tc>
        <w:tc>
          <w:tcPr>
            <w:tcW w:w="77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5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12,836</w:t>
            </w:r>
          </w:p>
        </w:tc>
        <w:tc>
          <w:tcPr>
            <w:tcW w:w="4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2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7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12,836</w:t>
            </w:r>
          </w:p>
        </w:tc>
        <w:tc>
          <w:tcPr>
            <w:tcW w:w="100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194" w:type="dxa"/>
        <w:jc w:val="left"/>
        <w:tblInd w:w="0" w:type="dxa"/>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04/27/2022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12,836</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12,836</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RSUs will vest on the earlier of (i) the date of the next annual meeting of the Company's shareholders following the grant date and (i) the first anniversary of the grant date, in each case so long as the non-employee director continues to provide services to the Company through such vesting date.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Daniel Clark,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05/12/2022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85017"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621</Words>
  <CharactersWithSpaces>3855</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