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13d-102)</w:t>
      </w:r>
    </w:p>
    <w:p>
      <w:pPr>
        <w:spacing w:after="0" w:line="211" w:lineRule="exact"/>
        <w:rPr>
          <w:sz w:val="24"/>
          <w:szCs w:val="24"/>
          <w:color w:val="auto"/>
        </w:rPr>
      </w:pPr>
    </w:p>
    <w:p>
      <w:pPr>
        <w:jc w:val="center"/>
        <w:spacing w:after="0" w:line="263" w:lineRule="auto"/>
        <w:rPr>
          <w:sz w:val="20"/>
          <w:szCs w:val="20"/>
          <w:color w:val="auto"/>
        </w:rPr>
      </w:pPr>
      <w:r>
        <w:rPr>
          <w:rFonts w:ascii="Arial" w:cs="Arial" w:eastAsia="Arial" w:hAnsi="Arial"/>
          <w:sz w:val="18"/>
          <w:szCs w:val="18"/>
          <w:color w:val="auto"/>
        </w:rPr>
        <w:t>INFORMATION TO BE INCLUDED IN STATEMENTS FILED PURSUANT TO RULES 13d-1(b)(c), AND (d) AND AMENDMENTS THERETO FILED PURSUANT TO RULE 13d-2(b)</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1)*</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Sema4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Class A Common Stock</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ind w:left="5180"/>
        <w:spacing w:after="0"/>
        <w:rPr>
          <w:sz w:val="20"/>
          <w:szCs w:val="20"/>
          <w:color w:val="auto"/>
        </w:rPr>
      </w:pPr>
      <w:r>
        <w:rPr>
          <w:rFonts w:ascii="Arial" w:cs="Arial" w:eastAsia="Arial" w:hAnsi="Arial"/>
          <w:sz w:val="18"/>
          <w:szCs w:val="18"/>
          <w:color w:val="auto"/>
        </w:rPr>
        <w:t>81663L101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ind w:left="5000"/>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980" w:hanging="324"/>
        <w:spacing w:after="0"/>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980" w:hanging="324"/>
        <w:spacing w:after="0"/>
        <w:tabs>
          <w:tab w:leader="none" w:pos="9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(Page 1 of 11 Pages)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ind w:firstLine="8"/>
        <w:spacing w:after="0" w:line="260" w:lineRule="auto"/>
        <w:tabs>
          <w:tab w:leader="none" w:pos="13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5"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tabs>
          <w:tab w:leader="none" w:pos="1160" w:val="left"/>
          <w:tab w:leader="none" w:pos="5460" w:val="left"/>
          <w:tab w:leader="none" w:pos="1032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81663L101</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56489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20" w:right="344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Mgmt,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26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Delaware</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5.</w:t>
            </w:r>
          </w:p>
        </w:tc>
        <w:tc>
          <w:tcPr>
            <w:tcW w:w="54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4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8"/>
                <w:szCs w:val="18"/>
                <w:color w:val="auto"/>
              </w:rPr>
              <w:t>6.</w:t>
            </w: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7,042,580 (1)</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8"/>
                <w:szCs w:val="18"/>
                <w:color w:val="auto"/>
              </w:rPr>
              <w:t>7.</w:t>
            </w: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60" w:type="dxa"/>
            <w:vAlign w:val="bottom"/>
            <w:tcBorders>
              <w:right w:val="single" w:sz="8" w:color="auto"/>
            </w:tcBorders>
            <w:vMerge w:val="continue"/>
          </w:tcPr>
          <w:p>
            <w:pPr>
              <w:spacing w:after="0"/>
              <w:rPr>
                <w:sz w:val="12"/>
                <w:szCs w:val="12"/>
                <w:color w:val="auto"/>
              </w:rPr>
            </w:pPr>
          </w:p>
        </w:tc>
        <w:tc>
          <w:tcPr>
            <w:tcW w:w="54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260" w:type="dxa"/>
            <w:vAlign w:val="bottom"/>
            <w:tcBorders>
              <w:right w:val="single" w:sz="8" w:color="auto"/>
            </w:tcBorders>
          </w:tcPr>
          <w:p>
            <w:pPr>
              <w:spacing w:after="0"/>
              <w:rPr>
                <w:sz w:val="12"/>
                <w:szCs w:val="12"/>
                <w:color w:val="auto"/>
              </w:rPr>
            </w:pPr>
          </w:p>
        </w:tc>
        <w:tc>
          <w:tcPr>
            <w:tcW w:w="54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8.</w:t>
            </w:r>
          </w:p>
        </w:tc>
        <w:tc>
          <w:tcPr>
            <w:tcW w:w="544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7,042,580 (1)</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7,042,580 (1)</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4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24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2.92%</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20" w:hanging="1263"/>
        <w:spacing w:after="0"/>
        <w:tabs>
          <w:tab w:leader="none" w:pos="2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PN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(1) Comprised of 7,042,580 shares of Class A Common Stock held by Deerfield Partners, L.P., of which Deerfield Mgmt,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tabs>
          <w:tab w:leader="none" w:pos="1160" w:val="left"/>
          <w:tab w:leader="none" w:pos="5460" w:val="left"/>
          <w:tab w:leader="none" w:pos="1032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81663L101</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3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5648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20" w:right="344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Management Company,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26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Delaware</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5.</w:t>
            </w:r>
          </w:p>
        </w:tc>
        <w:tc>
          <w:tcPr>
            <w:tcW w:w="54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4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8"/>
                <w:szCs w:val="18"/>
                <w:color w:val="auto"/>
              </w:rPr>
              <w:t>6.</w:t>
            </w: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13,966,824 (2)</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8"/>
                <w:szCs w:val="18"/>
                <w:color w:val="auto"/>
              </w:rPr>
              <w:t>7.</w:t>
            </w: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60" w:type="dxa"/>
            <w:vAlign w:val="bottom"/>
            <w:tcBorders>
              <w:right w:val="single" w:sz="8" w:color="auto"/>
            </w:tcBorders>
            <w:vMerge w:val="continue"/>
          </w:tcPr>
          <w:p>
            <w:pPr>
              <w:spacing w:after="0"/>
              <w:rPr>
                <w:sz w:val="12"/>
                <w:szCs w:val="12"/>
                <w:color w:val="auto"/>
              </w:rPr>
            </w:pPr>
          </w:p>
        </w:tc>
        <w:tc>
          <w:tcPr>
            <w:tcW w:w="54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260" w:type="dxa"/>
            <w:vAlign w:val="bottom"/>
            <w:tcBorders>
              <w:right w:val="single" w:sz="8" w:color="auto"/>
            </w:tcBorders>
          </w:tcPr>
          <w:p>
            <w:pPr>
              <w:spacing w:after="0"/>
              <w:rPr>
                <w:sz w:val="12"/>
                <w:szCs w:val="12"/>
                <w:color w:val="auto"/>
              </w:rPr>
            </w:pPr>
          </w:p>
        </w:tc>
        <w:tc>
          <w:tcPr>
            <w:tcW w:w="54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8.</w:t>
            </w:r>
          </w:p>
        </w:tc>
        <w:tc>
          <w:tcPr>
            <w:tcW w:w="544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13,966,824 (2)</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13,966,824 (2)</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4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5.79%</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20" w:hanging="1263"/>
        <w:spacing w:after="0"/>
        <w:tabs>
          <w:tab w:leader="none" w:pos="2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PN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3" w:lineRule="exact"/>
        <w:rPr>
          <w:sz w:val="20"/>
          <w:szCs w:val="20"/>
          <w:color w:val="auto"/>
        </w:rPr>
      </w:pPr>
    </w:p>
    <w:p>
      <w:pPr>
        <w:ind w:right="80" w:firstLine="8"/>
        <w:spacing w:after="0" w:line="260"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Comprised of an aggregate of 13,966,824 shares of Class A Common Stock held by Deerfield Partners, L.P. and Deerfield Private Design Fund V, L.P., of which Deerfield Management Company, L.P. is the investment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tabs>
          <w:tab w:leader="none" w:pos="1160" w:val="left"/>
          <w:tab w:leader="none" w:pos="5460" w:val="left"/>
          <w:tab w:leader="none" w:pos="1032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81663L101</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4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56489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20" w:right="344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Mgmt V,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26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Delaware</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5.</w:t>
            </w:r>
          </w:p>
        </w:tc>
        <w:tc>
          <w:tcPr>
            <w:tcW w:w="54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4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8"/>
                <w:szCs w:val="18"/>
                <w:color w:val="auto"/>
              </w:rPr>
              <w:t>6.</w:t>
            </w: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6,924,244 (3)</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8"/>
                <w:szCs w:val="18"/>
                <w:color w:val="auto"/>
              </w:rPr>
              <w:t>7.</w:t>
            </w: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60" w:type="dxa"/>
            <w:vAlign w:val="bottom"/>
            <w:tcBorders>
              <w:right w:val="single" w:sz="8" w:color="auto"/>
            </w:tcBorders>
            <w:vMerge w:val="continue"/>
          </w:tcPr>
          <w:p>
            <w:pPr>
              <w:spacing w:after="0"/>
              <w:rPr>
                <w:sz w:val="12"/>
                <w:szCs w:val="12"/>
                <w:color w:val="auto"/>
              </w:rPr>
            </w:pPr>
          </w:p>
        </w:tc>
        <w:tc>
          <w:tcPr>
            <w:tcW w:w="54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260" w:type="dxa"/>
            <w:vAlign w:val="bottom"/>
            <w:tcBorders>
              <w:right w:val="single" w:sz="8" w:color="auto"/>
            </w:tcBorders>
          </w:tcPr>
          <w:p>
            <w:pPr>
              <w:spacing w:after="0"/>
              <w:rPr>
                <w:sz w:val="12"/>
                <w:szCs w:val="12"/>
                <w:color w:val="auto"/>
              </w:rPr>
            </w:pPr>
          </w:p>
        </w:tc>
        <w:tc>
          <w:tcPr>
            <w:tcW w:w="54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8.</w:t>
            </w:r>
          </w:p>
        </w:tc>
        <w:tc>
          <w:tcPr>
            <w:tcW w:w="544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6,924,244 (3)</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6,924,244 (3)</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4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24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2.87%</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20" w:hanging="1263"/>
        <w:spacing w:after="0"/>
        <w:tabs>
          <w:tab w:leader="none" w:pos="2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PN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23" w:lineRule="exact"/>
        <w:rPr>
          <w:sz w:val="20"/>
          <w:szCs w:val="20"/>
          <w:color w:val="auto"/>
        </w:rPr>
      </w:pPr>
    </w:p>
    <w:p>
      <w:pPr>
        <w:ind w:right="520" w:firstLine="8"/>
        <w:spacing w:after="0" w:line="260"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Comprised of 6,924,244 shares of Class A Common Stock held by Deerfield Private Design Fund V, L.P., of which Deerfield Mgmt V,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tabs>
          <w:tab w:leader="none" w:pos="1160" w:val="left"/>
          <w:tab w:leader="none" w:pos="5460" w:val="left"/>
          <w:tab w:leader="none" w:pos="1032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81663L101</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5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56489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20" w:right="344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Partners,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26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Delaware</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5.</w:t>
            </w:r>
          </w:p>
        </w:tc>
        <w:tc>
          <w:tcPr>
            <w:tcW w:w="54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4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8"/>
                <w:szCs w:val="18"/>
                <w:color w:val="auto"/>
              </w:rPr>
              <w:t>6.</w:t>
            </w: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7,042,580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8"/>
                <w:szCs w:val="18"/>
                <w:color w:val="auto"/>
              </w:rPr>
              <w:t>7.</w:t>
            </w: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60" w:type="dxa"/>
            <w:vAlign w:val="bottom"/>
            <w:tcBorders>
              <w:right w:val="single" w:sz="8" w:color="auto"/>
            </w:tcBorders>
            <w:vMerge w:val="continue"/>
          </w:tcPr>
          <w:p>
            <w:pPr>
              <w:spacing w:after="0"/>
              <w:rPr>
                <w:sz w:val="12"/>
                <w:szCs w:val="12"/>
                <w:color w:val="auto"/>
              </w:rPr>
            </w:pPr>
          </w:p>
        </w:tc>
        <w:tc>
          <w:tcPr>
            <w:tcW w:w="54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260" w:type="dxa"/>
            <w:vAlign w:val="bottom"/>
            <w:tcBorders>
              <w:right w:val="single" w:sz="8" w:color="auto"/>
            </w:tcBorders>
          </w:tcPr>
          <w:p>
            <w:pPr>
              <w:spacing w:after="0"/>
              <w:rPr>
                <w:sz w:val="12"/>
                <w:szCs w:val="12"/>
                <w:color w:val="auto"/>
              </w:rPr>
            </w:pPr>
          </w:p>
        </w:tc>
        <w:tc>
          <w:tcPr>
            <w:tcW w:w="54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8.</w:t>
            </w:r>
          </w:p>
        </w:tc>
        <w:tc>
          <w:tcPr>
            <w:tcW w:w="544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7,042,580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7,042,580</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4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2.92%</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20" w:right="6320" w:hanging="1263"/>
        <w:spacing w:after="0" w:line="527" w:lineRule="auto"/>
        <w:tabs>
          <w:tab w:leader="none" w:pos="2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tabs>
          <w:tab w:leader="none" w:pos="1160" w:val="left"/>
          <w:tab w:leader="none" w:pos="5460" w:val="left"/>
          <w:tab w:leader="none" w:pos="1032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81663L101</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6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56489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20" w:right="344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Private Design Fund V,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26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Delaware</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5.</w:t>
            </w:r>
          </w:p>
        </w:tc>
        <w:tc>
          <w:tcPr>
            <w:tcW w:w="54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4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8"/>
                <w:szCs w:val="18"/>
                <w:color w:val="auto"/>
              </w:rPr>
              <w:t>6.</w:t>
            </w: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6,924,244</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8"/>
                <w:szCs w:val="18"/>
                <w:color w:val="auto"/>
              </w:rPr>
              <w:t>7.</w:t>
            </w: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60" w:type="dxa"/>
            <w:vAlign w:val="bottom"/>
            <w:tcBorders>
              <w:right w:val="single" w:sz="8" w:color="auto"/>
            </w:tcBorders>
            <w:vMerge w:val="continue"/>
          </w:tcPr>
          <w:p>
            <w:pPr>
              <w:spacing w:after="0"/>
              <w:rPr>
                <w:sz w:val="12"/>
                <w:szCs w:val="12"/>
                <w:color w:val="auto"/>
              </w:rPr>
            </w:pPr>
          </w:p>
        </w:tc>
        <w:tc>
          <w:tcPr>
            <w:tcW w:w="54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260" w:type="dxa"/>
            <w:vAlign w:val="bottom"/>
            <w:tcBorders>
              <w:right w:val="single" w:sz="8" w:color="auto"/>
            </w:tcBorders>
          </w:tcPr>
          <w:p>
            <w:pPr>
              <w:spacing w:after="0"/>
              <w:rPr>
                <w:sz w:val="12"/>
                <w:szCs w:val="12"/>
                <w:color w:val="auto"/>
              </w:rPr>
            </w:pPr>
          </w:p>
        </w:tc>
        <w:tc>
          <w:tcPr>
            <w:tcW w:w="54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8.</w:t>
            </w:r>
          </w:p>
        </w:tc>
        <w:tc>
          <w:tcPr>
            <w:tcW w:w="544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6,924,244</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6,924,244</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4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2.87%</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20" w:right="6320" w:hanging="1263"/>
        <w:spacing w:after="0" w:line="527" w:lineRule="auto"/>
        <w:tabs>
          <w:tab w:leader="none" w:pos="2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tabs>
          <w:tab w:leader="none" w:pos="1160" w:val="left"/>
          <w:tab w:leader="none" w:pos="5460" w:val="left"/>
          <w:tab w:leader="none" w:pos="1032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81663L101</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7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56489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20" w:right="344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James E. Flynn</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26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5.</w:t>
            </w:r>
          </w:p>
        </w:tc>
        <w:tc>
          <w:tcPr>
            <w:tcW w:w="54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4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8"/>
                <w:szCs w:val="18"/>
                <w:color w:val="auto"/>
              </w:rPr>
              <w:t>6.</w:t>
            </w: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13,966,824 (4)</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8"/>
                <w:szCs w:val="18"/>
                <w:color w:val="auto"/>
              </w:rPr>
              <w:t>7.</w:t>
            </w: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60" w:type="dxa"/>
            <w:vAlign w:val="bottom"/>
            <w:tcBorders>
              <w:right w:val="single" w:sz="8" w:color="auto"/>
            </w:tcBorders>
            <w:vMerge w:val="continue"/>
          </w:tcPr>
          <w:p>
            <w:pPr>
              <w:spacing w:after="0"/>
              <w:rPr>
                <w:sz w:val="12"/>
                <w:szCs w:val="12"/>
                <w:color w:val="auto"/>
              </w:rPr>
            </w:pPr>
          </w:p>
        </w:tc>
        <w:tc>
          <w:tcPr>
            <w:tcW w:w="54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260" w:type="dxa"/>
            <w:vAlign w:val="bottom"/>
            <w:tcBorders>
              <w:right w:val="single" w:sz="8" w:color="auto"/>
            </w:tcBorders>
          </w:tcPr>
          <w:p>
            <w:pPr>
              <w:spacing w:after="0"/>
              <w:rPr>
                <w:sz w:val="12"/>
                <w:szCs w:val="12"/>
                <w:color w:val="auto"/>
              </w:rPr>
            </w:pPr>
          </w:p>
        </w:tc>
        <w:tc>
          <w:tcPr>
            <w:tcW w:w="54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8.</w:t>
            </w:r>
          </w:p>
        </w:tc>
        <w:tc>
          <w:tcPr>
            <w:tcW w:w="544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13,966,824 (4)</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13,966,824 (4)</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4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5.79%</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20" w:hanging="1263"/>
        <w:spacing w:after="0"/>
        <w:tabs>
          <w:tab w:leader="none" w:pos="2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IN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(4) Comprised of an aggregate of 13,966,824 shares of common stock held by Deerfield Partners, L.P. and Deerfield Private Design Fund 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CUSIP No.</w:t>
            </w:r>
          </w:p>
        </w:tc>
        <w:tc>
          <w:tcPr>
            <w:tcW w:w="4460" w:type="dxa"/>
            <w:vAlign w:val="bottom"/>
          </w:tcPr>
          <w:p>
            <w:pPr>
              <w:ind w:left="260"/>
              <w:spacing w:after="0"/>
              <w:rPr>
                <w:sz w:val="20"/>
                <w:szCs w:val="20"/>
                <w:color w:val="auto"/>
              </w:rPr>
            </w:pPr>
            <w:r>
              <w:rPr>
                <w:rFonts w:ascii="Arial" w:cs="Arial" w:eastAsia="Arial" w:hAnsi="Arial"/>
                <w:sz w:val="18"/>
                <w:szCs w:val="18"/>
                <w:color w:val="auto"/>
              </w:rPr>
              <w:t>81663L101</w:t>
            </w:r>
          </w:p>
        </w:tc>
        <w:tc>
          <w:tcPr>
            <w:tcW w:w="4220" w:type="dxa"/>
            <w:vAlign w:val="bottom"/>
          </w:tcPr>
          <w:p>
            <w:pPr>
              <w:ind w:left="100"/>
              <w:spacing w:after="0"/>
              <w:rPr>
                <w:sz w:val="20"/>
                <w:szCs w:val="20"/>
                <w:color w:val="auto"/>
              </w:rPr>
            </w:pPr>
            <w:r>
              <w:rPr>
                <w:rFonts w:ascii="Arial" w:cs="Arial" w:eastAsia="Arial" w:hAnsi="Arial"/>
                <w:sz w:val="18"/>
                <w:szCs w:val="18"/>
                <w:color w:val="auto"/>
              </w:rPr>
              <w:t>13G</w:t>
            </w:r>
          </w:p>
        </w:tc>
        <w:tc>
          <w:tcPr>
            <w:tcW w:w="1640" w:type="dxa"/>
            <w:vAlign w:val="bottom"/>
          </w:tcPr>
          <w:p>
            <w:pPr>
              <w:ind w:left="740"/>
              <w:spacing w:after="0"/>
              <w:rPr>
                <w:sz w:val="20"/>
                <w:szCs w:val="20"/>
                <w:color w:val="auto"/>
              </w:rPr>
            </w:pPr>
            <w:r>
              <w:rPr>
                <w:rFonts w:ascii="Arial" w:cs="Arial" w:eastAsia="Arial" w:hAnsi="Arial"/>
                <w:sz w:val="18"/>
                <w:szCs w:val="18"/>
                <w:color w:val="auto"/>
                <w:w w:val="86"/>
              </w:rPr>
              <w:t>Page 8 of 11</w:t>
            </w:r>
          </w:p>
        </w:tc>
      </w:tr>
      <w:tr>
        <w:trPr>
          <w:trHeight w:val="459"/>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4460" w:type="dxa"/>
            <w:vAlign w:val="bottom"/>
          </w:tcPr>
          <w:p>
            <w:pPr>
              <w:spacing w:after="0"/>
              <w:rPr>
                <w:sz w:val="20"/>
                <w:szCs w:val="20"/>
                <w:color w:val="auto"/>
              </w:rPr>
            </w:pPr>
            <w:r>
              <w:rPr>
                <w:rFonts w:ascii="Arial" w:cs="Arial" w:eastAsia="Arial" w:hAnsi="Arial"/>
                <w:sz w:val="18"/>
                <w:szCs w:val="18"/>
                <w:color w:val="auto"/>
              </w:rPr>
              <w:t>Name of Issuer:</w:t>
            </w:r>
          </w:p>
        </w:tc>
        <w:tc>
          <w:tcPr>
            <w:tcW w:w="4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Sema4 Holding Corp.</w:t>
            </w:r>
          </w:p>
        </w:tc>
        <w:tc>
          <w:tcPr>
            <w:tcW w:w="4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1(b).</w:t>
            </w:r>
          </w:p>
        </w:tc>
        <w:tc>
          <w:tcPr>
            <w:tcW w:w="4460" w:type="dxa"/>
            <w:vAlign w:val="bottom"/>
          </w:tcPr>
          <w:p>
            <w:pPr>
              <w:spacing w:after="0"/>
              <w:rPr>
                <w:sz w:val="20"/>
                <w:szCs w:val="20"/>
                <w:color w:val="auto"/>
              </w:rPr>
            </w:pPr>
            <w:r>
              <w:rPr>
                <w:rFonts w:ascii="Arial" w:cs="Arial" w:eastAsia="Arial" w:hAnsi="Arial"/>
                <w:sz w:val="18"/>
                <w:szCs w:val="18"/>
                <w:color w:val="auto"/>
              </w:rPr>
              <w:t>Address of Issuer's Principal Executive Offices:</w:t>
            </w:r>
          </w:p>
        </w:tc>
        <w:tc>
          <w:tcPr>
            <w:tcW w:w="4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18"/>
        </w:trPr>
        <w:tc>
          <w:tcPr>
            <w:tcW w:w="92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333 Ludlow Street, North Tower, 8th Floor</w:t>
            </w:r>
          </w:p>
        </w:tc>
        <w:tc>
          <w:tcPr>
            <w:tcW w:w="4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37"/>
        </w:trPr>
        <w:tc>
          <w:tcPr>
            <w:tcW w:w="920" w:type="dxa"/>
            <w:vAlign w:val="bottom"/>
          </w:tcPr>
          <w:p>
            <w:pPr>
              <w:spacing w:after="0"/>
              <w:rPr>
                <w:sz w:val="20"/>
                <w:szCs w:val="20"/>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Stamford, Connecticut 06902</w:t>
            </w:r>
          </w:p>
        </w:tc>
        <w:tc>
          <w:tcPr>
            <w:tcW w:w="4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2(a).</w:t>
            </w:r>
          </w:p>
        </w:tc>
        <w:tc>
          <w:tcPr>
            <w:tcW w:w="4460" w:type="dxa"/>
            <w:vAlign w:val="bottom"/>
          </w:tcPr>
          <w:p>
            <w:pPr>
              <w:spacing w:after="0"/>
              <w:rPr>
                <w:sz w:val="20"/>
                <w:szCs w:val="20"/>
                <w:color w:val="auto"/>
              </w:rPr>
            </w:pPr>
            <w:r>
              <w:rPr>
                <w:rFonts w:ascii="Arial" w:cs="Arial" w:eastAsia="Arial" w:hAnsi="Arial"/>
                <w:sz w:val="18"/>
                <w:szCs w:val="18"/>
                <w:color w:val="auto"/>
              </w:rPr>
              <w:t>Name of Person Filing:</w:t>
            </w:r>
          </w:p>
        </w:tc>
        <w:tc>
          <w:tcPr>
            <w:tcW w:w="4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18"/>
        </w:trPr>
        <w:tc>
          <w:tcPr>
            <w:tcW w:w="92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w w:val="92"/>
              </w:rPr>
              <w:t>James E. Flynn, Deerfield Mgmt, L.P., Deerfield Mgmt V, L.P., Deerfield Management Company, L.P., Deerfield Partners, L.P. and Deerfield</w:t>
            </w:r>
          </w:p>
        </w:tc>
      </w:tr>
      <w:tr>
        <w:trPr>
          <w:trHeight w:val="237"/>
        </w:trPr>
        <w:tc>
          <w:tcPr>
            <w:tcW w:w="920" w:type="dxa"/>
            <w:vAlign w:val="bottom"/>
          </w:tcPr>
          <w:p>
            <w:pPr>
              <w:spacing w:after="0"/>
              <w:rPr>
                <w:sz w:val="20"/>
                <w:szCs w:val="20"/>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Private Design Fund V, L.P.</w:t>
            </w:r>
          </w:p>
        </w:tc>
        <w:tc>
          <w:tcPr>
            <w:tcW w:w="4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2(b).</w:t>
            </w:r>
          </w:p>
        </w:tc>
        <w:tc>
          <w:tcPr>
            <w:tcW w:w="4460" w:type="dxa"/>
            <w:vAlign w:val="bottom"/>
          </w:tcPr>
          <w:p>
            <w:pPr>
              <w:spacing w:after="0"/>
              <w:rPr>
                <w:sz w:val="20"/>
                <w:szCs w:val="20"/>
                <w:color w:val="auto"/>
              </w:rPr>
            </w:pPr>
            <w:r>
              <w:rPr>
                <w:rFonts w:ascii="Arial" w:cs="Arial" w:eastAsia="Arial" w:hAnsi="Arial"/>
                <w:sz w:val="18"/>
                <w:szCs w:val="18"/>
                <w:color w:val="auto"/>
                <w:w w:val="92"/>
              </w:rPr>
              <w:t>Address of Principal Business Office, or if None, Residence:</w:t>
            </w:r>
          </w:p>
        </w:tc>
        <w:tc>
          <w:tcPr>
            <w:tcW w:w="4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18"/>
        </w:trPr>
        <w:tc>
          <w:tcPr>
            <w:tcW w:w="92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w w:val="92"/>
              </w:rPr>
              <w:t>James E. Flynn, Deerfield Mgmt, L.P., Deerfield Mgmt V, L.P., Deerfield Management Company, L.P., Deerfield Partners, L.P. and Deerfield</w:t>
            </w:r>
          </w:p>
        </w:tc>
      </w:tr>
      <w:tr>
        <w:trPr>
          <w:trHeight w:val="237"/>
        </w:trPr>
        <w:tc>
          <w:tcPr>
            <w:tcW w:w="920" w:type="dxa"/>
            <w:vAlign w:val="bottom"/>
          </w:tcPr>
          <w:p>
            <w:pPr>
              <w:spacing w:after="0"/>
              <w:rPr>
                <w:sz w:val="20"/>
                <w:szCs w:val="20"/>
                <w:color w:val="auto"/>
              </w:rPr>
            </w:pPr>
          </w:p>
        </w:tc>
        <w:tc>
          <w:tcPr>
            <w:tcW w:w="8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Private Design Fund V, L.P., 345 Park Avenue South, 12th Floor, New York, NY 10010</w:t>
            </w:r>
          </w:p>
        </w:tc>
        <w:tc>
          <w:tcPr>
            <w:tcW w:w="1640" w:type="dxa"/>
            <w:vAlign w:val="bottom"/>
            <w:tcBorders>
              <w:bottom w:val="single" w:sz="8" w:color="auto"/>
            </w:tcBorders>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2(c).</w:t>
            </w:r>
          </w:p>
        </w:tc>
        <w:tc>
          <w:tcPr>
            <w:tcW w:w="4460" w:type="dxa"/>
            <w:vAlign w:val="bottom"/>
          </w:tcPr>
          <w:p>
            <w:pPr>
              <w:spacing w:after="0"/>
              <w:rPr>
                <w:sz w:val="20"/>
                <w:szCs w:val="20"/>
                <w:color w:val="auto"/>
              </w:rPr>
            </w:pPr>
            <w:r>
              <w:rPr>
                <w:rFonts w:ascii="Arial" w:cs="Arial" w:eastAsia="Arial" w:hAnsi="Arial"/>
                <w:sz w:val="18"/>
                <w:szCs w:val="18"/>
                <w:color w:val="auto"/>
              </w:rPr>
              <w:t>Citizenship:</w:t>
            </w:r>
          </w:p>
        </w:tc>
        <w:tc>
          <w:tcPr>
            <w:tcW w:w="4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18"/>
        </w:trPr>
        <w:tc>
          <w:tcPr>
            <w:tcW w:w="92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w w:val="93"/>
              </w:rPr>
              <w:t>Deerfield Mgmt, L.P., Deerfield Mgmt V, L.P., Deerfield Management Company, L.P., Deerfield Partners, L.P. and Deerfield Private Design</w:t>
            </w:r>
          </w:p>
        </w:tc>
      </w:tr>
      <w:tr>
        <w:trPr>
          <w:trHeight w:val="230"/>
        </w:trPr>
        <w:tc>
          <w:tcPr>
            <w:tcW w:w="92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Fund V, L.P. - Delaware limited partnerships;</w:t>
            </w:r>
          </w:p>
        </w:tc>
        <w:tc>
          <w:tcPr>
            <w:tcW w:w="42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39"/>
        </w:trPr>
        <w:tc>
          <w:tcPr>
            <w:tcW w:w="92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E. Flynn – United States citizen</w:t>
            </w:r>
          </w:p>
        </w:tc>
        <w:tc>
          <w:tcPr>
            <w:tcW w:w="4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2(d).</w:t>
            </w:r>
          </w:p>
        </w:tc>
        <w:tc>
          <w:tcPr>
            <w:tcW w:w="4460" w:type="dxa"/>
            <w:vAlign w:val="bottom"/>
          </w:tcPr>
          <w:p>
            <w:pPr>
              <w:spacing w:after="0"/>
              <w:rPr>
                <w:sz w:val="20"/>
                <w:szCs w:val="20"/>
                <w:color w:val="auto"/>
              </w:rPr>
            </w:pPr>
            <w:r>
              <w:rPr>
                <w:rFonts w:ascii="Arial" w:cs="Arial" w:eastAsia="Arial" w:hAnsi="Arial"/>
                <w:sz w:val="18"/>
                <w:szCs w:val="18"/>
                <w:color w:val="auto"/>
              </w:rPr>
              <w:t>Title of Class of Securities:</w:t>
            </w:r>
          </w:p>
        </w:tc>
        <w:tc>
          <w:tcPr>
            <w:tcW w:w="4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Class A Common Stock</w:t>
            </w:r>
          </w:p>
        </w:tc>
        <w:tc>
          <w:tcPr>
            <w:tcW w:w="4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2(e).</w:t>
            </w:r>
          </w:p>
        </w:tc>
        <w:tc>
          <w:tcPr>
            <w:tcW w:w="4460" w:type="dxa"/>
            <w:vAlign w:val="bottom"/>
          </w:tcPr>
          <w:p>
            <w:pPr>
              <w:spacing w:after="0"/>
              <w:rPr>
                <w:sz w:val="20"/>
                <w:szCs w:val="20"/>
                <w:color w:val="auto"/>
              </w:rPr>
            </w:pPr>
            <w:r>
              <w:rPr>
                <w:rFonts w:ascii="Arial" w:cs="Arial" w:eastAsia="Arial" w:hAnsi="Arial"/>
                <w:sz w:val="18"/>
                <w:szCs w:val="18"/>
                <w:color w:val="auto"/>
              </w:rPr>
              <w:t>CUSIP Number:</w:t>
            </w:r>
          </w:p>
        </w:tc>
        <w:tc>
          <w:tcPr>
            <w:tcW w:w="4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81663L101</w:t>
            </w:r>
          </w:p>
        </w:tc>
        <w:tc>
          <w:tcPr>
            <w:tcW w:w="4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8680" w:type="dxa"/>
            <w:vAlign w:val="bottom"/>
            <w:gridSpan w:val="2"/>
          </w:tcPr>
          <w:p>
            <w:pPr>
              <w:spacing w:after="0"/>
              <w:rPr>
                <w:sz w:val="20"/>
                <w:szCs w:val="20"/>
                <w:color w:val="auto"/>
              </w:rPr>
            </w:pPr>
            <w:r>
              <w:rPr>
                <w:rFonts w:ascii="Arial" w:cs="Arial" w:eastAsia="Arial" w:hAnsi="Arial"/>
                <w:sz w:val="18"/>
                <w:szCs w:val="18"/>
                <w:color w:val="auto"/>
                <w:w w:val="99"/>
              </w:rPr>
              <w:t>If This Statement is Filed Pursuant to Rule 13d-1(b), or 13d-2(b) or (c), Check Whether the Person Filing is a:</w:t>
            </w:r>
          </w:p>
        </w:tc>
        <w:tc>
          <w:tcPr>
            <w:tcW w:w="1640" w:type="dxa"/>
            <w:vAlign w:val="bottom"/>
          </w:tcPr>
          <w:p>
            <w:pPr>
              <w:spacing w:after="0"/>
              <w:rPr>
                <w:sz w:val="24"/>
                <w:szCs w:val="24"/>
                <w:color w:val="auto"/>
              </w:rPr>
            </w:pPr>
          </w:p>
        </w:tc>
      </w:tr>
    </w:tbl>
    <w:p>
      <w:pPr>
        <w:spacing w:after="0" w:line="169" w:lineRule="exact"/>
        <w:rPr>
          <w:sz w:val="20"/>
          <w:szCs w:val="20"/>
          <w:color w:val="auto"/>
        </w:rPr>
      </w:pPr>
    </w:p>
    <w:p>
      <w:pPr>
        <w:ind w:left="1060" w:hanging="656"/>
        <w:spacing w:after="0" w:line="207" w:lineRule="exact"/>
        <w:tabs>
          <w:tab w:leader="none" w:pos="1060" w:val="left"/>
        </w:tabs>
        <w:numPr>
          <w:ilvl w:val="0"/>
          <w:numId w:val="1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225" w:lineRule="exact"/>
        <w:rPr>
          <w:rFonts w:ascii="Arial" w:cs="Arial" w:eastAsia="Arial" w:hAnsi="Arial"/>
          <w:sz w:val="18"/>
          <w:szCs w:val="18"/>
          <w:color w:val="auto"/>
        </w:rPr>
      </w:pPr>
    </w:p>
    <w:p>
      <w:pPr>
        <w:ind w:left="1060" w:hanging="656"/>
        <w:spacing w:after="0" w:line="207" w:lineRule="exact"/>
        <w:tabs>
          <w:tab w:leader="none" w:pos="1060" w:val="left"/>
        </w:tabs>
        <w:numPr>
          <w:ilvl w:val="0"/>
          <w:numId w:val="1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225" w:lineRule="exact"/>
        <w:rPr>
          <w:rFonts w:ascii="Arial" w:cs="Arial" w:eastAsia="Arial" w:hAnsi="Arial"/>
          <w:sz w:val="18"/>
          <w:szCs w:val="18"/>
          <w:color w:val="auto"/>
        </w:rPr>
      </w:pPr>
    </w:p>
    <w:p>
      <w:pPr>
        <w:ind w:left="1060" w:hanging="656"/>
        <w:spacing w:after="0" w:line="207" w:lineRule="exact"/>
        <w:tabs>
          <w:tab w:leader="none" w:pos="1060" w:val="left"/>
        </w:tabs>
        <w:numPr>
          <w:ilvl w:val="0"/>
          <w:numId w:val="1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225" w:lineRule="exact"/>
        <w:rPr>
          <w:rFonts w:ascii="Arial" w:cs="Arial" w:eastAsia="Arial" w:hAnsi="Arial"/>
          <w:sz w:val="18"/>
          <w:szCs w:val="18"/>
          <w:color w:val="auto"/>
        </w:rPr>
      </w:pPr>
    </w:p>
    <w:p>
      <w:pPr>
        <w:ind w:left="1060" w:hanging="656"/>
        <w:spacing w:after="0" w:line="207" w:lineRule="exact"/>
        <w:tabs>
          <w:tab w:leader="none" w:pos="1060" w:val="left"/>
        </w:tabs>
        <w:numPr>
          <w:ilvl w:val="0"/>
          <w:numId w:val="1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w:t>
      </w:r>
    </w:p>
    <w:p>
      <w:pPr>
        <w:spacing w:after="0" w:line="225" w:lineRule="exact"/>
        <w:rPr>
          <w:rFonts w:ascii="Arial" w:cs="Arial" w:eastAsia="Arial" w:hAnsi="Arial"/>
          <w:sz w:val="18"/>
          <w:szCs w:val="18"/>
          <w:color w:val="auto"/>
        </w:rPr>
      </w:pPr>
    </w:p>
    <w:p>
      <w:pPr>
        <w:ind w:left="1060" w:hanging="656"/>
        <w:spacing w:after="0" w:line="207" w:lineRule="exact"/>
        <w:tabs>
          <w:tab w:leader="none" w:pos="1060" w:val="left"/>
        </w:tabs>
        <w:numPr>
          <w:ilvl w:val="0"/>
          <w:numId w:val="1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225" w:lineRule="exact"/>
        <w:rPr>
          <w:rFonts w:ascii="Arial" w:cs="Arial" w:eastAsia="Arial" w:hAnsi="Arial"/>
          <w:sz w:val="18"/>
          <w:szCs w:val="18"/>
          <w:color w:val="auto"/>
        </w:rPr>
      </w:pPr>
    </w:p>
    <w:p>
      <w:pPr>
        <w:ind w:left="1060" w:hanging="656"/>
        <w:spacing w:after="0" w:line="207" w:lineRule="exact"/>
        <w:tabs>
          <w:tab w:leader="none" w:pos="1060" w:val="left"/>
        </w:tabs>
        <w:numPr>
          <w:ilvl w:val="0"/>
          <w:numId w:val="1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225" w:lineRule="exact"/>
        <w:rPr>
          <w:rFonts w:ascii="Arial" w:cs="Arial" w:eastAsia="Arial" w:hAnsi="Arial"/>
          <w:sz w:val="18"/>
          <w:szCs w:val="18"/>
          <w:color w:val="auto"/>
        </w:rPr>
      </w:pPr>
    </w:p>
    <w:p>
      <w:pPr>
        <w:ind w:left="1060" w:hanging="656"/>
        <w:spacing w:after="0" w:line="207" w:lineRule="exact"/>
        <w:tabs>
          <w:tab w:leader="none" w:pos="1060" w:val="left"/>
        </w:tabs>
        <w:numPr>
          <w:ilvl w:val="0"/>
          <w:numId w:val="1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225" w:lineRule="exact"/>
        <w:rPr>
          <w:rFonts w:ascii="Arial" w:cs="Arial" w:eastAsia="Arial" w:hAnsi="Arial"/>
          <w:sz w:val="18"/>
          <w:szCs w:val="18"/>
          <w:color w:val="auto"/>
        </w:rPr>
      </w:pPr>
    </w:p>
    <w:p>
      <w:pPr>
        <w:ind w:left="1060" w:hanging="656"/>
        <w:spacing w:after="0" w:line="207" w:lineRule="exact"/>
        <w:tabs>
          <w:tab w:leader="none" w:pos="1060" w:val="left"/>
        </w:tabs>
        <w:numPr>
          <w:ilvl w:val="0"/>
          <w:numId w:val="1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tabs>
          <w:tab w:leader="none" w:pos="1160" w:val="left"/>
          <w:tab w:leader="none" w:pos="5460" w:val="left"/>
          <w:tab w:leader="none" w:pos="1032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81663L101</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9 of 11</w:t>
      </w:r>
    </w:p>
    <w:p>
      <w:pPr>
        <w:spacing w:after="0" w:line="200" w:lineRule="exact"/>
        <w:rPr>
          <w:sz w:val="20"/>
          <w:szCs w:val="20"/>
          <w:color w:val="auto"/>
        </w:rPr>
      </w:pPr>
    </w:p>
    <w:p>
      <w:pPr>
        <w:spacing w:after="0" w:line="235" w:lineRule="exact"/>
        <w:rPr>
          <w:sz w:val="20"/>
          <w:szCs w:val="20"/>
          <w:color w:val="auto"/>
        </w:rPr>
      </w:pPr>
    </w:p>
    <w:p>
      <w:pPr>
        <w:ind w:left="1060" w:hanging="656"/>
        <w:spacing w:after="0" w:line="196" w:lineRule="exact"/>
        <w:tabs>
          <w:tab w:leader="none" w:pos="1060" w:val="left"/>
        </w:tabs>
        <w:numPr>
          <w:ilvl w:val="0"/>
          <w:numId w:val="20"/>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 church plan that is excluded from the definition of an investment company under Section 3(c)(14) of the Investment Company Act;</w:t>
      </w:r>
    </w:p>
    <w:p>
      <w:pPr>
        <w:spacing w:after="0" w:line="236" w:lineRule="exact"/>
        <w:rPr>
          <w:rFonts w:ascii="Arial" w:cs="Arial" w:eastAsia="Arial" w:hAnsi="Arial"/>
          <w:sz w:val="17"/>
          <w:szCs w:val="17"/>
          <w:color w:val="auto"/>
        </w:rPr>
      </w:pPr>
    </w:p>
    <w:p>
      <w:pPr>
        <w:ind w:left="1060" w:hanging="656"/>
        <w:spacing w:after="0" w:line="207" w:lineRule="exact"/>
        <w:tabs>
          <w:tab w:leader="none" w:pos="106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13d-1(b)(1)(ii)(J);</w:t>
      </w:r>
    </w:p>
    <w:p>
      <w:pPr>
        <w:spacing w:after="0" w:line="225" w:lineRule="exact"/>
        <w:rPr>
          <w:rFonts w:ascii="Arial" w:cs="Arial" w:eastAsia="Arial" w:hAnsi="Arial"/>
          <w:sz w:val="18"/>
          <w:szCs w:val="18"/>
          <w:color w:val="auto"/>
        </w:rPr>
      </w:pPr>
    </w:p>
    <w:p>
      <w:pPr>
        <w:ind w:left="1060" w:hanging="656"/>
        <w:spacing w:after="0" w:line="207" w:lineRule="exact"/>
        <w:tabs>
          <w:tab w:leader="none" w:pos="106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13d-1(b)(1)(ii)(K).</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filing as a non-U.S. institution in accordance with Rule 13d-1(b)(1)(ii)(J), please specify the type of institution: _________________</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920" w:hanging="516"/>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920" w:right="7240"/>
        <w:spacing w:after="0" w:line="291" w:lineRule="auto"/>
        <w:rPr>
          <w:rFonts w:ascii="Arial" w:cs="Arial" w:eastAsia="Arial" w:hAnsi="Arial"/>
          <w:sz w:val="18"/>
          <w:szCs w:val="18"/>
          <w:color w:val="auto"/>
        </w:rPr>
      </w:pPr>
      <w:r>
        <w:rPr>
          <w:rFonts w:ascii="Arial" w:cs="Arial" w:eastAsia="Arial" w:hAnsi="Arial"/>
          <w:sz w:val="16"/>
          <w:szCs w:val="16"/>
          <w:color w:val="auto"/>
        </w:rPr>
        <w:t>Deerfield Mgmt, L.P. - 7,042,580 shares Deerfield Mgmt V, L.P. – 6,924,244 shares</w:t>
      </w:r>
    </w:p>
    <w:p>
      <w:pPr>
        <w:ind w:left="920" w:right="6100"/>
        <w:spacing w:after="0" w:line="250" w:lineRule="auto"/>
        <w:rPr>
          <w:rFonts w:ascii="Arial" w:cs="Arial" w:eastAsia="Arial" w:hAnsi="Arial"/>
          <w:sz w:val="18"/>
          <w:szCs w:val="18"/>
          <w:color w:val="auto"/>
        </w:rPr>
      </w:pPr>
      <w:r>
        <w:rPr>
          <w:rFonts w:ascii="Arial" w:cs="Arial" w:eastAsia="Arial" w:hAnsi="Arial"/>
          <w:sz w:val="18"/>
          <w:szCs w:val="18"/>
          <w:color w:val="auto"/>
        </w:rPr>
        <w:t>Deerfield Management Company, L.P. - 13,966,824 shares Deerfield Partners, L.P. - 7,042,580 shares</w:t>
      </w:r>
    </w:p>
    <w:p>
      <w:pPr>
        <w:ind w:left="920" w:right="6200"/>
        <w:spacing w:after="0" w:line="260" w:lineRule="auto"/>
        <w:rPr>
          <w:rFonts w:ascii="Arial" w:cs="Arial" w:eastAsia="Arial" w:hAnsi="Arial"/>
          <w:sz w:val="18"/>
          <w:szCs w:val="18"/>
          <w:color w:val="auto"/>
        </w:rPr>
      </w:pPr>
      <w:r>
        <w:rPr>
          <w:rFonts w:ascii="Arial" w:cs="Arial" w:eastAsia="Arial" w:hAnsi="Arial"/>
          <w:sz w:val="18"/>
          <w:szCs w:val="18"/>
          <w:color w:val="auto"/>
        </w:rPr>
        <w:t>Deerfield Private Design Fund V, L.P. – 6,924,244 shares James E. Flynn – 13,966,824 shares</w:t>
      </w:r>
    </w:p>
    <w:p>
      <w:pPr>
        <w:spacing w:after="0" w:line="212" w:lineRule="exact"/>
        <w:rPr>
          <w:rFonts w:ascii="Arial" w:cs="Arial" w:eastAsia="Arial" w:hAnsi="Arial"/>
          <w:sz w:val="18"/>
          <w:szCs w:val="18"/>
          <w:color w:val="auto"/>
        </w:rPr>
      </w:pPr>
    </w:p>
    <w:p>
      <w:pPr>
        <w:ind w:left="920" w:hanging="516"/>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920" w:right="8000"/>
        <w:spacing w:after="0" w:line="291" w:lineRule="auto"/>
        <w:rPr>
          <w:rFonts w:ascii="Arial" w:cs="Arial" w:eastAsia="Arial" w:hAnsi="Arial"/>
          <w:sz w:val="18"/>
          <w:szCs w:val="18"/>
          <w:color w:val="auto"/>
        </w:rPr>
      </w:pPr>
      <w:r>
        <w:rPr>
          <w:rFonts w:ascii="Arial" w:cs="Arial" w:eastAsia="Arial" w:hAnsi="Arial"/>
          <w:sz w:val="16"/>
          <w:szCs w:val="16"/>
          <w:color w:val="auto"/>
        </w:rPr>
        <w:t>Deerfield Mgmt, L.P. – 2.92% Deerfield Mgmt V, L.P. – 2.87%</w:t>
      </w:r>
    </w:p>
    <w:p>
      <w:pPr>
        <w:ind w:left="920" w:right="6920"/>
        <w:spacing w:after="0" w:line="250" w:lineRule="auto"/>
        <w:rPr>
          <w:rFonts w:ascii="Arial" w:cs="Arial" w:eastAsia="Arial" w:hAnsi="Arial"/>
          <w:sz w:val="18"/>
          <w:szCs w:val="18"/>
          <w:color w:val="auto"/>
        </w:rPr>
      </w:pPr>
      <w:r>
        <w:rPr>
          <w:rFonts w:ascii="Arial" w:cs="Arial" w:eastAsia="Arial" w:hAnsi="Arial"/>
          <w:sz w:val="18"/>
          <w:szCs w:val="18"/>
          <w:color w:val="auto"/>
        </w:rPr>
        <w:t>Deerfield Management Company, L.P. – 5.79% Deerfield Partners, L.P. - 2.92%</w:t>
      </w:r>
    </w:p>
    <w:p>
      <w:pPr>
        <w:ind w:left="920" w:right="6960"/>
        <w:spacing w:after="0" w:line="260" w:lineRule="auto"/>
        <w:rPr>
          <w:rFonts w:ascii="Arial" w:cs="Arial" w:eastAsia="Arial" w:hAnsi="Arial"/>
          <w:sz w:val="18"/>
          <w:szCs w:val="18"/>
          <w:color w:val="auto"/>
        </w:rPr>
      </w:pPr>
      <w:r>
        <w:rPr>
          <w:rFonts w:ascii="Arial" w:cs="Arial" w:eastAsia="Arial" w:hAnsi="Arial"/>
          <w:sz w:val="18"/>
          <w:szCs w:val="18"/>
          <w:color w:val="auto"/>
        </w:rPr>
        <w:t>Deerfield Private Design Fund V, L.P. – 2.87% James E. Flynn – 5.79%</w:t>
      </w:r>
    </w:p>
    <w:p>
      <w:pPr>
        <w:spacing w:after="0" w:line="212" w:lineRule="exact"/>
        <w:rPr>
          <w:rFonts w:ascii="Arial" w:cs="Arial" w:eastAsia="Arial" w:hAnsi="Arial"/>
          <w:sz w:val="18"/>
          <w:szCs w:val="18"/>
          <w:color w:val="auto"/>
        </w:rPr>
      </w:pPr>
    </w:p>
    <w:p>
      <w:pPr>
        <w:ind w:left="920" w:hanging="516"/>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-276225</wp:posOffset>
            </wp:positionV>
            <wp:extent cx="655764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57645" cy="1714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-1527810</wp:posOffset>
            </wp:positionV>
            <wp:extent cx="655764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05" w:lineRule="exact"/>
        <w:rPr>
          <w:sz w:val="20"/>
          <w:szCs w:val="20"/>
          <w:color w:val="auto"/>
        </w:rPr>
      </w:pPr>
    </w:p>
    <w:tbl>
      <w:tblPr>
        <w:tblLayout w:type="fixed"/>
        <w:tblInd w:w="920" w:type="dxa"/>
        <w:tblCellMar>
          <w:top w:w="0" w:type="dxa"/>
          <w:left w:w="0" w:type="dxa"/>
          <w:bottom w:w="0" w:type="dxa"/>
          <w:right w:w="0" w:type="dxa"/>
        </w:tblCellMar>
      </w:tblPr>
      <w:tr>
        <w:trPr>
          <w:trHeight w:val="237"/>
        </w:trPr>
        <w:tc>
          <w:tcPr>
            <w:tcW w:w="420" w:type="dxa"/>
            <w:vAlign w:val="bottom"/>
          </w:tcPr>
          <w:p>
            <w:pPr>
              <w:spacing w:after="0"/>
              <w:rPr>
                <w:sz w:val="20"/>
                <w:szCs w:val="20"/>
                <w:color w:val="auto"/>
              </w:rPr>
            </w:pPr>
            <w:r>
              <w:rPr>
                <w:rFonts w:ascii="Arial" w:cs="Arial" w:eastAsia="Arial" w:hAnsi="Arial"/>
                <w:sz w:val="18"/>
                <w:szCs w:val="18"/>
                <w:color w:val="auto"/>
              </w:rPr>
              <w:t>(i)</w:t>
            </w:r>
          </w:p>
        </w:tc>
        <w:tc>
          <w:tcPr>
            <w:tcW w:w="5180" w:type="dxa"/>
            <w:vAlign w:val="bottom"/>
          </w:tcPr>
          <w:p>
            <w:pPr>
              <w:ind w:left="140"/>
              <w:spacing w:after="0"/>
              <w:rPr>
                <w:sz w:val="20"/>
                <w:szCs w:val="20"/>
                <w:color w:val="auto"/>
              </w:rPr>
            </w:pPr>
            <w:r>
              <w:rPr>
                <w:rFonts w:ascii="Arial" w:cs="Arial" w:eastAsia="Arial" w:hAnsi="Arial"/>
                <w:sz w:val="18"/>
                <w:szCs w:val="18"/>
                <w:color w:val="auto"/>
              </w:rPr>
              <w:t>Sole power to vote or to direct the vote:</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 Reporting Persons - 0</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(ii)</w:t>
            </w:r>
          </w:p>
        </w:tc>
        <w:tc>
          <w:tcPr>
            <w:tcW w:w="5180" w:type="dxa"/>
            <w:vAlign w:val="bottom"/>
          </w:tcPr>
          <w:p>
            <w:pPr>
              <w:ind w:left="140"/>
              <w:spacing w:after="0"/>
              <w:rPr>
                <w:sz w:val="20"/>
                <w:szCs w:val="20"/>
                <w:color w:val="auto"/>
              </w:rPr>
            </w:pPr>
            <w:r>
              <w:rPr>
                <w:rFonts w:ascii="Arial" w:cs="Arial" w:eastAsia="Arial" w:hAnsi="Arial"/>
                <w:sz w:val="18"/>
                <w:szCs w:val="18"/>
                <w:color w:val="auto"/>
              </w:rPr>
              <w:t>Shared power to vote or to direct the vote:</w:t>
            </w:r>
          </w:p>
        </w:tc>
        <w:tc>
          <w:tcPr>
            <w:tcW w:w="4720" w:type="dxa"/>
            <w:vAlign w:val="bottom"/>
          </w:tcPr>
          <w:p>
            <w:pPr>
              <w:spacing w:after="0"/>
              <w:rPr>
                <w:sz w:val="20"/>
                <w:szCs w:val="20"/>
                <w:color w:val="auto"/>
              </w:rPr>
            </w:pPr>
            <w:r>
              <w:rPr>
                <w:rFonts w:ascii="Arial" w:cs="Arial" w:eastAsia="Arial" w:hAnsi="Arial"/>
                <w:sz w:val="18"/>
                <w:szCs w:val="18"/>
                <w:color w:val="auto"/>
              </w:rPr>
              <w:t>Deerfield Mgmt, L.P. - 7,042,580</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Deerfield Mgmt V, L.P. – 6,924,244</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Deerfield Management Company, L.P. - 13,966,824</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Deerfield Partners, L.P. - 7,042,580</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Deerfield Private Design Fund V, L.P. – 6,924,244</w:t>
            </w:r>
          </w:p>
        </w:tc>
      </w:tr>
      <w:tr>
        <w:trPr>
          <w:trHeight w:val="237"/>
        </w:trPr>
        <w:tc>
          <w:tcPr>
            <w:tcW w:w="4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E. Flynn – 13,966,824</w:t>
            </w:r>
          </w:p>
        </w:tc>
      </w:tr>
      <w:tr>
        <w:trPr>
          <w:trHeight w:val="439"/>
        </w:trPr>
        <w:tc>
          <w:tcPr>
            <w:tcW w:w="420" w:type="dxa"/>
            <w:vAlign w:val="bottom"/>
          </w:tcPr>
          <w:p>
            <w:pPr>
              <w:spacing w:after="0"/>
              <w:rPr>
                <w:sz w:val="20"/>
                <w:szCs w:val="20"/>
                <w:color w:val="auto"/>
              </w:rPr>
            </w:pPr>
            <w:r>
              <w:rPr>
                <w:rFonts w:ascii="Arial" w:cs="Arial" w:eastAsia="Arial" w:hAnsi="Arial"/>
                <w:sz w:val="18"/>
                <w:szCs w:val="18"/>
                <w:color w:val="auto"/>
              </w:rPr>
              <w:t>(iii)</w:t>
            </w:r>
          </w:p>
        </w:tc>
        <w:tc>
          <w:tcPr>
            <w:tcW w:w="5180" w:type="dxa"/>
            <w:vAlign w:val="bottom"/>
          </w:tcPr>
          <w:p>
            <w:pPr>
              <w:ind w:left="140"/>
              <w:spacing w:after="0"/>
              <w:rPr>
                <w:sz w:val="20"/>
                <w:szCs w:val="20"/>
                <w:color w:val="auto"/>
              </w:rPr>
            </w:pPr>
            <w:r>
              <w:rPr>
                <w:rFonts w:ascii="Arial" w:cs="Arial" w:eastAsia="Arial" w:hAnsi="Arial"/>
                <w:sz w:val="18"/>
                <w:szCs w:val="18"/>
                <w:color w:val="auto"/>
              </w:rPr>
              <w:t>Sole power to dispose or to direct the disposition of:</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 Reporting Persons - 0</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(iv)</w:t>
            </w:r>
          </w:p>
        </w:tc>
        <w:tc>
          <w:tcPr>
            <w:tcW w:w="5180" w:type="dxa"/>
            <w:vAlign w:val="bottom"/>
          </w:tcPr>
          <w:p>
            <w:pPr>
              <w:ind w:left="140"/>
              <w:spacing w:after="0"/>
              <w:rPr>
                <w:sz w:val="20"/>
                <w:szCs w:val="20"/>
                <w:color w:val="auto"/>
              </w:rPr>
            </w:pPr>
            <w:r>
              <w:rPr>
                <w:rFonts w:ascii="Arial" w:cs="Arial" w:eastAsia="Arial" w:hAnsi="Arial"/>
                <w:sz w:val="18"/>
                <w:szCs w:val="18"/>
                <w:color w:val="auto"/>
              </w:rPr>
              <w:t>Shared power to dispose or to direct the disposition of:</w:t>
            </w:r>
          </w:p>
        </w:tc>
        <w:tc>
          <w:tcPr>
            <w:tcW w:w="4720" w:type="dxa"/>
            <w:vAlign w:val="bottom"/>
          </w:tcPr>
          <w:p>
            <w:pPr>
              <w:spacing w:after="0"/>
              <w:rPr>
                <w:sz w:val="20"/>
                <w:szCs w:val="20"/>
                <w:color w:val="auto"/>
              </w:rPr>
            </w:pPr>
            <w:r>
              <w:rPr>
                <w:rFonts w:ascii="Arial" w:cs="Arial" w:eastAsia="Arial" w:hAnsi="Arial"/>
                <w:sz w:val="18"/>
                <w:szCs w:val="18"/>
                <w:color w:val="auto"/>
              </w:rPr>
              <w:t>Deerfield Mgmt, L.P. - 7,042,580</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Deerfield Mgmt V, L.P. – 6,924,244</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Deerfield Management Company, L.P. - 13,966,824</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Deerfield Partners, L.P. - 7,042,580</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Deerfield Private Design Fund V, L.P. – 6,924,244</w:t>
            </w:r>
          </w:p>
        </w:tc>
      </w:tr>
      <w:tr>
        <w:trPr>
          <w:trHeight w:val="237"/>
        </w:trPr>
        <w:tc>
          <w:tcPr>
            <w:tcW w:w="4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E. Flynn – 13,966,824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footnotes on cover pages which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tabs>
          <w:tab w:leader="none" w:pos="1160" w:val="left"/>
          <w:tab w:leader="none" w:pos="5460" w:val="left"/>
          <w:tab w:leader="none" w:pos="102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81663L101</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10 of 11</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right="200" w:firstLine="324"/>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262255</wp:posOffset>
            </wp:positionV>
            <wp:extent cx="655764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764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32" w:lineRule="exact"/>
        <w:rPr>
          <w:sz w:val="20"/>
          <w:szCs w:val="20"/>
          <w:color w:val="auto"/>
        </w:rPr>
      </w:pPr>
    </w:p>
    <w:p>
      <w:pPr>
        <w:ind w:left="920" w:right="40" w:hanging="903"/>
        <w:spacing w:after="0" w:line="277"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70"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764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ss.240.13d-1(c) or ss.240.13d-1(d), attach an exhibit stating the identity of each member of the group.</w:t>
      </w:r>
    </w:p>
    <w:p>
      <w:pPr>
        <w:spacing w:after="0" w:line="1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764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764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25" w:lineRule="exact"/>
        <w:rPr>
          <w:sz w:val="20"/>
          <w:szCs w:val="20"/>
          <w:color w:val="auto"/>
        </w:rPr>
      </w:pPr>
    </w:p>
    <w:p>
      <w:pPr>
        <w:jc w:val="both"/>
        <w:ind w:right="60" w:firstLine="648"/>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tabs>
          <w:tab w:leader="none" w:pos="1160" w:val="left"/>
          <w:tab w:leader="none" w:pos="5460" w:val="left"/>
          <w:tab w:leader="none" w:pos="102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81663L101</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11 of 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MANAGEMENT COMPANY,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Flynn Management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V,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PRIVATE DESIGN FUND 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V, L.P.,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V,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JAMES E. FLYNN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Jonathan Isler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jc w:val="center"/>
        <w:ind w:right="-25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A. Joint Filing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B. Item 8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C. Power of Attorney (1).</w:t>
      </w:r>
    </w:p>
    <w:p>
      <w:pPr>
        <w:spacing w:after="0" w:line="225" w:lineRule="exact"/>
        <w:rPr>
          <w:sz w:val="20"/>
          <w:szCs w:val="20"/>
          <w:color w:val="auto"/>
        </w:rPr>
      </w:pPr>
    </w:p>
    <w:p>
      <w:pPr>
        <w:jc w:val="both"/>
        <w:ind w:firstLine="8"/>
        <w:spacing w:after="0" w:line="342" w:lineRule="auto"/>
        <w:tabs>
          <w:tab w:leader="none" w:pos="2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Power of Attorney previously filed as Exhibit 24 to a Form 4 with regard to DA32 Life Science Tech Acquisition Corp. filed with the Securities and Exchange Commission on August 3, 2021 by Deerfield Partners, L.P., Deerfield Mgmt, L.P., Deerfield Management Company, L.P. and James E.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341" w:right="59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undersigned agree that this Schedule 13G, and all amendments thereto, relating to the Common Stock of Sema4 Holdings Corp. shall be filed on behalf of the undersigned.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MANAGEMENT COMPANY,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Flynn Management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V,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PRIVATE DESIGN FUND 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V, L.P.,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V,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JAMES E. FLYNN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Jonathan Isler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Isler,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jc w:val="center"/>
        <w:ind w:right="-219"/>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Due to the relationships between them, the reporting persons hereunder may be deemed to constitute a “group” with one another for purposes of Section 13(d)(3) of the Securities Exchange Act of 1934.</w:t>
      </w:r>
    </w:p>
    <w:sectPr>
      <w:pgSz w:w="11900" w:h="16838" w:orient="portrait"/>
      <w:cols w:equalWidth="0" w:num="1">
        <w:col w:w="11040"/>
      </w:cols>
      <w:pgMar w:left="320" w:top="34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2"/>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2"/>
    </w:lvl>
  </w:abstractNum>
  <w:abstractNum w:abstractNumId="8">
    <w:nsid w:val="41A7C4C9"/>
    <w:multiLevelType w:val="hybridMultilevel"/>
    <w:lvl w:ilvl="0">
      <w:lvlJc w:val="left"/>
      <w:lvlText w:val="(%1)"/>
      <w:numFmt w:val="decimal"/>
      <w:start w:val="2"/>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2"/>
    </w:lvl>
  </w:abstractNum>
  <w:abstractNum w:abstractNumId="11">
    <w:nsid w:val="25E45D32"/>
    <w:multiLevelType w:val="hybridMultilevel"/>
    <w:lvl w:ilvl="0">
      <w:lvlJc w:val="left"/>
      <w:lvlText w:val="(%1)"/>
      <w:numFmt w:val="decimal"/>
      <w:start w:val="3"/>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2"/>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2"/>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2"/>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lowerLetter"/>
      <w:start w:val="9"/>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2022-02-12T02:38:36Z</dcterms:created>
  <dcterms:modified xsi:type="dcterms:W3CDTF">2022-02-12T02:38:36Z</dcterms:modified>
</cp:coreProperties>
</file>