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6995160" cy="4871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7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Assad Shawn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142,772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8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142,772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142,772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82,236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82,236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-2265680</wp:posOffset>
            </wp:positionV>
            <wp:extent cx="28575" cy="2270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7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four-year period commencing on April 1, 2022 until fully vested, subject to the Reporting Person's continued service to the Issuer on each vesting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Clark,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04/06/2022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887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2022-04-06T16:20:55Z</dcterms:created>
  <dcterms:modified xsi:type="dcterms:W3CDTF">2022-04-06T16:20:55Z</dcterms:modified>
</cp:coreProperties>
</file>