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1657</w:t>
      </w:r>
      <w:r>
        <w:rPr>
          <w:sz w:val="20"/>
          <w:szCs w:val="20"/>
          <w:color w:val="auto"/>
        </w:rPr>
        <w:tab/>
      </w:r>
      <w:r>
        <w:rPr>
          <w:rFonts w:ascii="Times New Roman" w:cs="Times New Roman" w:eastAsia="Times New Roman" w:hAnsi="Times New Roman"/>
          <w:sz w:val="21"/>
          <w:szCs w:val="21"/>
          <w:color w:val="auto"/>
        </w:rPr>
        <w:t>130000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28055588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1657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10/29/2024 2154</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143500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11/15/2024 23108</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1628600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11/18/2024 22307</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1569100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12/09/2024 3661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12/16/2024 10501</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806000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01/02/2025 18006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1407700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51420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4858100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1,657 shares to be sold on behalf of the Reporting Person to cover tax withholding obligations in connection with the vesting of restricted stock units, and shares sold in the past 3 months by the Reporting Person, including: 1) 16,316 shares sold to cover tax withholding obligations in connection with the vesting and settlement of RSUs to satisfy tax withholding obligations to be funded by a sell to cover transaction; and 2) 114,841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01/29/2025</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Katherine Stueland</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2025-01-29T20:11:39Z</dcterms:created>
  <dcterms:modified xsi:type="dcterms:W3CDTF">2025-01-29T20:11:39Z</dcterms:modified>
</cp:coreProperties>
</file>