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231F20"/>
        </w:rPr>
        <w:t>CURRENT REPORT</w:t>
      </w:r>
    </w:p>
    <w:p>
      <w:pPr>
        <w:spacing w:after="0" w:line="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231F20"/>
        </w:rPr>
        <w:t>Pursuant to Section 13 OR 15(d) of The Securities Exchange Act of 1934</w:t>
      </w:r>
    </w:p>
    <w:p>
      <w:pPr>
        <w:spacing w:after="0" w:line="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January 13, 2025</w:t>
      </w:r>
    </w:p>
    <w:p>
      <w:pPr>
        <w:spacing w:after="0" w:line="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Commission file number 001-39482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3103880</wp:posOffset>
            </wp:positionH>
            <wp:positionV relativeFrom="paragraph">
              <wp:posOffset>59055</wp:posOffset>
            </wp:positionV>
            <wp:extent cx="960120" cy="3314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60120" cy="3314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GeneDx Holdings Corp.</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ectPr>
          <w:pgSz w:w="11900" w:h="16838" w:orient="portrait"/>
          <w:cols w:equalWidth="0" w:num="1">
            <w:col w:w="11280"/>
          </w:cols>
          <w:pgMar w:left="300" w:top="889" w:right="319" w:bottom="1440" w:gutter="0" w:footer="0" w:header="0"/>
        </w:sectPr>
      </w:pPr>
    </w:p>
    <w:p>
      <w:pPr>
        <w:spacing w:after="0" w:line="101"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85-1966622</w:t>
      </w:r>
    </w:p>
    <w:p>
      <w:pPr>
        <w:spacing w:after="0" w:line="49" w:lineRule="exact"/>
        <w:rPr>
          <w:sz w:val="24"/>
          <w:szCs w:val="24"/>
          <w:color w:val="auto"/>
        </w:rPr>
      </w:pPr>
    </w:p>
    <w:p>
      <w:pPr>
        <w:sectPr>
          <w:pgSz w:w="11900" w:h="16838" w:orient="portrait"/>
          <w:cols w:equalWidth="0" w:num="2">
            <w:col w:w="7460" w:space="720"/>
            <w:col w:w="3100"/>
          </w:cols>
          <w:pgMar w:left="300" w:top="889" w:right="31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1"/>
          <w:szCs w:val="1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(I.R.S. Employer Identification No.)</w:t>
      </w:r>
    </w:p>
    <w:p>
      <w:pPr>
        <w:spacing w:after="0" w:line="65" w:lineRule="exact"/>
        <w:rPr>
          <w:sz w:val="24"/>
          <w:szCs w:val="24"/>
          <w:color w:val="auto"/>
        </w:rPr>
      </w:pPr>
    </w:p>
    <w:p>
      <w:pPr>
        <w:sectPr>
          <w:pgSz w:w="11900" w:h="16838" w:orient="portrait"/>
          <w:cols w:equalWidth="0" w:num="2">
            <w:col w:w="6860" w:space="720"/>
            <w:col w:w="3700"/>
          </w:cols>
          <w:pgMar w:left="300" w:top="889" w:right="31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333 Ludlow Street, North Tower; 6th Floor</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Stamford, Connecticut 06902</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(Address of Principal Executive Offices) (Zip Code)</w:t>
      </w:r>
    </w:p>
    <w:p>
      <w:pPr>
        <w:sectPr>
          <w:pgSz w:w="11900" w:h="16838" w:orient="portrait"/>
          <w:cols w:equalWidth="0" w:num="1">
            <w:col w:w="11280"/>
          </w:cols>
          <w:pgMar w:left="300" w:top="889" w:right="319" w:bottom="1440" w:gutter="0" w:footer="0" w:header="0"/>
          <w:type w:val="continuous"/>
        </w:sectPr>
      </w:pP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(888) 729-1206</w:t>
      </w: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14" w:lineRule="exact"/>
        <w:rPr>
          <w:sz w:val="24"/>
          <w:szCs w:val="24"/>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78"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Soliciting material pursuant to Rule 14a-12 under the Exchange Act (17 CFR 240.14a-12)</w:t>
      </w:r>
    </w:p>
    <w:p>
      <w:pPr>
        <w:spacing w:after="0" w:line="78"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Pre-commencement communications pursuant to Rule 14d-2(b) under the Exchange Act (17 CFR 240.14d-2(b))</w:t>
      </w:r>
    </w:p>
    <w:p>
      <w:pPr>
        <w:spacing w:after="0" w:line="78"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Pre-commencement communications pursuant to Rule 13e-4(c) under the Exchange Act (17 CFR 240.13e-4(c))</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52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320" w:type="dxa"/>
            <w:vAlign w:val="bottom"/>
          </w:tcPr>
          <w:p>
            <w:pPr>
              <w:spacing w:after="0"/>
              <w:rPr>
                <w:sz w:val="13"/>
                <w:szCs w:val="13"/>
                <w:color w:val="auto"/>
              </w:rPr>
            </w:pPr>
          </w:p>
        </w:tc>
      </w:tr>
      <w:tr>
        <w:trPr>
          <w:trHeight w:val="243"/>
        </w:trPr>
        <w:tc>
          <w:tcPr>
            <w:tcW w:w="20" w:type="dxa"/>
            <w:vAlign w:val="bottom"/>
          </w:tcPr>
          <w:p>
            <w:pPr>
              <w:spacing w:after="0"/>
              <w:rPr>
                <w:sz w:val="21"/>
                <w:szCs w:val="21"/>
                <w:color w:val="auto"/>
              </w:rPr>
            </w:pPr>
          </w:p>
        </w:tc>
        <w:tc>
          <w:tcPr>
            <w:tcW w:w="5240" w:type="dxa"/>
            <w:vAlign w:val="bottom"/>
            <w:gridSpan w:val="2"/>
          </w:tcPr>
          <w:p>
            <w:pPr>
              <w:ind w:left="212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43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40"/>
        </w:trPr>
        <w:tc>
          <w:tcPr>
            <w:tcW w:w="20" w:type="dxa"/>
            <w:vAlign w:val="bottom"/>
          </w:tcPr>
          <w:p>
            <w:pPr>
              <w:spacing w:after="0"/>
              <w:rPr>
                <w:sz w:val="12"/>
                <w:szCs w:val="12"/>
                <w:color w:val="auto"/>
              </w:rPr>
            </w:pPr>
          </w:p>
        </w:tc>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Class A common stock, par value $0.0001 per share</w:t>
            </w:r>
          </w:p>
        </w:tc>
        <w:tc>
          <w:tcPr>
            <w:tcW w:w="60" w:type="dxa"/>
            <w:vAlign w:val="bottom"/>
          </w:tcPr>
          <w:p>
            <w:pPr>
              <w:spacing w:after="0"/>
              <w:rPr>
                <w:sz w:val="12"/>
                <w:szCs w:val="12"/>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WGS</w:t>
            </w:r>
          </w:p>
        </w:tc>
        <w:tc>
          <w:tcPr>
            <w:tcW w:w="80" w:type="dxa"/>
            <w:vAlign w:val="bottom"/>
          </w:tcPr>
          <w:p>
            <w:pPr>
              <w:spacing w:after="0"/>
              <w:rPr>
                <w:sz w:val="12"/>
                <w:szCs w:val="12"/>
                <w:color w:val="auto"/>
              </w:rPr>
            </w:pPr>
          </w:p>
        </w:tc>
        <w:tc>
          <w:tcPr>
            <w:tcW w:w="4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The Nasdaq Stock Market LLC</w:t>
            </w:r>
          </w:p>
        </w:tc>
      </w:tr>
      <w:tr>
        <w:trPr>
          <w:trHeight w:val="155"/>
        </w:trPr>
        <w:tc>
          <w:tcPr>
            <w:tcW w:w="20" w:type="dxa"/>
            <w:vAlign w:val="bottom"/>
          </w:tcPr>
          <w:p>
            <w:pPr>
              <w:spacing w:after="0"/>
              <w:rPr>
                <w:sz w:val="13"/>
                <w:szCs w:val="13"/>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Warrants to purchase one share of Class A common stock, each at an exercise price of $379.50 per share</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WGSWW</w:t>
            </w:r>
          </w:p>
        </w:tc>
        <w:tc>
          <w:tcPr>
            <w:tcW w:w="43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The Nasdaq Stock Market LLC</w:t>
            </w:r>
          </w:p>
        </w:tc>
      </w:tr>
    </w:tbl>
    <w:p>
      <w:pPr>
        <w:spacing w:after="0" w:line="124" w:lineRule="exact"/>
        <w:rPr>
          <w:sz w:val="24"/>
          <w:szCs w:val="24"/>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231F20"/>
        </w:rPr>
        <w:t xml:space="preserve">Emerging growth company </w:t>
      </w:r>
      <w:r>
        <w:rPr>
          <w:rFonts w:ascii="MS PGothic" w:cs="MS PGothic" w:eastAsia="MS PGothic" w:hAnsi="MS PGothic"/>
          <w:sz w:val="12"/>
          <w:szCs w:val="12"/>
          <w:color w:val="000000"/>
        </w:rPr>
        <w:t>☒</w:t>
      </w:r>
    </w:p>
    <w:p>
      <w:pPr>
        <w:spacing w:after="0" w:line="106" w:lineRule="exact"/>
        <w:rPr>
          <w:sz w:val="24"/>
          <w:szCs w:val="24"/>
          <w:color w:val="auto"/>
        </w:rPr>
      </w:pPr>
    </w:p>
    <w:p>
      <w:pPr>
        <w:ind w:right="8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513715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information set forth in Item 7.01 below is incorporated by reference into this Item 2.02.</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January 13, 2025, GeneDx Holdings Corp. (the “Company”) issued a press release (the “Press Release”) announcing the Company’s expectations regarding its preliminary, unaudited revenue for the fourth quarter and the year ended 2024, exome and genome test result volumes for the fourth quarter and cash, cash equivalents, marketable securities and restricted cash as of December 31, 2024. A copy of the Press Release is included with this Form 8-K for convenience and attached hereto as Exhibit 99.1. Also on January 13, 2024, the Company is furnishing as Exhibit 99.2 hereto a copy of the investor presentation to be used at the 43rd Annual J.P. Morgan Healthcare Conference event.</w:t>
      </w:r>
    </w:p>
    <w:p>
      <w:pPr>
        <w:spacing w:after="0" w:line="8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information furnished under Items 2.02 and 7.01 of this Current Report on Form 8-K, including Exhibit 99.1 hereto, shall not be deemed “filed” for purposes of Section 18 of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 Exhibits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40" w:type="dxa"/>
            <w:vAlign w:val="bottom"/>
          </w:tcPr>
          <w:p>
            <w:pPr>
              <w:spacing w:after="0"/>
              <w:rPr>
                <w:sz w:val="12"/>
                <w:szCs w:val="12"/>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1004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0" w:type="dxa"/>
            <w:vAlign w:val="bottom"/>
          </w:tcPr>
          <w:p>
            <w:pPr>
              <w:spacing w:after="0"/>
              <w:rPr>
                <w:sz w:val="1"/>
                <w:szCs w:val="1"/>
                <w:color w:val="auto"/>
              </w:rPr>
            </w:pPr>
          </w:p>
        </w:tc>
      </w:tr>
      <w:tr>
        <w:trPr>
          <w:trHeight w:val="25"/>
        </w:trPr>
        <w:tc>
          <w:tcPr>
            <w:tcW w:w="34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6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40" w:type="dxa"/>
            <w:vAlign w:val="bottom"/>
          </w:tcPr>
          <w:p>
            <w:pPr>
              <w:spacing w:after="0"/>
              <w:rPr>
                <w:sz w:val="16"/>
                <w:szCs w:val="16"/>
                <w:color w:val="auto"/>
              </w:rPr>
            </w:pPr>
          </w:p>
        </w:tc>
        <w:tc>
          <w:tcPr>
            <w:tcW w:w="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99.1</w:t>
            </w:r>
          </w:p>
        </w:tc>
        <w:tc>
          <w:tcPr>
            <w:tcW w:w="360" w:type="dxa"/>
            <w:vAlign w:val="bottom"/>
          </w:tcPr>
          <w:p>
            <w:pPr>
              <w:spacing w:after="0"/>
              <w:rPr>
                <w:sz w:val="16"/>
                <w:szCs w:val="16"/>
                <w:color w:val="auto"/>
              </w:rPr>
            </w:pPr>
          </w:p>
        </w:tc>
        <w:tc>
          <w:tcPr>
            <w:tcW w:w="40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2"/>
                <w:szCs w:val="12"/>
                <w:color w:val="0000FF"/>
                <w:w w:val="99"/>
              </w:rPr>
              <w:t>Press Release, dated January 13, 2025, regarding Preliminary 2024 Financial Results</w:t>
            </w:r>
          </w:p>
        </w:tc>
        <w:tc>
          <w:tcPr>
            <w:tcW w:w="5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00" w:type="dxa"/>
            <w:vAlign w:val="bottom"/>
            <w:gridSpan w:val="2"/>
          </w:tcPr>
          <w:p>
            <w:pPr>
              <w:jc w:val="center"/>
              <w:ind w:left="280"/>
              <w:spacing w:after="0"/>
              <w:rPr>
                <w:sz w:val="20"/>
                <w:szCs w:val="20"/>
                <w:color w:val="auto"/>
              </w:rPr>
            </w:pPr>
            <w:r>
              <w:rPr>
                <w:rFonts w:ascii="Times New Roman" w:cs="Times New Roman" w:eastAsia="Times New Roman" w:hAnsi="Times New Roman"/>
                <w:sz w:val="12"/>
                <w:szCs w:val="12"/>
                <w:color w:val="auto"/>
                <w:w w:val="95"/>
              </w:rPr>
              <w:t>99.2</w:t>
            </w:r>
          </w:p>
        </w:tc>
        <w:tc>
          <w:tcPr>
            <w:tcW w:w="360" w:type="dxa"/>
            <w:vAlign w:val="bottom"/>
          </w:tcPr>
          <w:p>
            <w:pPr>
              <w:spacing w:after="0"/>
              <w:rPr>
                <w:sz w:val="16"/>
                <w:szCs w:val="16"/>
                <w:color w:val="auto"/>
              </w:rPr>
            </w:pPr>
          </w:p>
        </w:tc>
        <w:tc>
          <w:tcPr>
            <w:tcW w:w="22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9"/>
              </w:rPr>
              <w:t>Investor Presentation, dated January 13, 2025</w:t>
            </w:r>
          </w:p>
        </w:tc>
        <w:tc>
          <w:tcPr>
            <w:tcW w:w="78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900" w:type="dxa"/>
            <w:vAlign w:val="bottom"/>
            <w:gridSpan w:val="2"/>
          </w:tcPr>
          <w:p>
            <w:pPr>
              <w:jc w:val="center"/>
              <w:ind w:left="300"/>
              <w:spacing w:after="0"/>
              <w:rPr>
                <w:sz w:val="20"/>
                <w:szCs w:val="20"/>
                <w:color w:val="auto"/>
              </w:rPr>
            </w:pPr>
            <w:r>
              <w:rPr>
                <w:rFonts w:ascii="Times New Roman" w:cs="Times New Roman" w:eastAsia="Times New Roman" w:hAnsi="Times New Roman"/>
                <w:sz w:val="12"/>
                <w:szCs w:val="12"/>
                <w:color w:val="auto"/>
                <w:w w:val="99"/>
              </w:rPr>
              <w:t>104</w:t>
            </w:r>
          </w:p>
        </w:tc>
        <w:tc>
          <w:tcPr>
            <w:tcW w:w="360" w:type="dxa"/>
            <w:vAlign w:val="bottom"/>
          </w:tcPr>
          <w:p>
            <w:pPr>
              <w:spacing w:after="0"/>
              <w:rPr>
                <w:sz w:val="18"/>
                <w:szCs w:val="18"/>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801"/>
        </w:trPr>
        <w:tc>
          <w:tcPr>
            <w:tcW w:w="3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5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38"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6700" w:type="dxa"/>
            <w:vAlign w:val="bottom"/>
            <w:gridSpan w:val="2"/>
          </w:tcPr>
          <w:p>
            <w:pPr>
              <w:ind w:left="1680"/>
              <w:spacing w:after="0"/>
              <w:rPr>
                <w:sz w:val="20"/>
                <w:szCs w:val="20"/>
                <w:color w:val="auto"/>
              </w:rPr>
            </w:pPr>
            <w:r>
              <w:rPr>
                <w:rFonts w:ascii="Times New Roman" w:cs="Times New Roman" w:eastAsia="Times New Roman" w:hAnsi="Times New Roman"/>
                <w:sz w:val="12"/>
                <w:szCs w:val="12"/>
                <w:b w:val="1"/>
                <w:bCs w:val="1"/>
                <w:color w:val="auto"/>
              </w:rPr>
              <w:t>GENEDX HOLDINGS CORP.</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278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January 13, 2025</w:t>
            </w:r>
          </w:p>
        </w:tc>
        <w:tc>
          <w:tcPr>
            <w:tcW w:w="2500" w:type="dxa"/>
            <w:vAlign w:val="bottom"/>
          </w:tcPr>
          <w:p>
            <w:pPr>
              <w:ind w:left="1680"/>
              <w:spacing w:after="0"/>
              <w:rPr>
                <w:sz w:val="20"/>
                <w:szCs w:val="20"/>
                <w:color w:val="auto"/>
              </w:rPr>
            </w:pPr>
            <w:r>
              <w:rPr>
                <w:rFonts w:ascii="Times New Roman" w:cs="Times New Roman" w:eastAsia="Times New Roman" w:hAnsi="Times New Roman"/>
                <w:sz w:val="12"/>
                <w:szCs w:val="12"/>
                <w:color w:val="auto"/>
              </w:rPr>
              <w:t>By:</w:t>
            </w:r>
          </w:p>
        </w:tc>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Katherine Stueland</w:t>
            </w:r>
          </w:p>
        </w:tc>
      </w:tr>
      <w:tr>
        <w:trPr>
          <w:trHeight w:val="140"/>
        </w:trPr>
        <w:tc>
          <w:tcPr>
            <w:tcW w:w="5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500" w:type="dxa"/>
            <w:vAlign w:val="bottom"/>
          </w:tcPr>
          <w:p>
            <w:pPr>
              <w:ind w:left="1680"/>
              <w:spacing w:after="0"/>
              <w:rPr>
                <w:sz w:val="20"/>
                <w:szCs w:val="20"/>
                <w:color w:val="auto"/>
              </w:rPr>
            </w:pPr>
            <w:r>
              <w:rPr>
                <w:rFonts w:ascii="Times New Roman" w:cs="Times New Roman" w:eastAsia="Times New Roman" w:hAnsi="Times New Roman"/>
                <w:sz w:val="12"/>
                <w:szCs w:val="12"/>
                <w:color w:val="auto"/>
              </w:rPr>
              <w:t>Name:</w:t>
            </w: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Katherine Stueland</w:t>
            </w:r>
          </w:p>
        </w:tc>
      </w:tr>
      <w:tr>
        <w:trPr>
          <w:trHeight w:val="155"/>
        </w:trPr>
        <w:tc>
          <w:tcPr>
            <w:tcW w:w="5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500" w:type="dxa"/>
            <w:vAlign w:val="bottom"/>
          </w:tcPr>
          <w:p>
            <w:pPr>
              <w:ind w:left="1680"/>
              <w:spacing w:after="0"/>
              <w:rPr>
                <w:sz w:val="20"/>
                <w:szCs w:val="20"/>
                <w:color w:val="auto"/>
              </w:rPr>
            </w:pPr>
            <w:r>
              <w:rPr>
                <w:rFonts w:ascii="Times New Roman" w:cs="Times New Roman" w:eastAsia="Times New Roman" w:hAnsi="Times New Roman"/>
                <w:sz w:val="12"/>
                <w:szCs w:val="12"/>
                <w:color w:val="auto"/>
              </w:rPr>
              <w:t>Title:</w:t>
            </w: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Executive Officer</w:t>
            </w:r>
          </w:p>
        </w:tc>
      </w:tr>
    </w:tbl>
    <w:p>
      <w:pPr>
        <w:sectPr>
          <w:pgSz w:w="11900" w:h="16838" w:orient="portrait"/>
          <w:cols w:equalWidth="0" w:num="1">
            <w:col w:w="10159"/>
          </w:cols>
          <w:pgMar w:left="300" w:top="962"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3108960</wp:posOffset>
            </wp:positionH>
            <wp:positionV relativeFrom="paragraph">
              <wp:posOffset>65405</wp:posOffset>
            </wp:positionV>
            <wp:extent cx="960120" cy="3314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60120" cy="33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GeneDx Announces Preliminary 2024 Financial Results</w:t>
      </w:r>
    </w:p>
    <w:p>
      <w:pPr>
        <w:spacing w:after="0" w:line="104" w:lineRule="exact"/>
        <w:rPr>
          <w:sz w:val="20"/>
          <w:szCs w:val="20"/>
          <w:color w:val="auto"/>
        </w:rPr>
      </w:pPr>
    </w:p>
    <w:p>
      <w:pPr>
        <w:ind w:left="3608"/>
        <w:spacing w:after="0"/>
        <w:rPr>
          <w:sz w:val="20"/>
          <w:szCs w:val="20"/>
          <w:color w:val="auto"/>
        </w:rPr>
      </w:pPr>
      <w:r>
        <w:rPr>
          <w:rFonts w:ascii="Times New Roman" w:cs="Times New Roman" w:eastAsia="Times New Roman" w:hAnsi="Times New Roman"/>
          <w:sz w:val="12"/>
          <w:szCs w:val="12"/>
          <w:b w:val="1"/>
          <w:bCs w:val="1"/>
          <w:color w:val="auto"/>
        </w:rPr>
        <w:t>Expects to exceed guidance with full year 2024 revenues</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2"/>
          <w:szCs w:val="12"/>
          <w:b w:val="1"/>
          <w:bCs w:val="1"/>
          <w:color w:val="auto"/>
        </w:rPr>
        <w:t xml:space="preserve"> of at least $299 million</w:t>
      </w:r>
    </w:p>
    <w:p>
      <w:pPr>
        <w:spacing w:after="0" w:line="80" w:lineRule="exact"/>
        <w:rPr>
          <w:sz w:val="20"/>
          <w:szCs w:val="20"/>
          <w:color w:val="auto"/>
        </w:rPr>
      </w:pPr>
    </w:p>
    <w:p>
      <w:pPr>
        <w:ind w:left="4108"/>
        <w:spacing w:after="0"/>
        <w:rPr>
          <w:sz w:val="20"/>
          <w:szCs w:val="20"/>
          <w:color w:val="auto"/>
        </w:rPr>
      </w:pPr>
      <w:r>
        <w:rPr>
          <w:rFonts w:ascii="Times New Roman" w:cs="Times New Roman" w:eastAsia="Times New Roman" w:hAnsi="Times New Roman"/>
          <w:sz w:val="12"/>
          <w:szCs w:val="12"/>
          <w:b w:val="1"/>
          <w:bCs w:val="1"/>
          <w:color w:val="auto"/>
        </w:rPr>
        <w:t>Expects fourth quarter 2024 revenues</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2"/>
          <w:szCs w:val="12"/>
          <w:b w:val="1"/>
          <w:bCs w:val="1"/>
          <w:color w:val="auto"/>
        </w:rPr>
        <w:t xml:space="preserve"> of at least $92 million</w:t>
      </w:r>
    </w:p>
    <w:p>
      <w:pPr>
        <w:spacing w:after="0" w:line="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Expects to exceed guidance with full year 2024 adjusted gross margin</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2"/>
          <w:szCs w:val="12"/>
          <w:b w:val="1"/>
          <w:bCs w:val="1"/>
          <w:color w:val="auto"/>
        </w:rPr>
        <w:t xml:space="preserve"> of at least 64%</w:t>
      </w:r>
    </w:p>
    <w:p>
      <w:pPr>
        <w:spacing w:after="0" w:line="7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Expects fourth quarter 2024 adjusted gross margin</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2"/>
          <w:szCs w:val="12"/>
          <w:b w:val="1"/>
          <w:bCs w:val="1"/>
          <w:color w:val="auto"/>
        </w:rPr>
        <w:t xml:space="preserve"> of at least 68%</w:t>
      </w:r>
    </w:p>
    <w:p>
      <w:pPr>
        <w:spacing w:after="0" w:line="333" w:lineRule="exact"/>
        <w:rPr>
          <w:sz w:val="20"/>
          <w:szCs w:val="20"/>
          <w:color w:val="auto"/>
        </w:rPr>
      </w:pPr>
    </w:p>
    <w:p>
      <w:pPr>
        <w:jc w:val="both"/>
        <w:ind w:left="8"/>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STAMFORD, Conn., January 13, 2025 — </w:t>
      </w:r>
      <w:r>
        <w:rPr>
          <w:rFonts w:ascii="Times New Roman" w:cs="Times New Roman" w:eastAsia="Times New Roman" w:hAnsi="Times New Roman"/>
          <w:sz w:val="12"/>
          <w:szCs w:val="12"/>
          <w:color w:val="auto"/>
        </w:rPr>
        <w:t>GeneDx Holdings Corp. (Nasdaq: WGS), a leader in delivering improved health outcomes through genomic insights, today reported preliminary financial results for the fourth quarter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full year of 2024.</w:t>
      </w:r>
    </w:p>
    <w:p>
      <w:pPr>
        <w:spacing w:after="0" w:line="71"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“2024 was a transformative year for GeneDx, as we achieved our profitability milestone of adjusted net income, released landmark studies, strengthened our products and expanded our team to set up for the opportunity ahead,” said Katherine Stueland, CEO of GeneDx. “The economic burden of rare disease is estimated to be $1 trillion annually, with the absence of early diagnosis being a major contributor to this cost and the cause for unnecessary and avoidable suffering faced by too many families. With our differentiated capabilities, GeneDx is setting the standard for the use of genetics in healthcare. We ended 2024 with momentum and are only beginning to unlock our full potential.”</w:t>
      </w:r>
    </w:p>
    <w:p>
      <w:pPr>
        <w:spacing w:after="0" w:line="8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“Our Q4 performance reflects strong execution as we expect to deliver a second consecutive quarter of adjusted net income and our first quarter of positive operational cash flow,” said Kevin Feeley, CFO of GeneDx.</w:t>
      </w:r>
    </w:p>
    <w:p>
      <w:pPr>
        <w:spacing w:after="0" w:line="38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Preliminary Full Year and Fourth Quarter 2024 Financial Results (Unaudited)</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Management expects GeneDx to report:</w:t>
      </w:r>
    </w:p>
    <w:p>
      <w:pPr>
        <w:spacing w:after="0" w:line="10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Revenues</w:t>
      </w:r>
      <w:r>
        <w:rPr>
          <w:rFonts w:ascii="Times New Roman" w:cs="Times New Roman" w:eastAsia="Times New Roman" w:hAnsi="Times New Roman"/>
          <w:sz w:val="15"/>
          <w:szCs w:val="15"/>
          <w:b w:val="1"/>
          <w:bCs w:val="1"/>
          <w:color w:val="auto"/>
          <w:vertAlign w:val="superscript"/>
        </w:rPr>
        <w:t>1</w:t>
      </w:r>
    </w:p>
    <w:p>
      <w:pPr>
        <w:spacing w:after="0" w:line="80" w:lineRule="exact"/>
        <w:rPr>
          <w:sz w:val="20"/>
          <w:szCs w:val="20"/>
          <w:color w:val="auto"/>
        </w:rPr>
      </w:pPr>
    </w:p>
    <w:p>
      <w:pPr>
        <w:ind w:left="208" w:hanging="100"/>
        <w:spacing w:after="0"/>
        <w:tabs>
          <w:tab w:leader="none" w:pos="20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Revenues</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2"/>
          <w:szCs w:val="12"/>
          <w:color w:val="auto"/>
        </w:rPr>
        <w:t xml:space="preserve"> of at least $299 million for full year 2024, an increase of 54% year-over-year (previous guidance was $284-$290 million).</w:t>
      </w:r>
    </w:p>
    <w:p>
      <w:pPr>
        <w:spacing w:after="0" w:line="79" w:lineRule="exact"/>
        <w:rPr>
          <w:rFonts w:ascii="Times New Roman" w:cs="Times New Roman" w:eastAsia="Times New Roman" w:hAnsi="Times New Roman"/>
          <w:sz w:val="12"/>
          <w:szCs w:val="12"/>
          <w:color w:val="auto"/>
        </w:rPr>
      </w:pPr>
    </w:p>
    <w:p>
      <w:pPr>
        <w:ind w:left="208" w:hanging="100"/>
        <w:spacing w:after="0"/>
        <w:tabs>
          <w:tab w:leader="none" w:pos="20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Revenues</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2"/>
          <w:szCs w:val="12"/>
          <w:color w:val="auto"/>
        </w:rPr>
        <w:t xml:space="preserve"> of at least $92 million in the fourth quarter 2024, an increase of 59% year-over-year and 20% sequentially.</w:t>
      </w:r>
    </w:p>
    <w:p>
      <w:pPr>
        <w:spacing w:after="0" w:line="85" w:lineRule="exact"/>
        <w:rPr>
          <w:rFonts w:ascii="Times New Roman" w:cs="Times New Roman" w:eastAsia="Times New Roman" w:hAnsi="Times New Roman"/>
          <w:sz w:val="12"/>
          <w:szCs w:val="12"/>
          <w:color w:val="auto"/>
        </w:rPr>
      </w:pPr>
    </w:p>
    <w:p>
      <w:pPr>
        <w:ind w:left="208" w:hanging="100"/>
        <w:spacing w:after="0"/>
        <w:tabs>
          <w:tab w:leader="none" w:pos="20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Exome and genome test revenues of at least $75.8 million in the fourth quarter 2024, an increase of 93% year-over-year and 26% sequentially.</w:t>
      </w:r>
    </w:p>
    <w:p>
      <w:pPr>
        <w:spacing w:after="0" w:line="10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Gross Margin</w:t>
      </w:r>
      <w:r>
        <w:rPr>
          <w:rFonts w:ascii="Times New Roman" w:cs="Times New Roman" w:eastAsia="Times New Roman" w:hAnsi="Times New Roman"/>
          <w:sz w:val="15"/>
          <w:szCs w:val="15"/>
          <w:b w:val="1"/>
          <w:bCs w:val="1"/>
          <w:color w:val="auto"/>
          <w:vertAlign w:val="superscript"/>
        </w:rPr>
        <w:t>1</w:t>
      </w:r>
    </w:p>
    <w:p>
      <w:pPr>
        <w:spacing w:after="0" w:line="94" w:lineRule="exact"/>
        <w:rPr>
          <w:sz w:val="20"/>
          <w:szCs w:val="20"/>
          <w:color w:val="auto"/>
        </w:rPr>
      </w:pPr>
    </w:p>
    <w:p>
      <w:pPr>
        <w:ind w:left="208" w:hanging="100"/>
        <w:spacing w:after="0"/>
        <w:tabs>
          <w:tab w:leader="none" w:pos="208"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Adjusted gross margin of at least 64% for full year 2024 (previous guidance was at least 62%).</w:t>
      </w:r>
    </w:p>
    <w:p>
      <w:pPr>
        <w:spacing w:after="0" w:line="102" w:lineRule="exact"/>
        <w:rPr>
          <w:rFonts w:ascii="Times New Roman" w:cs="Times New Roman" w:eastAsia="Times New Roman" w:hAnsi="Times New Roman"/>
          <w:sz w:val="13"/>
          <w:szCs w:val="13"/>
          <w:color w:val="auto"/>
        </w:rPr>
      </w:pPr>
    </w:p>
    <w:p>
      <w:pPr>
        <w:ind w:left="208" w:hanging="100"/>
        <w:spacing w:after="0"/>
        <w:tabs>
          <w:tab w:leader="none" w:pos="20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gross margin of at least 68% for the fourth quarter 2024, up from 64% in the third quarter of 2024.</w:t>
      </w:r>
    </w:p>
    <w:p>
      <w:pPr>
        <w:spacing w:after="0" w:line="114"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Full year and fourth quarter 2024 revenues and adjusted gross margin includes $6.8 million of discrete benefit in connection with a multi-year appeal recovery from a single third-party payer. The fourth quarter benefit is composed of $5.8 million to exome genome revenues and $1.0 million to other test lines.</w:t>
      </w:r>
    </w:p>
    <w:p>
      <w:pPr>
        <w:spacing w:after="0" w:line="7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Exome and genome volume</w:t>
      </w:r>
    </w:p>
    <w:p>
      <w:pPr>
        <w:spacing w:after="0" w:line="118" w:lineRule="exact"/>
        <w:rPr>
          <w:sz w:val="20"/>
          <w:szCs w:val="20"/>
          <w:color w:val="auto"/>
        </w:rPr>
      </w:pPr>
    </w:p>
    <w:p>
      <w:pPr>
        <w:ind w:left="108"/>
        <w:spacing w:after="0"/>
        <w:rPr>
          <w:sz w:val="20"/>
          <w:szCs w:val="20"/>
          <w:color w:val="auto"/>
        </w:rPr>
      </w:pPr>
      <w:r>
        <w:rPr>
          <w:rFonts w:ascii="Times New Roman" w:cs="Times New Roman" w:eastAsia="Times New Roman" w:hAnsi="Times New Roman"/>
          <w:sz w:val="12"/>
          <w:szCs w:val="12"/>
          <w:color w:val="auto"/>
        </w:rPr>
        <w:t>• Exome and genome test result volume of 20,676 in the fourth quarter, an increase of 32% year-over-year and 7% sequentially with exome and genome representing 38% of all tests result volume in the fourth quarter.</w:t>
      </w:r>
    </w:p>
    <w:p>
      <w:pPr>
        <w:spacing w:after="0" w:line="108" w:lineRule="exact"/>
        <w:rPr>
          <w:sz w:val="20"/>
          <w:szCs w:val="20"/>
          <w:color w:val="auto"/>
        </w:rPr>
      </w:pPr>
    </w:p>
    <w:p>
      <w:pPr>
        <w:ind w:left="108" w:hanging="108"/>
        <w:spacing w:after="0" w:line="266" w:lineRule="auto"/>
        <w:tabs>
          <w:tab w:leader="none" w:pos="105" w:val="left"/>
        </w:tabs>
        <w:numPr>
          <w:ilvl w:val="0"/>
          <w:numId w:val="4"/>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i w:val="1"/>
          <w:iCs w:val="1"/>
          <w:color w:val="auto"/>
        </w:rPr>
        <w:t>Revenue and adjusted gross margin results from continuing operations, which excludes any revenue from the exited Legacy Sema4 diagnostic testing business. Total Company Revenue for the full year and fourth quarter 2024 are expected to be at least $302 million and $92 million, respectively.</w:t>
      </w:r>
    </w:p>
    <w:p>
      <w:pPr>
        <w:sectPr>
          <w:pgSz w:w="11900" w:h="16838" w:orient="portrait"/>
          <w:cols w:equalWidth="0" w:num="1">
            <w:col w:w="11308"/>
          </w:cols>
          <w:pgMar w:left="292" w:top="122" w:right="299" w:bottom="1440" w:gutter="0" w:footer="0" w:header="0"/>
        </w:sectPr>
      </w:pPr>
    </w:p>
    <w:bookmarkStart w:id="4" w:name="page5"/>
    <w:bookmarkEnd w:id="4"/>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GeneDx has not completed the preparation of its consolidated financial statements for the year ended December 31, 2024. The preliminary, unaudited results presented in this press release for the quarter and year ended December 31, 2024, are based on current expectations and are subject to adjustment, as the company completes the preparation of its 2024 year-end consolidated financial statements and its 2024 year-end audit.</w:t>
      </w:r>
    </w:p>
    <w:p>
      <w:pPr>
        <w:spacing w:after="0" w:line="75"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GeneDx will release financial results for the fourth quarter and full year of 2024 before the market opens on Tuesday, February 18, 2025. On the same day, management will host a conference call to discuss financial and operating results at 8:30 a.m. Eastern Time.</w:t>
      </w:r>
    </w:p>
    <w:p>
      <w:pPr>
        <w:spacing w:after="0" w:line="75" w:lineRule="exact"/>
        <w:rPr>
          <w:sz w:val="20"/>
          <w:szCs w:val="20"/>
          <w:color w:val="auto"/>
        </w:rPr>
      </w:pPr>
    </w:p>
    <w:p>
      <w:pPr>
        <w:ind w:left="8" w:right="80"/>
        <w:spacing w:after="0" w:line="438" w:lineRule="auto"/>
        <w:rPr>
          <w:sz w:val="20"/>
          <w:szCs w:val="20"/>
          <w:color w:val="auto"/>
        </w:rPr>
      </w:pPr>
      <w:r>
        <w:rPr>
          <w:rFonts w:ascii="Times New Roman" w:cs="Times New Roman" w:eastAsia="Times New Roman" w:hAnsi="Times New Roman"/>
          <w:sz w:val="12"/>
          <w:szCs w:val="12"/>
          <w:color w:val="auto"/>
        </w:rPr>
        <w:t xml:space="preserve">Investors interested in listening to the conference call are required to register online. A live and archived webcast of the event will be available on the “Events” section of the GeneDx investor relations website at https://ir.genedx.com/. </w:t>
      </w:r>
      <w:r>
        <w:rPr>
          <w:rFonts w:ascii="Times New Roman" w:cs="Times New Roman" w:eastAsia="Times New Roman" w:hAnsi="Times New Roman"/>
          <w:sz w:val="12"/>
          <w:szCs w:val="12"/>
          <w:b w:val="1"/>
          <w:bCs w:val="1"/>
          <w:color w:val="auto"/>
        </w:rPr>
        <w:t>Safe Harbor Statements</w:t>
      </w:r>
    </w:p>
    <w:p>
      <w:pPr>
        <w:jc w:val="both"/>
        <w:ind w:left="8"/>
        <w:spacing w:after="0" w:line="254" w:lineRule="auto"/>
        <w:rPr>
          <w:sz w:val="20"/>
          <w:szCs w:val="20"/>
          <w:color w:val="auto"/>
        </w:rPr>
      </w:pPr>
      <w:r>
        <w:rPr>
          <w:rFonts w:ascii="Times New Roman" w:cs="Times New Roman" w:eastAsia="Times New Roman" w:hAnsi="Times New Roman"/>
          <w:sz w:val="12"/>
          <w:szCs w:val="12"/>
          <w:color w:val="auto"/>
        </w:rPr>
        <w:t>This press release contains certain forward-looking statements within the meaning of the federal securities laws, including statements regarding our future performance and our market opportunity, including our preliminary, unaudited fourth quarter and full year 2024 revenue, fourth quarter and full year 2024 test result volumes, and fourth quarter 2024 operational cash flow and adjusted net income.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(i) our ability to implement business plans, goals and forecasts, and identify and realize additional opportunities,</w:t>
      </w:r>
    </w:p>
    <w:p>
      <w:pPr>
        <w:spacing w:after="0" w:line="1" w:lineRule="exact"/>
        <w:rPr>
          <w:sz w:val="20"/>
          <w:szCs w:val="20"/>
          <w:color w:val="auto"/>
        </w:rPr>
      </w:pPr>
    </w:p>
    <w:p>
      <w:pPr>
        <w:jc w:val="both"/>
        <w:ind w:left="8" w:hanging="8"/>
        <w:spacing w:after="0" w:line="252" w:lineRule="auto"/>
        <w:tabs>
          <w:tab w:leader="none" w:pos="18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risk of downturns and a changing regulatory landscape in the highly competitive healthcare industry, (iii) the size and growth of the market in which we operate, (iv) our ability to pursue our new strategic direction, and (v) our ability to enhance our artificial intelligence tools that we use in our clinical interpretation platform. The foregoing list of factors is not exhaustive. You should carefully consider the foregoing factors and the other risks and uncertainties described in the “Risk Factors” section of our Annual Report on Form 10-K for the fiscal year ended December 31, 2023, filed with the U.S. Securities and Exchange Commission (the “SEC”) on February 23, 2024 and other documents filed by us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w:t>
      </w:r>
    </w:p>
    <w:p>
      <w:pPr>
        <w:spacing w:after="0" w:line="8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About GeneDx</w:t>
      </w:r>
    </w:p>
    <w:p>
      <w:pPr>
        <w:spacing w:after="0" w:line="118"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At GeneDx (Nasdaq: WGS), we believe that everyone deserves personalized, targeted medical care—and that it all begins with a genetic diagnosis. Fueled by one of the world’s largest rare disease data sets, our industry-leading exome and genome tests translate complex genomic data into clinical answers that unlock personalized health plans, accelerate drug discovery, and improve health system efficiencies. For more information, please visit genedx.com and connect with us on LinkedIn, X, Facebook, and Instagram.</w:t>
      </w:r>
    </w:p>
    <w:p>
      <w:pPr>
        <w:spacing w:after="0" w:line="7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Investor Relations Contact:</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Investors@GeneDx.com</w:t>
      </w:r>
    </w:p>
    <w:p>
      <w:pPr>
        <w:spacing w:after="0" w:line="8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Media Contact:</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Press@GeneDx.com</w:t>
      </w:r>
    </w:p>
    <w:p>
      <w:pPr>
        <w:sectPr>
          <w:pgSz w:w="11900" w:h="16838" w:orient="portrait"/>
          <w:cols w:equalWidth="0" w:num="1">
            <w:col w:w="11308"/>
          </w:cols>
          <w:pgMar w:left="292" w:top="660" w:right="299"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2025-01-13T07:46:26Z</dcterms:created>
  <dcterms:modified xsi:type="dcterms:W3CDTF">2025-01-13T07:46:26Z</dcterms:modified>
</cp:coreProperties>
</file>