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4, 2020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001-39482</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c/o Corvex Management LP</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667 Madison Avenue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2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10065</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474-6745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45"/>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4"/>
        </w:trPr>
        <w:tc>
          <w:tcPr>
            <w:tcW w:w="45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share of Class A common</w:t>
            </w:r>
          </w:p>
        </w:tc>
        <w:tc>
          <w:tcPr>
            <w:tcW w:w="12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CMLFU</w:t>
            </w:r>
          </w:p>
        </w:tc>
        <w:tc>
          <w:tcPr>
            <w:tcW w:w="100" w:type="dxa"/>
            <w:vAlign w:val="bottom"/>
            <w:tcBorders>
              <w:top w:val="single" w:sz="8" w:color="CCEEFF"/>
            </w:tcBorders>
            <w:shd w:val="clear" w:color="auto" w:fill="CCEEFF"/>
          </w:tcPr>
          <w:p>
            <w:pPr>
              <w:spacing w:after="0"/>
              <w:rPr>
                <w:sz w:val="16"/>
                <w:szCs w:val="16"/>
                <w:color w:val="auto"/>
              </w:rPr>
            </w:pPr>
          </w:p>
        </w:tc>
        <w:tc>
          <w:tcPr>
            <w:tcW w:w="33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 and one-third of one redeemable warrant</w:t>
            </w: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r>
        <w:trPr>
          <w:trHeight w:val="216"/>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CMLF</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4620" w:type="dxa"/>
            <w:vAlign w:val="bottom"/>
            <w:gridSpan w:val="2"/>
            <w:shd w:val="clear" w:color="auto" w:fill="CCEEFF"/>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Redeemable warrants, each whole warrant exercisable for</w:t>
            </w:r>
          </w:p>
        </w:tc>
        <w:tc>
          <w:tcPr>
            <w:tcW w:w="3260" w:type="dxa"/>
            <w:vAlign w:val="bottom"/>
            <w:gridSpan w:val="2"/>
            <w:shd w:val="clear" w:color="auto" w:fill="CCEEFF"/>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CMLFW</w:t>
            </w:r>
          </w:p>
        </w:tc>
        <w:tc>
          <w:tcPr>
            <w:tcW w:w="336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4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one share of Class A common stock, each at an exercise</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r>
      <w:tr>
        <w:trPr>
          <w:trHeight w:val="238"/>
        </w:trPr>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 of $11.50 per share</w:t>
            </w: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On September 4, 2020, CM Life Sciences,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consummated its initial public offering (the “</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of 44,275,000 units (the “</w:t>
      </w: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including the issuance of 5,775,000 Units as a result of the underwriter’s exercise in full of its over-allotment option. Each Unit consists of one share of Class A common stock of the Company, par value $0.0001 per share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and one-third of one redeemable warrant of the Company (each, a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with each whole Warrant entitling the holder thereof to purchase one share of Class A Common Stock for $11.50 per share, subject to adjustment. The Units were sold at a price of $10.00 per Unit, generating gross proceeds to the Company of $442,750,000.</w:t>
      </w:r>
    </w:p>
    <w:p>
      <w:pPr>
        <w:spacing w:after="0" w:line="183"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8"/>
          <w:szCs w:val="18"/>
          <w:color w:val="auto"/>
        </w:rPr>
        <w:t>On September 4, 2020, simultaneously with the consummation of the IPO, the Company completed the private sale (the “</w:t>
      </w:r>
      <w:r>
        <w:rPr>
          <w:rFonts w:ascii="Times New Roman" w:cs="Times New Roman" w:eastAsia="Times New Roman" w:hAnsi="Times New Roman"/>
          <w:sz w:val="18"/>
          <w:szCs w:val="18"/>
          <w:i w:val="1"/>
          <w:iCs w:val="1"/>
          <w:color w:val="auto"/>
        </w:rPr>
        <w:t>Private Placement</w:t>
      </w:r>
      <w:r>
        <w:rPr>
          <w:rFonts w:ascii="Times New Roman" w:cs="Times New Roman" w:eastAsia="Times New Roman" w:hAnsi="Times New Roman"/>
          <w:sz w:val="18"/>
          <w:szCs w:val="18"/>
          <w:color w:val="auto"/>
        </w:rPr>
        <w:t>”) of an aggregate of 7,236,667 warrants (the “</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to CMLS Holdings LLC and certain of the Company’s independent directors at a purchase price of $1.50 per Private Placement Warrant, generating gross proceeds to the Company of $10,855,000.</w:t>
      </w:r>
    </w:p>
    <w:p>
      <w:pPr>
        <w:spacing w:after="0" w:line="17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 total of $442,750,000, comprised of $433,895,000 of the proceeds from the IPO (which amount includes $15,496,250 of the underwriter’s deferred discount) and $8,855,000 of the proceeds of the sale of the Private Placement Warrants, was placed in a U.S.-based trust account at J.P. Morgan Chase Bank, N.A. maintained by Continental Stock Transfer &amp; Trust Company, acting as trustee.</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An audited balance sheet as of September 4, 2020 reflecting receipt of the proceeds upon consummation of the IPO and the Private Placement has been issued by the Company and is included as Exhibit 99.1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26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Audited Balance Sheet as of September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Emes</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Financial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11,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r>
      <w:tr>
        <w:trPr>
          <w:trHeight w:val="432"/>
        </w:trPr>
        <w:tc>
          <w:tcPr>
            <w:tcW w:w="1002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INDEX TO FINANCIAL STATEMENT</w:t>
            </w:r>
          </w:p>
        </w:tc>
        <w:tc>
          <w:tcPr>
            <w:tcW w:w="122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 for CM Life Sciences, Inc.:</w:t>
            </w:r>
          </w:p>
        </w:tc>
        <w:tc>
          <w:tcPr>
            <w:tcW w:w="1220" w:type="dxa"/>
            <w:vAlign w:val="bottom"/>
          </w:tcPr>
          <w:p>
            <w:pPr>
              <w:spacing w:after="0"/>
              <w:rPr>
                <w:sz w:val="24"/>
                <w:szCs w:val="24"/>
                <w:color w:val="auto"/>
              </w:rPr>
            </w:pPr>
          </w:p>
        </w:tc>
      </w:tr>
      <w:tr>
        <w:trPr>
          <w:trHeight w:val="453"/>
        </w:trPr>
        <w:tc>
          <w:tcPr>
            <w:tcW w:w="100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16"/>
        </w:trPr>
        <w:tc>
          <w:tcPr>
            <w:tcW w:w="1002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Report of Independent Registered Public Accounting Firm</w:t>
              </w:r>
            </w:hyperlink>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02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Balance Sheet as of September 4, 2020</w:t>
              </w:r>
            </w:hyperlink>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02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Financial Statement</w:t>
              </w:r>
            </w:hyperlink>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F-4</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 of CM Life Sciences, Inc. (the “Company”) as of September 4, 2020, and the related notes (collectively referred to as the “financial statement”). In our opinion, the financial statement presents fairly, in all material respects, the financial position of the Company as of September 4,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11,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held in Trust Account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33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LIABILITIES AND STOCKHOLDERS’ EQUITY </w:t>
      </w:r>
      <w:r>
        <w:rPr>
          <w:rFonts w:ascii="Times New Roman" w:cs="Times New Roman" w:eastAsia="Times New Roman" w:hAnsi="Times New Roman"/>
          <w:sz w:val="18"/>
          <w:szCs w:val="18"/>
          <w:color w:val="auto"/>
        </w:rPr>
        <w:t>Current Liabilities: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offering costs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25" w:lineRule="exact"/>
        <w:rPr>
          <w:sz w:val="20"/>
          <w:szCs w:val="20"/>
          <w:color w:val="auto"/>
        </w:rPr>
      </w:pPr>
    </w:p>
    <w:p>
      <w:pPr>
        <w:ind w:right="1500"/>
        <w:spacing w:after="0" w:line="313" w:lineRule="auto"/>
        <w:rPr>
          <w:sz w:val="20"/>
          <w:szCs w:val="20"/>
          <w:color w:val="auto"/>
        </w:rPr>
      </w:pPr>
      <w:r>
        <w:rPr>
          <w:rFonts w:ascii="Times New Roman" w:cs="Times New Roman" w:eastAsia="Times New Roman" w:hAnsi="Times New Roman"/>
          <w:sz w:val="18"/>
          <w:szCs w:val="18"/>
          <w:color w:val="auto"/>
        </w:rPr>
        <w:t xml:space="preserve">Deferred underwriting fee payable </w:t>
      </w:r>
      <w:r>
        <w:rPr>
          <w:rFonts w:ascii="Times New Roman" w:cs="Times New Roman" w:eastAsia="Times New Roman" w:hAnsi="Times New Roman"/>
          <w:sz w:val="18"/>
          <w:szCs w:val="18"/>
          <w:b w:val="1"/>
          <w:bCs w:val="1"/>
          <w:color w:val="auto"/>
        </w:rPr>
        <w:t>Total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Times New Roman" w:cs="Times New Roman" w:eastAsia="Times New Roman" w:hAnsi="Times New Roman"/>
          <w:sz w:val="17"/>
          <w:szCs w:val="17"/>
          <w:b w:val="1"/>
          <w:bCs w:val="1"/>
          <w:color w:val="auto"/>
        </w:rPr>
        <w:t>CM LIFE SCIENCES, INC.</w:t>
      </w:r>
    </w:p>
    <w:p>
      <w:pPr>
        <w:spacing w:after="0" w:line="43"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SEPTEMBER 4,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5300"/>
        <w:spacing w:after="0"/>
        <w:tabs>
          <w:tab w:leader="none" w:pos="5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1,834,919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24,400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14605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1,859,319</w:t>
      </w:r>
    </w:p>
    <w:p>
      <w:pPr>
        <w:spacing w:after="0" w:line="23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442,750,000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-127635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u w:val="single" w:color="auto"/>
          <w:color w:val="auto"/>
        </w:rPr>
        <w:t>$ 444,609,319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337185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36830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300"/>
        <w:spacing w:after="0"/>
        <w:tabs>
          <w:tab w:leader="none" w:pos="5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17145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378,532</w:t>
      </w:r>
    </w:p>
    <w:p>
      <w:pPr>
        <w:spacing w:after="0" w:line="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381,213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17145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15,496,250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17145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15,877,463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173990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4000" w:space="720"/>
            <w:col w:w="6480"/>
          </w:cols>
          <w:pgMar w:left="320" w:top="900" w:right="379" w:bottom="1440" w:gutter="0" w:footer="0" w:header="0"/>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subject to possible redemption, 42,373,185 shares at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Class A common stock, $0.0001 par value; 380,000,000 shares authorized; 1,901,815 issued and outstanding (excluding 42,373,185 shares subject to possible redemption)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$0.0001 par value; 20,000,000 shares authorized; 11,068,750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423,731,850</w:t>
      </w:r>
    </w:p>
    <w:p>
      <w:pPr>
        <w:spacing w:after="0" w:line="200" w:lineRule="exact"/>
        <w:rPr>
          <w:sz w:val="20"/>
          <w:szCs w:val="20"/>
          <w:color w:val="auto"/>
        </w:rPr>
      </w:pPr>
    </w:p>
    <w:p>
      <w:pPr>
        <w:spacing w:after="0" w:line="2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190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1,107</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5,001,390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(2,681)</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5,000,006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$ 444,609,319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029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00" w:space="520"/>
            <w:col w:w="1180"/>
          </w:cols>
          <w:pgMar w:left="320" w:top="900" w:right="379" w:bottom="1440" w:gutter="0" w:footer="0" w:header="0"/>
          <w:type w:val="continuous"/>
        </w:sectPr>
      </w:pP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PLAN OF BUSINESS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4, 2020, the Company had not commenced any operations. All activity for the period from July 10, 2020 (inception) through September 4, 2020 relates to the Company’s formation and the initial public offering (“Initial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3.</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Transaction costs amounted to $24,895,463, consisting of $8,855,000 in cash underwriting fees, $15,496,250 of deferred underwriting fees and $544,213 of other offering costs. In addition, as of September 4, 2020, cash of $1,834,919 was held outside of the Trust Account (as defined below) and is available for the payment of offering costs and for working capital purposes.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69"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 is presented in accordance with accounting principles generally accepted in the United States of America (“GAAP”) and pursuant to the rules and regulations of the SEC.</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the financial statement in conformity with GAAP requires management to make estimates and assumptions that affect the reported amounts of assets and liabilities and disclosure of contingent assets and liabilities at the date of the financial statement.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4,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held in Trust Account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September 4, 2020, the assets held in the Trust Account were held in cash.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w:t>
      </w:r>
    </w:p>
    <w:p>
      <w:pPr>
        <w:spacing w:after="0" w:line="229" w:lineRule="exact"/>
        <w:rPr>
          <w:sz w:val="20"/>
          <w:szCs w:val="20"/>
          <w:color w:val="auto"/>
        </w:rPr>
      </w:pPr>
    </w:p>
    <w:p>
      <w:pPr>
        <w:jc w:val="both"/>
        <w:ind w:firstLine="363"/>
        <w:spacing w:after="0" w:line="255"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September 4, 2020, common stock subject to possible redemption is presented as temporary equity, outside of the stockholders’ equity section of the Company’s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Offering costs consist of underwriting, legal, accounting and other expenses incurred through the Initial Public Offering that are directly related to the Initial Public Offering. Offering costs amounting to $24,895,463 were charged to stockholders’ equity upon the completion of the Initial Public Offering.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63"/>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7" w:lineRule="exact"/>
        <w:rPr>
          <w:sz w:val="20"/>
          <w:szCs w:val="20"/>
          <w:color w:val="auto"/>
        </w:rPr>
      </w:pPr>
    </w:p>
    <w:p>
      <w:pPr>
        <w:jc w:val="both"/>
        <w:ind w:firstLine="363"/>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4,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financial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period from July 10. 2020 to July 16,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37"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16, 2020, the Sponsor issued an unsecured promissory note to the Company (the “Promissory Note”), pursuant to which the Company may borrow up to an aggregate principal amount of $300,000. The Promissory Note is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4, 2020, there were no amounts outstanding under the Working Capital Loans.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and/or search for a target company, the specific impact is not readily determinable as of the date of the financial statement. The financial statement does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Purchase Agreement</w:t>
      </w:r>
    </w:p>
    <w:p>
      <w:pPr>
        <w:spacing w:after="0" w:line="229" w:lineRule="exact"/>
        <w:rPr>
          <w:sz w:val="20"/>
          <w:szCs w:val="20"/>
          <w:color w:val="auto"/>
        </w:rPr>
      </w:pPr>
    </w:p>
    <w:p>
      <w:pPr>
        <w:jc w:val="both"/>
        <w:ind w:firstLine="363"/>
        <w:spacing w:after="0" w:line="252" w:lineRule="auto"/>
        <w:rPr>
          <w:sz w:val="20"/>
          <w:szCs w:val="20"/>
          <w:color w:val="auto"/>
        </w:rPr>
      </w:pPr>
      <w:r>
        <w:rPr>
          <w:rFonts w:ascii="Times New Roman" w:cs="Times New Roman" w:eastAsia="Times New Roman" w:hAnsi="Times New Roman"/>
          <w:sz w:val="18"/>
          <w:szCs w:val="18"/>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5"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5" w:lineRule="exact"/>
        <w:rPr>
          <w:sz w:val="20"/>
          <w:szCs w:val="20"/>
          <w:color w:val="auto"/>
        </w:rPr>
      </w:pPr>
    </w:p>
    <w:p>
      <w:pPr>
        <w:jc w:val="both"/>
        <w:ind w:firstLine="36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At September 4, 2020, there were no shares of preferred stock issued or outstanding.</w:t>
      </w:r>
    </w:p>
    <w:p>
      <w:pPr>
        <w:spacing w:after="0" w:line="171" w:lineRule="exact"/>
        <w:rPr>
          <w:sz w:val="20"/>
          <w:szCs w:val="20"/>
          <w:color w:val="auto"/>
        </w:rPr>
      </w:pPr>
    </w:p>
    <w:p>
      <w:pPr>
        <w:jc w:val="both"/>
        <w:ind w:firstLine="36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380,000,000 shares of Class A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A common stock are entitled to one vote for each share. At September 4, 2020, there were 1,901,815 shares of Class A common stock issued or outstanding, excluding 42,373,185 shares of Class A common stock subject to possible redemption.</w:t>
      </w:r>
    </w:p>
    <w:p>
      <w:pPr>
        <w:spacing w:after="0" w:line="171" w:lineRule="exact"/>
        <w:rPr>
          <w:sz w:val="20"/>
          <w:szCs w:val="20"/>
          <w:color w:val="auto"/>
        </w:rPr>
      </w:pPr>
    </w:p>
    <w:p>
      <w:pPr>
        <w:jc w:val="both"/>
        <w:ind w:firstLine="36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20,000,000 shares of Class B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B common stock are entitled to one vote for each share. At September 4, 2020, there were 11,068,750 shares of Class B common stock issued and outstanding.</w:t>
      </w:r>
    </w:p>
    <w:p>
      <w:pPr>
        <w:spacing w:after="0" w:line="175" w:lineRule="exact"/>
        <w:rPr>
          <w:sz w:val="20"/>
          <w:szCs w:val="20"/>
          <w:color w:val="auto"/>
        </w:rPr>
      </w:pPr>
    </w:p>
    <w:p>
      <w:pPr>
        <w:jc w:val="both"/>
        <w:ind w:firstLine="363"/>
        <w:spacing w:after="0" w:line="253"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90" w:lineRule="exact"/>
        <w:rPr>
          <w:sz w:val="20"/>
          <w:szCs w:val="20"/>
          <w:color w:val="auto"/>
        </w:rPr>
      </w:pPr>
    </w:p>
    <w:p>
      <w:pPr>
        <w:jc w:val="both"/>
        <w:ind w:firstLine="36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Public Warrants may only be exercised for a whole number of shares. No fractional warrants will be issued upon separation of the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80" w:lineRule="exact"/>
        <w:rPr>
          <w:sz w:val="20"/>
          <w:szCs w:val="20"/>
          <w:color w:val="auto"/>
        </w:rPr>
      </w:pPr>
    </w:p>
    <w:p>
      <w:pPr>
        <w:jc w:val="both"/>
        <w:ind w:firstLine="363"/>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87" w:lineRule="exact"/>
        <w:rPr>
          <w:sz w:val="20"/>
          <w:szCs w:val="20"/>
          <w:color w:val="auto"/>
        </w:rPr>
      </w:pPr>
    </w:p>
    <w:p>
      <w:pPr>
        <w:jc w:val="both"/>
        <w:ind w:firstLine="363"/>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$18.00 — </w:t>
      </w:r>
      <w:r>
        <w:rPr>
          <w:rFonts w:ascii="Times New Roman" w:cs="Times New Roman" w:eastAsia="Times New Roman" w:hAnsi="Times New Roman"/>
          <w:sz w:val="18"/>
          <w:szCs w:val="18"/>
          <w:color w:val="auto"/>
        </w:rPr>
        <w:t>Once the warrants become exercisable,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the outstanding Public Warrants:</w:t>
      </w:r>
    </w:p>
    <w:p>
      <w:pPr>
        <w:spacing w:after="0" w:line="207" w:lineRule="exact"/>
        <w:rPr>
          <w:sz w:val="20"/>
          <w:szCs w:val="20"/>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680" w:hanging="321"/>
        <w:spacing w:after="0" w:line="260"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81" w:lineRule="exact"/>
        <w:rPr>
          <w:sz w:val="20"/>
          <w:szCs w:val="20"/>
          <w:color w:val="auto"/>
        </w:rPr>
      </w:pPr>
    </w:p>
    <w:p>
      <w:pPr>
        <w:ind w:firstLine="363"/>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$10.00 — </w:t>
      </w:r>
      <w:r>
        <w:rPr>
          <w:rFonts w:ascii="Times New Roman" w:cs="Times New Roman" w:eastAsia="Times New Roman" w:hAnsi="Times New Roman"/>
          <w:sz w:val="18"/>
          <w:szCs w:val="18"/>
          <w:color w:val="auto"/>
        </w:rPr>
        <w:t>Once the warrants become exercisable,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the outstanding warrants:</w:t>
      </w:r>
    </w:p>
    <w:p>
      <w:pPr>
        <w:spacing w:after="0" w:line="207"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jc w:val="both"/>
        <w:ind w:left="680" w:hanging="321"/>
        <w:spacing w:after="0" w:line="255"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September 11, 2020, the date that the financial statement was issued. Based upon this review, the Company did not identify any subsequent events that would have required adjustment or disclosure in the financial statement.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2020-09-11T16:12:54Z</dcterms:created>
  <dcterms:modified xsi:type="dcterms:W3CDTF">2020-09-11T16:12:54Z</dcterms:modified>
</cp:coreProperties>
</file>