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Feeley Kevin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20"/>
        <w:spacing w:after="0" w:line="365" w:lineRule="auto"/>
        <w:rPr>
          <w:sz w:val="20"/>
          <w:szCs w:val="20"/>
          <w:color w:val="auto"/>
        </w:rPr>
      </w:pPr>
      <w:r>
        <w:rPr>
          <w:rFonts w:ascii="Times New Roman" w:cs="Times New Roman" w:eastAsia="Times New Roman" w:hAnsi="Times New Roman"/>
          <w:sz w:val="17"/>
          <w:szCs w:val="17"/>
          <w:color w:val="0000FF"/>
        </w:rPr>
        <w:t>C/O GENEDX HOLDINGS CORP. 333 LUDLOW ST, NORTH TOWER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06902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GeneDx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03/12/2024</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03/12/2024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931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9.2097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24,983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restricted stock units. The sales were to satisfy tax withholding obligations to be funded by a "sell to cover" transaction.</w:t>
      </w:r>
    </w:p>
    <w:p>
      <w:pPr>
        <w:spacing w:after="0" w:line="7"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$9.08 to $9.21,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Devin Schaffer, Attorney-</w:t>
            </w:r>
          </w:p>
        </w:tc>
        <w:tc>
          <w:tcPr>
            <w:tcW w:w="10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03/13/2024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11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2024-03-13T15:45:14Z</dcterms:created>
  <dcterms:modified xsi:type="dcterms:W3CDTF">2024-03-13T15:45:14Z</dcterms:modified>
</cp:coreProperties>
</file>