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0001883139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GeneDx Holdings Corp.</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001-39482</w:t>
      </w:r>
    </w:p>
    <w:p>
      <w:pPr>
        <w:spacing w:after="0" w:line="4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333 LUDLOW STREET</w:t>
      </w:r>
    </w:p>
    <w:p>
      <w:pPr>
        <w:spacing w:after="0" w:line="4" w:lineRule="exact"/>
        <w:rPr>
          <w:sz w:val="24"/>
          <w:szCs w:val="24"/>
          <w:color w:val="auto"/>
        </w:rPr>
      </w:pPr>
    </w:p>
    <w:p>
      <w:pPr>
        <w:ind w:left="6100"/>
        <w:spacing w:after="0"/>
        <w:rPr>
          <w:sz w:val="20"/>
          <w:szCs w:val="20"/>
          <w:color w:val="auto"/>
        </w:rPr>
      </w:pPr>
      <w:r>
        <w:rPr>
          <w:rFonts w:ascii="Times New Roman" w:cs="Times New Roman" w:eastAsia="Times New Roman" w:hAnsi="Times New Roman"/>
          <w:sz w:val="22"/>
          <w:szCs w:val="22"/>
          <w:color w:val="auto"/>
        </w:rPr>
        <w:t>NORTH TOWER, 6TH FLOOR</w:t>
      </w: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STAMFORD</w:t>
      </w:r>
    </w:p>
    <w:p>
      <w:pPr>
        <w:ind w:left="6100"/>
        <w:spacing w:after="0" w:line="231" w:lineRule="auto"/>
        <w:rPr>
          <w:sz w:val="20"/>
          <w:szCs w:val="20"/>
          <w:color w:val="auto"/>
        </w:rPr>
      </w:pPr>
      <w:r>
        <w:rPr>
          <w:rFonts w:ascii="Times New Roman" w:cs="Times New Roman" w:eastAsia="Times New Roman" w:hAnsi="Times New Roman"/>
          <w:sz w:val="22"/>
          <w:szCs w:val="22"/>
          <w:color w:val="auto"/>
        </w:rPr>
        <w:t>CONNECTICUT</w:t>
      </w:r>
    </w:p>
    <w:p>
      <w:pPr>
        <w:ind w:left="6100"/>
        <w:spacing w:after="0"/>
        <w:rPr>
          <w:sz w:val="20"/>
          <w:szCs w:val="20"/>
          <w:color w:val="auto"/>
        </w:rPr>
      </w:pPr>
      <w:r>
        <w:rPr>
          <w:rFonts w:ascii="Times New Roman" w:cs="Times New Roman" w:eastAsia="Times New Roman" w:hAnsi="Times New Roman"/>
          <w:sz w:val="22"/>
          <w:szCs w:val="22"/>
          <w:color w:val="auto"/>
        </w:rPr>
        <w:t>06902</w:t>
      </w:r>
    </w:p>
    <w:p>
      <w:pPr>
        <w:spacing w:after="0" w:line="20"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888-729-1206</w:t>
      </w:r>
    </w:p>
    <w:p>
      <w:pPr>
        <w:spacing w:after="0" w:line="44"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ICAHN SCHOOL OF MEDICINE AT MOUNT SINAI</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Avenue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Cowen &amp; Co</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599 Lexington Ave</w:t>
            </w: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373569</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35799117.27</w:t>
            </w: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28068274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02/24/2025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373569</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35799117.27</w:t>
            </w:r>
          </w:p>
        </w:tc>
        <w:tc>
          <w:tcPr>
            <w:tcW w:w="13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28068274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02/24/2025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07/22/2021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2677439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07/22/2021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Consideration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11/15/2024 20359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1420663.00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11/18/2024 126782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8973059.00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01/30/2025 200000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15700000.00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02/13/2025 400000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31031040.00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02/14/2025 89676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6898739.00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02/18/2025 350000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35142415.00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02/19/2025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10857230.00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ICAHN SCHOOL OF MEDICINE AT</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MOUNT SINAI</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150 East 42nd Street</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02/20/2025 206447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20854140.00</w:t>
            </w: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 B.17</w:t>
            </w:r>
          </w:p>
        </w:tc>
        <w:tc>
          <w:tcPr>
            <w:tcW w:w="3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10017</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138"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Share amounts have been adjusted to reflect a 1-for-33 reverse stock split of the Issuer's common stock that became</w:t>
      </w:r>
    </w:p>
    <w:p>
      <w:pPr>
        <w:spacing w:after="0" w:line="14" w:lineRule="exact"/>
        <w:rPr>
          <w:sz w:val="20"/>
          <w:szCs w:val="20"/>
          <w:color w:val="auto"/>
        </w:rPr>
      </w:pPr>
    </w:p>
    <w:p>
      <w:pPr>
        <w:ind w:left="940" w:right="14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effective on May 4, 2023. It is intended that the 373,569 shares will be offered through the two brokers listed, though the allocation among such brokers has not yet been definitively determined. The shares are intended to be sold from</w:t>
      </w:r>
    </w:p>
    <w:p>
      <w:pPr>
        <w:ind w:left="940"/>
        <w:spacing w:after="0"/>
        <w:rPr>
          <w:sz w:val="20"/>
          <w:szCs w:val="20"/>
          <w:color w:val="auto"/>
        </w:rPr>
      </w:pPr>
      <w:r>
        <w:rPr>
          <w:rFonts w:ascii="Times New Roman" w:cs="Times New Roman" w:eastAsia="Times New Roman" w:hAnsi="Times New Roman"/>
          <w:sz w:val="22"/>
          <w:szCs w:val="22"/>
          <w:color w:val="auto"/>
        </w:rPr>
        <w:t>time to time beginning 02/24/2025.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Vincent Tammaro, Chief Financial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2025-02-24T19:05:26Z</dcterms:created>
  <dcterms:modified xsi:type="dcterms:W3CDTF">2025-02-24T19:05:26Z</dcterms:modified>
</cp:coreProperties>
</file>