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March 14, 2022</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333-258467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55880</wp:posOffset>
            </wp:positionV>
            <wp:extent cx="1191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Post-Effective Amendment No. 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S-1</w:t>
      </w:r>
    </w:p>
    <w:p>
      <w:pPr>
        <w:jc w:val="center"/>
        <w:ind w:right="-39"/>
        <w:spacing w:after="0" w:line="238"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57150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55880</wp:posOffset>
            </wp:positionV>
            <wp:extent cx="119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4"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8000</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85-1966622</w:t>
            </w:r>
          </w:p>
        </w:tc>
      </w:tr>
      <w:tr>
        <w:trPr>
          <w:trHeight w:val="147"/>
        </w:trPr>
        <w:tc>
          <w:tcPr>
            <w:tcW w:w="2860" w:type="dxa"/>
            <w:vAlign w:val="bottom"/>
          </w:tcPr>
          <w:p>
            <w:pPr>
              <w:jc w:val="center"/>
              <w:ind w:right="84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(Primary Standard Industrial</w:t>
            </w:r>
          </w:p>
        </w:tc>
        <w:tc>
          <w:tcPr>
            <w:tcW w:w="2500" w:type="dxa"/>
            <w:vAlign w:val="bottom"/>
          </w:tcPr>
          <w:p>
            <w:pPr>
              <w:jc w:val="center"/>
              <w:ind w:left="98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(800) 298-6470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57150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Schadt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(800) 298-6470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57150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4"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500" w:type="dxa"/>
            <w:vAlign w:val="bottom"/>
          </w:tcPr>
          <w:p>
            <w:pPr>
              <w:ind w:left="680"/>
              <w:spacing w:after="0"/>
              <w:rPr>
                <w:sz w:val="20"/>
                <w:szCs w:val="20"/>
                <w:color w:val="auto"/>
              </w:rPr>
            </w:pPr>
            <w:r>
              <w:rPr>
                <w:rFonts w:ascii="Arial" w:cs="Arial" w:eastAsia="Arial" w:hAnsi="Arial"/>
                <w:sz w:val="18"/>
                <w:szCs w:val="18"/>
                <w:b w:val="1"/>
                <w:bCs w:val="1"/>
                <w:color w:val="auto"/>
              </w:rPr>
              <w:t>Copies to:</w:t>
            </w:r>
          </w:p>
        </w:tc>
      </w:tr>
      <w:tr>
        <w:trPr>
          <w:trHeight w:val="30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Ethan Skerry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Daniel Clark</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Per B. Chilstrom</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General Counsel</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Fenwick &amp; West LLP</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Sema4 Holdings Corp.</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902 Broadway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333 Ludlow Street, North Tower, 8th Floor</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10010</w:t>
            </w:r>
          </w:p>
        </w:tc>
        <w:tc>
          <w:tcPr>
            <w:tcW w:w="550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Stamford, Connecticut 06902</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430-2600</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(800) 298-6470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120015</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From time to time after the effective date of this registration statement.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67" w:lineRule="exact"/>
        <w:rPr>
          <w:sz w:val="24"/>
          <w:szCs w:val="24"/>
          <w:color w:val="auto"/>
        </w:rPr>
      </w:pPr>
    </w:p>
    <w:p>
      <w:pPr>
        <w:ind w:right="300"/>
        <w:spacing w:after="0" w:line="29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120"/>
        <w:spacing w:after="0" w:line="291"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100"/>
        <w:spacing w:after="0" w:line="291"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x (333-258467)</w:t>
      </w:r>
    </w:p>
    <w:p>
      <w:pPr>
        <w:spacing w:after="0" w:line="1"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520"/>
              <w:spacing w:after="0"/>
              <w:rPr>
                <w:sz w:val="20"/>
                <w:szCs w:val="20"/>
                <w:color w:val="auto"/>
              </w:rPr>
            </w:pPr>
            <w:r>
              <w:rPr>
                <w:rFonts w:ascii="Arial" w:cs="Arial" w:eastAsia="Arial" w:hAnsi="Arial"/>
                <w:sz w:val="14"/>
                <w:szCs w:val="14"/>
                <w:color w:val="auto"/>
              </w:rPr>
              <w:t>o</w:t>
            </w:r>
          </w:p>
        </w:tc>
        <w:tc>
          <w:tcPr>
            <w:tcW w:w="496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o</w:t>
            </w:r>
          </w:p>
        </w:tc>
      </w:tr>
      <w:tr>
        <w:trPr>
          <w:trHeight w:val="222"/>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6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ind w:right="52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3" w:lineRule="exact"/>
        <w:rPr>
          <w:sz w:val="24"/>
          <w:szCs w:val="24"/>
          <w:color w:val="auto"/>
        </w:rPr>
      </w:pPr>
    </w:p>
    <w:p>
      <w:pPr>
        <w:ind w:right="100"/>
        <w:spacing w:after="0" w:line="25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1" w:name="page2"/>
    <w:bookmarkEnd w:id="1"/>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Post-Effective Amendment No. 1 (this “Amendment”) to the Registration Statement on Form S-1 of Sema4 Holdings Corp. (File No. 333-258467), initially filed on August 4, 2021 and declared effective by the Securities and Exchange Commission on August 12, 2021 (the “Registration Statement”), is being filed as an exhibit-only filing solely (i) to file a consent of Ernst &amp; Young LLP with respect to its report dated March 14, 2022 relating to the financial statements of Sema4 Holdings Corp. contained in its Annual Report on Form 10-K for the year ended December 31, 2021, which consent is filed herewith as Exhibit 23.1 (the “Consent”), and (ii) to incorporate by reference certain additional exhibits that were not previously filed with the Registration Statement (the “Additional Exhibits”). Accordingly, this Amendment consists only of the facing page, this explanatory note, Item 16 of Part II of the Registration Statement, the signature pages to the Registration Statement, and the Consent. The prospectus and the balance of Part II of the Registration Statement are unchanged hereby and have been omitted.</w:t>
      </w:r>
    </w:p>
    <w:p>
      <w:pPr>
        <w:sectPr>
          <w:pgSz w:w="11900" w:h="16838" w:orient="portrait"/>
          <w:cols w:equalWidth="0" w:num="1">
            <w:col w:w="11180"/>
          </w:cols>
          <w:pgMar w:left="320" w:top="1440" w:right="399" w:bottom="1440" w:gutter="0" w:footer="0" w:header="0"/>
        </w:sectPr>
      </w:pPr>
    </w:p>
    <w:bookmarkStart w:id="2" w:name="page3"/>
    <w:bookmarkEnd w:id="2"/>
    <w:p>
      <w:pPr>
        <w:spacing w:after="0" w:line="14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0" w:type="dxa"/>
            <w:vAlign w:val="bottom"/>
            <w:gridSpan w:val="27"/>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10"/>
                <w:szCs w:val="10"/>
                <w:color w:val="auto"/>
              </w:rPr>
            </w:pPr>
          </w:p>
        </w:tc>
        <w:tc>
          <w:tcPr>
            <w:tcW w:w="1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7"/>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40" w:type="dxa"/>
            <w:vAlign w:val="bottom"/>
          </w:tcPr>
          <w:p>
            <w:pPr>
              <w:jc w:val="center"/>
              <w:spacing w:after="0" w:line="171" w:lineRule="exact"/>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gridSpan w:val="33"/>
          </w:tcPr>
          <w:p>
            <w:pPr>
              <w:spacing w:after="0" w:line="171" w:lineRule="exact"/>
              <w:rPr>
                <w:rFonts w:ascii="Arial" w:cs="Arial" w:eastAsia="Arial" w:hAnsi="Arial"/>
                <w:sz w:val="16"/>
                <w:szCs w:val="16"/>
                <w:color w:val="0000FF"/>
              </w:rPr>
            </w:pPr>
            <w:hyperlink r:id="rId16">
              <w:r>
                <w:rPr>
                  <w:rFonts w:ascii="Arial" w:cs="Arial" w:eastAsia="Arial" w:hAnsi="Arial"/>
                  <w:sz w:val="16"/>
                  <w:szCs w:val="16"/>
                  <w:color w:val="0000FF"/>
                </w:rPr>
                <w:t>Agreement and Plan of Merger, dated February 9, 2021, by and</w:t>
              </w:r>
            </w:hyperlink>
          </w:p>
        </w:tc>
        <w:tc>
          <w:tcPr>
            <w:tcW w:w="1400" w:type="dxa"/>
            <w:vAlign w:val="bottom"/>
            <w:gridSpan w:val="2"/>
          </w:tcPr>
          <w:p>
            <w:pPr>
              <w:jc w:val="center"/>
              <w:ind w:right="80"/>
              <w:spacing w:after="0" w:line="171" w:lineRule="exact"/>
              <w:rPr>
                <w:sz w:val="20"/>
                <w:szCs w:val="20"/>
                <w:color w:val="auto"/>
              </w:rPr>
            </w:pPr>
            <w:r>
              <w:rPr>
                <w:rFonts w:ascii="Arial" w:cs="Arial" w:eastAsia="Arial" w:hAnsi="Arial"/>
                <w:sz w:val="16"/>
                <w:szCs w:val="16"/>
                <w:color w:val="auto"/>
                <w:w w:val="97"/>
              </w:rPr>
              <w:t>DEFM14A</w:t>
            </w:r>
          </w:p>
        </w:tc>
        <w:tc>
          <w:tcPr>
            <w:tcW w:w="142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99"/>
              </w:rPr>
              <w:t>Annex A</w:t>
            </w:r>
          </w:p>
        </w:tc>
        <w:tc>
          <w:tcPr>
            <w:tcW w:w="1320" w:type="dxa"/>
            <w:vAlign w:val="bottom"/>
          </w:tcPr>
          <w:p>
            <w:pPr>
              <w:jc w:val="center"/>
              <w:spacing w:after="0" w:line="171" w:lineRule="exact"/>
              <w:rPr>
                <w:sz w:val="20"/>
                <w:szCs w:val="20"/>
                <w:color w:val="auto"/>
              </w:rPr>
            </w:pPr>
            <w:r>
              <w:rPr>
                <w:rFonts w:ascii="Arial" w:cs="Arial" w:eastAsia="Arial" w:hAnsi="Arial"/>
                <w:sz w:val="16"/>
                <w:szCs w:val="16"/>
                <w:color w:val="auto"/>
                <w:w w:val="92"/>
              </w:rPr>
              <w:t>07/02/2021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0"/>
              </w:rPr>
            </w:pPr>
            <w:hyperlink r:id="rId16">
              <w:r>
                <w:rPr>
                  <w:rFonts w:ascii="Arial" w:cs="Arial" w:eastAsia="Arial" w:hAnsi="Arial"/>
                  <w:sz w:val="16"/>
                  <w:szCs w:val="16"/>
                  <w:color w:val="0000FF"/>
                  <w:w w:val="90"/>
                </w:rPr>
                <w:t>among CMLS, Merger Sub and Legacy Sema4, as amended by</w:t>
              </w:r>
            </w:hyperlink>
          </w:p>
        </w:tc>
        <w:tc>
          <w:tcPr>
            <w:tcW w:w="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33"/>
          </w:tcPr>
          <w:p>
            <w:pPr>
              <w:spacing w:after="0" w:line="142" w:lineRule="exact"/>
              <w:rPr>
                <w:rFonts w:ascii="Arial" w:cs="Arial" w:eastAsia="Arial" w:hAnsi="Arial"/>
                <w:sz w:val="16"/>
                <w:szCs w:val="16"/>
                <w:color w:val="0000FF"/>
                <w:w w:val="99"/>
              </w:rPr>
            </w:pPr>
            <w:hyperlink r:id="rId16">
              <w:r>
                <w:rPr>
                  <w:rFonts w:ascii="Arial" w:cs="Arial" w:eastAsia="Arial" w:hAnsi="Arial"/>
                  <w:sz w:val="16"/>
                  <w:szCs w:val="16"/>
                  <w:color w:val="0000FF"/>
                  <w:w w:val="99"/>
                </w:rPr>
                <w:t>Amendment to Agreement and Plan of Merger dated May 3, 2021</w:t>
              </w:r>
            </w:hyperlink>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bottom w:val="single" w:sz="8" w:color="0000FF"/>
            </w:tcBorders>
            <w:gridSpan w:val="18"/>
          </w:tcPr>
          <w:p>
            <w:pPr>
              <w:spacing w:after="0"/>
              <w:rPr>
                <w:rFonts w:ascii="Arial" w:cs="Arial" w:eastAsia="Arial" w:hAnsi="Arial"/>
                <w:sz w:val="16"/>
                <w:szCs w:val="16"/>
                <w:color w:val="0000FF"/>
                <w:w w:val="90"/>
              </w:rPr>
            </w:pPr>
            <w:hyperlink r:id="rId17">
              <w:r>
                <w:rPr>
                  <w:rFonts w:ascii="Arial" w:cs="Arial" w:eastAsia="Arial" w:hAnsi="Arial"/>
                  <w:sz w:val="16"/>
                  <w:szCs w:val="16"/>
                  <w:color w:val="0000FF"/>
                  <w:w w:val="90"/>
                </w:rPr>
                <w:t>Agreement and Plan of Merger and Reorganization, dated as of</w:t>
              </w:r>
            </w:hyperlink>
          </w:p>
        </w:tc>
        <w:tc>
          <w:tcPr>
            <w:tcW w:w="160" w:type="dxa"/>
            <w:vAlign w:val="bottom"/>
            <w:tcBorders>
              <w:top w:val="single" w:sz="8" w:color="0000FF"/>
            </w:tcBorders>
            <w:gridSpan w:val="6"/>
          </w:tcPr>
          <w:p>
            <w:pPr>
              <w:spacing w:after="0"/>
              <w:rPr>
                <w:sz w:val="17"/>
                <w:szCs w:val="17"/>
                <w:color w:val="auto"/>
              </w:rPr>
            </w:pPr>
          </w:p>
        </w:tc>
        <w:tc>
          <w:tcPr>
            <w:tcW w:w="380" w:type="dxa"/>
            <w:vAlign w:val="bottom"/>
            <w:gridSpan w:val="9"/>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01/18/2022</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gridSpan w:val="33"/>
          </w:tcPr>
          <w:p>
            <w:pPr>
              <w:spacing w:after="0" w:line="155" w:lineRule="exact"/>
              <w:rPr>
                <w:rFonts w:ascii="Arial" w:cs="Arial" w:eastAsia="Arial" w:hAnsi="Arial"/>
                <w:sz w:val="16"/>
                <w:szCs w:val="16"/>
                <w:color w:val="0000FF"/>
              </w:rPr>
            </w:pPr>
            <w:hyperlink r:id="rId17">
              <w:r>
                <w:rPr>
                  <w:rFonts w:ascii="Arial" w:cs="Arial" w:eastAsia="Arial" w:hAnsi="Arial"/>
                  <w:sz w:val="16"/>
                  <w:szCs w:val="16"/>
                  <w:color w:val="0000FF"/>
                </w:rPr>
                <w:t>January 14, 2022, by and among, Orion Merger Sub I, Inc., Orion</w:t>
              </w:r>
            </w:hyperlink>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3"/>
          </w:tcPr>
          <w:p>
            <w:pPr>
              <w:spacing w:after="0" w:line="155" w:lineRule="exact"/>
              <w:rPr>
                <w:rFonts w:ascii="Arial" w:cs="Arial" w:eastAsia="Arial" w:hAnsi="Arial"/>
                <w:sz w:val="16"/>
                <w:szCs w:val="16"/>
                <w:color w:val="0000FF"/>
                <w:w w:val="95"/>
              </w:rPr>
            </w:pPr>
            <w:hyperlink r:id="rId17">
              <w:r>
                <w:rPr>
                  <w:rFonts w:ascii="Arial" w:cs="Arial" w:eastAsia="Arial" w:hAnsi="Arial"/>
                  <w:sz w:val="16"/>
                  <w:szCs w:val="16"/>
                  <w:color w:val="0000FF"/>
                  <w:w w:val="95"/>
                </w:rPr>
                <w:t>Merger Sub II, LLC, GeneDx, Inc., GeneDx Holding 2, Inc. and</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2"/>
              </w:rPr>
            </w:pPr>
            <w:hyperlink r:id="rId17">
              <w:r>
                <w:rPr>
                  <w:rFonts w:ascii="Arial" w:cs="Arial" w:eastAsia="Arial" w:hAnsi="Arial"/>
                  <w:sz w:val="16"/>
                  <w:szCs w:val="16"/>
                  <w:color w:val="0000FF"/>
                  <w:w w:val="92"/>
                </w:rPr>
                <w:t>OPKO Health, Inc.</w:t>
              </w:r>
            </w:hyperlink>
          </w:p>
        </w:tc>
        <w:tc>
          <w:tcPr>
            <w:tcW w:w="292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3"/>
          </w:tcPr>
          <w:p>
            <w:pPr>
              <w:spacing w:after="0"/>
              <w:rPr>
                <w:rFonts w:ascii="Arial" w:cs="Arial" w:eastAsia="Arial" w:hAnsi="Arial"/>
                <w:sz w:val="16"/>
                <w:szCs w:val="16"/>
                <w:color w:val="0000FF"/>
                <w:w w:val="97"/>
              </w:rPr>
            </w:pPr>
            <w:hyperlink r:id="rId18">
              <w:r>
                <w:rPr>
                  <w:rFonts w:ascii="Arial" w:cs="Arial" w:eastAsia="Arial" w:hAnsi="Arial"/>
                  <w:sz w:val="16"/>
                  <w:szCs w:val="16"/>
                  <w:color w:val="0000FF"/>
                  <w:w w:val="97"/>
                </w:rPr>
                <w:t>Third Amended and Restated Certificate of Incorporation of Sema4</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r:id="rId18">
              <w:r>
                <w:rPr>
                  <w:rFonts w:ascii="Arial" w:cs="Arial" w:eastAsia="Arial" w:hAnsi="Arial"/>
                  <w:sz w:val="16"/>
                  <w:szCs w:val="16"/>
                  <w:color w:val="0000FF"/>
                  <w:w w:val="92"/>
                </w:rPr>
                <w:t>Holdings Corp.</w:t>
              </w:r>
            </w:hyperlink>
          </w:p>
        </w:tc>
        <w:tc>
          <w:tcPr>
            <w:tcW w:w="338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13"/>
          </w:tcPr>
          <w:p>
            <w:pPr>
              <w:spacing w:after="0"/>
              <w:rPr>
                <w:rFonts w:ascii="Arial" w:cs="Arial" w:eastAsia="Arial" w:hAnsi="Arial"/>
                <w:sz w:val="16"/>
                <w:szCs w:val="16"/>
                <w:color w:val="0000FF"/>
                <w:w w:val="91"/>
              </w:rPr>
            </w:pPr>
            <w:hyperlink r:id="rId19">
              <w:r>
                <w:rPr>
                  <w:rFonts w:ascii="Arial" w:cs="Arial" w:eastAsia="Arial" w:hAnsi="Arial"/>
                  <w:sz w:val="16"/>
                  <w:szCs w:val="16"/>
                  <w:color w:val="0000FF"/>
                  <w:w w:val="91"/>
                </w:rPr>
                <w:t>Restated Bylaws of Sema4 Holdings Corp.</w:t>
              </w:r>
            </w:hyperlink>
          </w:p>
        </w:tc>
        <w:tc>
          <w:tcPr>
            <w:tcW w:w="1860" w:type="dxa"/>
            <w:vAlign w:val="bottom"/>
            <w:gridSpan w:val="20"/>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6"/>
          </w:tcPr>
          <w:p>
            <w:pPr>
              <w:spacing w:after="0"/>
              <w:rPr>
                <w:rFonts w:ascii="Arial" w:cs="Arial" w:eastAsia="Arial" w:hAnsi="Arial"/>
                <w:sz w:val="16"/>
                <w:szCs w:val="16"/>
                <w:color w:val="0000FF"/>
                <w:w w:val="90"/>
              </w:rPr>
            </w:pPr>
            <w:hyperlink r:id="rId20">
              <w:r>
                <w:rPr>
                  <w:rFonts w:ascii="Arial" w:cs="Arial" w:eastAsia="Arial" w:hAnsi="Arial"/>
                  <w:sz w:val="16"/>
                  <w:szCs w:val="16"/>
                  <w:color w:val="0000FF"/>
                  <w:w w:val="90"/>
                </w:rPr>
                <w:t>Specimen Warrant Certificate</w:t>
              </w:r>
            </w:hyperlink>
          </w:p>
        </w:tc>
        <w:tc>
          <w:tcPr>
            <w:tcW w:w="2720" w:type="dxa"/>
            <w:vAlign w:val="bottom"/>
            <w:gridSpan w:val="27"/>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08/24/2020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w w:val="94"/>
              </w:rPr>
            </w:pPr>
            <w:hyperlink r:id="rId21">
              <w:r>
                <w:rPr>
                  <w:rFonts w:ascii="Arial" w:cs="Arial" w:eastAsia="Arial" w:hAnsi="Arial"/>
                  <w:sz w:val="16"/>
                  <w:szCs w:val="16"/>
                  <w:color w:val="0000FF"/>
                  <w:w w:val="94"/>
                </w:rPr>
                <w:t>Warrant Agreement, dated as of September 1, 2020, by and between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09/04/2020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28"/>
          </w:tcPr>
          <w:p>
            <w:pPr>
              <w:spacing w:after="0" w:line="142" w:lineRule="exact"/>
              <w:rPr>
                <w:rFonts w:ascii="Arial" w:cs="Arial" w:eastAsia="Arial" w:hAnsi="Arial"/>
                <w:sz w:val="16"/>
                <w:szCs w:val="16"/>
                <w:color w:val="0000FF"/>
                <w:w w:val="99"/>
              </w:rPr>
            </w:pPr>
            <w:hyperlink r:id="rId21">
              <w:r>
                <w:rPr>
                  <w:rFonts w:ascii="Arial" w:cs="Arial" w:eastAsia="Arial" w:hAnsi="Arial"/>
                  <w:sz w:val="16"/>
                  <w:szCs w:val="16"/>
                  <w:color w:val="0000FF"/>
                  <w:w w:val="99"/>
                </w:rPr>
                <w:t>CM Life Sciences, Inc. and Continental Stock Transfer &amp; Trust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8"/>
              </w:rPr>
            </w:pPr>
            <w:hyperlink r:id="rId21">
              <w:r>
                <w:rPr>
                  <w:rFonts w:ascii="Arial" w:cs="Arial" w:eastAsia="Arial" w:hAnsi="Arial"/>
                  <w:sz w:val="16"/>
                  <w:szCs w:val="16"/>
                  <w:color w:val="0000FF"/>
                  <w:w w:val="88"/>
                </w:rPr>
                <w:t>Company, as warrant agent</w:t>
              </w:r>
            </w:hyperlink>
          </w:p>
        </w:tc>
        <w:tc>
          <w:tcPr>
            <w:tcW w:w="234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rPr>
            </w:pPr>
            <w:hyperlink r:id="rId22">
              <w:r>
                <w:rPr>
                  <w:rFonts w:ascii="Arial" w:cs="Arial" w:eastAsia="Arial" w:hAnsi="Arial"/>
                  <w:sz w:val="16"/>
                  <w:szCs w:val="16"/>
                  <w:color w:val="0000FF"/>
                </w:rPr>
                <w:t>Legal Opinion of Fenwick &amp; West LLP</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08/04/2021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6"/>
          </w:tcPr>
          <w:p>
            <w:pPr>
              <w:spacing w:after="0"/>
              <w:rPr>
                <w:rFonts w:ascii="Arial" w:cs="Arial" w:eastAsia="Arial" w:hAnsi="Arial"/>
                <w:sz w:val="16"/>
                <w:szCs w:val="16"/>
                <w:color w:val="0000FF"/>
                <w:w w:val="94"/>
              </w:rPr>
            </w:pPr>
            <w:hyperlink r:id="rId23">
              <w:r>
                <w:rPr>
                  <w:rFonts w:ascii="Arial" w:cs="Arial" w:eastAsia="Arial" w:hAnsi="Arial"/>
                  <w:sz w:val="16"/>
                  <w:szCs w:val="16"/>
                  <w:color w:val="0000FF"/>
                  <w:w w:val="94"/>
                </w:rPr>
                <w:t>Form of Director and Officer Indemnification Agreement.</w:t>
              </w:r>
            </w:hyperlink>
          </w:p>
        </w:tc>
        <w:tc>
          <w:tcPr>
            <w:tcW w:w="880" w:type="dxa"/>
            <w:vAlign w:val="bottom"/>
            <w:gridSpan w:val="17"/>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w w:val="93"/>
              </w:rPr>
            </w:pPr>
            <w:hyperlink r:id="rId24">
              <w:r>
                <w:rPr>
                  <w:rFonts w:ascii="Arial" w:cs="Arial" w:eastAsia="Arial" w:hAnsi="Arial"/>
                  <w:sz w:val="16"/>
                  <w:szCs w:val="16"/>
                  <w:color w:val="0000FF"/>
                  <w:w w:val="93"/>
                </w:rPr>
                <w:t>Subscription Agreement, dated as of February 9, 2021, by and among</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02/11/2021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
              <w:r>
                <w:rPr>
                  <w:rFonts w:ascii="Arial" w:cs="Arial" w:eastAsia="Arial" w:hAnsi="Arial"/>
                  <w:sz w:val="16"/>
                  <w:szCs w:val="16"/>
                  <w:color w:val="0000FF"/>
                </w:rPr>
                <w:t>the Company and the subscriber parties thereto</w:t>
              </w:r>
            </w:hyperlink>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6"/>
          </w:tcPr>
          <w:p>
            <w:pPr>
              <w:spacing w:after="0"/>
              <w:rPr>
                <w:rFonts w:ascii="Arial" w:cs="Arial" w:eastAsia="Arial" w:hAnsi="Arial"/>
                <w:sz w:val="16"/>
                <w:szCs w:val="16"/>
                <w:color w:val="0000FF"/>
                <w:w w:val="90"/>
              </w:rPr>
            </w:pPr>
            <w:hyperlink r:id="rId25">
              <w:r>
                <w:rPr>
                  <w:rFonts w:ascii="Arial" w:cs="Arial" w:eastAsia="Arial" w:hAnsi="Arial"/>
                  <w:sz w:val="16"/>
                  <w:szCs w:val="16"/>
                  <w:color w:val="0000FF"/>
                  <w:w w:val="90"/>
                </w:rPr>
                <w:t>Amended and Restated Registration Rights Agreement, dated as of</w:t>
              </w:r>
            </w:hyperlink>
          </w:p>
        </w:tc>
        <w:tc>
          <w:tcPr>
            <w:tcW w:w="300" w:type="dxa"/>
            <w:vAlign w:val="bottom"/>
            <w:gridSpan w:val="7"/>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33"/>
          </w:tcPr>
          <w:p>
            <w:pPr>
              <w:spacing w:after="0" w:line="142" w:lineRule="exact"/>
              <w:rPr>
                <w:rFonts w:ascii="Arial" w:cs="Arial" w:eastAsia="Arial" w:hAnsi="Arial"/>
                <w:sz w:val="16"/>
                <w:szCs w:val="16"/>
                <w:color w:val="0000FF"/>
                <w:w w:val="95"/>
              </w:rPr>
            </w:pPr>
            <w:hyperlink r:id="rId25">
              <w:r>
                <w:rPr>
                  <w:rFonts w:ascii="Arial" w:cs="Arial" w:eastAsia="Arial" w:hAnsi="Arial"/>
                  <w:sz w:val="16"/>
                  <w:szCs w:val="16"/>
                  <w:color w:val="0000FF"/>
                  <w:w w:val="95"/>
                </w:rPr>
                <w:t>July 22, 2021, by and among the Company, certain equity holders of</w:t>
              </w:r>
            </w:hyperlink>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tcBorders>
            <w:gridSpan w:val="30"/>
          </w:tcPr>
          <w:p>
            <w:pPr>
              <w:spacing w:after="0" w:line="142" w:lineRule="exact"/>
              <w:rPr>
                <w:rFonts w:ascii="Arial" w:cs="Arial" w:eastAsia="Arial" w:hAnsi="Arial"/>
                <w:sz w:val="16"/>
                <w:szCs w:val="16"/>
                <w:color w:val="0000FF"/>
                <w:w w:val="95"/>
              </w:rPr>
            </w:pPr>
            <w:hyperlink r:id="rId25">
              <w:r>
                <w:rPr>
                  <w:rFonts w:ascii="Arial" w:cs="Arial" w:eastAsia="Arial" w:hAnsi="Arial"/>
                  <w:sz w:val="16"/>
                  <w:szCs w:val="16"/>
                  <w:color w:val="0000FF"/>
                  <w:w w:val="95"/>
                </w:rPr>
                <w:t>the Company named therein and certain equity holders of Sema4</w:t>
              </w:r>
            </w:hyperlink>
          </w:p>
        </w:tc>
        <w:tc>
          <w:tcPr>
            <w:tcW w:w="200" w:type="dxa"/>
            <w:vAlign w:val="bottom"/>
            <w:gridSpan w:val="3"/>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25">
              <w:r>
                <w:rPr>
                  <w:rFonts w:ascii="Arial" w:cs="Arial" w:eastAsia="Arial" w:hAnsi="Arial"/>
                  <w:sz w:val="16"/>
                  <w:szCs w:val="16"/>
                  <w:color w:val="0000FF"/>
                  <w:w w:val="87"/>
                </w:rPr>
                <w:t>named therein</w:t>
              </w:r>
            </w:hyperlink>
          </w:p>
        </w:tc>
        <w:tc>
          <w:tcPr>
            <w:tcW w:w="3280" w:type="dxa"/>
            <w:vAlign w:val="bottom"/>
            <w:tcBorders>
              <w:top w:val="single" w:sz="8" w:color="0000FF"/>
            </w:tcBorders>
            <w:gridSpan w:val="20"/>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w w:val="95"/>
              </w:rPr>
            </w:pPr>
            <w:hyperlink r:id="rId26">
              <w:r>
                <w:rPr>
                  <w:rFonts w:ascii="Arial" w:cs="Arial" w:eastAsia="Arial" w:hAnsi="Arial"/>
                  <w:sz w:val="16"/>
                  <w:szCs w:val="16"/>
                  <w:color w:val="0000FF"/>
                  <w:w w:val="95"/>
                </w:rPr>
                <w:t>Lockup Agreement, dated as of February 9, 2021, by and among the</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02/11/2021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1"/>
              </w:rPr>
            </w:pPr>
            <w:hyperlink r:id="rId26">
              <w:r>
                <w:rPr>
                  <w:rFonts w:ascii="Arial" w:cs="Arial" w:eastAsia="Arial" w:hAnsi="Arial"/>
                  <w:sz w:val="16"/>
                  <w:szCs w:val="16"/>
                  <w:color w:val="0000FF"/>
                  <w:w w:val="91"/>
                </w:rPr>
                <w:t>Company and the stockholder parties identified therein</w:t>
              </w:r>
            </w:hyperlink>
          </w:p>
        </w:tc>
        <w:tc>
          <w:tcPr>
            <w:tcW w:w="860" w:type="dxa"/>
            <w:vAlign w:val="bottom"/>
            <w:tcBorders>
              <w:top w:val="single" w:sz="8" w:color="0000FF"/>
            </w:tcBorders>
            <w:gridSpan w:val="14"/>
          </w:tcPr>
          <w:p>
            <w:pPr>
              <w:spacing w:after="0"/>
              <w:rPr>
                <w:sz w:val="12"/>
                <w:szCs w:val="12"/>
                <w:color w:val="auto"/>
              </w:rPr>
            </w:pPr>
          </w:p>
        </w:tc>
        <w:tc>
          <w:tcPr>
            <w:tcW w:w="22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w w:val="99"/>
              </w:rPr>
            </w:pPr>
            <w:hyperlink r:id="rId27">
              <w:r>
                <w:rPr>
                  <w:rFonts w:ascii="Arial" w:cs="Arial" w:eastAsia="Arial" w:hAnsi="Arial"/>
                  <w:sz w:val="16"/>
                  <w:szCs w:val="16"/>
                  <w:color w:val="0000FF"/>
                  <w:w w:val="99"/>
                </w:rPr>
                <w:t>Form of Stock Option Agreement under the 2021 Incentive Award</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1"/>
              </w:rPr>
            </w:pPr>
            <w:hyperlink r:id="rId27">
              <w:r>
                <w:rPr>
                  <w:rFonts w:ascii="Arial" w:cs="Arial" w:eastAsia="Arial" w:hAnsi="Arial"/>
                  <w:sz w:val="16"/>
                  <w:szCs w:val="16"/>
                  <w:color w:val="0000FF"/>
                  <w:w w:val="81"/>
                </w:rPr>
                <w:t>Plan</w:t>
              </w:r>
            </w:hyperlink>
          </w:p>
        </w:tc>
        <w:tc>
          <w:tcPr>
            <w:tcW w:w="4020" w:type="dxa"/>
            <w:vAlign w:val="bottom"/>
            <w:tcBorders>
              <w:top w:val="single" w:sz="8" w:color="0000FF"/>
            </w:tcBorders>
            <w:gridSpan w:val="24"/>
          </w:tcPr>
          <w:p>
            <w:pPr>
              <w:spacing w:after="0"/>
              <w:rPr>
                <w:sz w:val="12"/>
                <w:szCs w:val="12"/>
                <w:color w:val="auto"/>
              </w:rPr>
            </w:pPr>
          </w:p>
        </w:tc>
        <w:tc>
          <w:tcPr>
            <w:tcW w:w="340" w:type="dxa"/>
            <w:vAlign w:val="bottom"/>
            <w:gridSpan w:val="8"/>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rPr>
            </w:pPr>
            <w:hyperlink r:id="rId28">
              <w:r>
                <w:rPr>
                  <w:rFonts w:ascii="Arial" w:cs="Arial" w:eastAsia="Arial" w:hAnsi="Arial"/>
                  <w:sz w:val="16"/>
                  <w:szCs w:val="16"/>
                  <w:color w:val="0000FF"/>
                </w:rPr>
                <w:t>Form of RSU Agreement under the 2021 Incentive Award Plan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2"/>
              </w:rPr>
            </w:pPr>
            <w:hyperlink r:id="rId29">
              <w:r>
                <w:rPr>
                  <w:rFonts w:ascii="Arial" w:cs="Arial" w:eastAsia="Arial" w:hAnsi="Arial"/>
                  <w:sz w:val="16"/>
                  <w:szCs w:val="16"/>
                  <w:color w:val="0000FF"/>
                  <w:w w:val="92"/>
                </w:rPr>
                <w:t>Form of Earn-Out RSU Agreement</w:t>
              </w:r>
            </w:hyperlink>
          </w:p>
        </w:tc>
        <w:tc>
          <w:tcPr>
            <w:tcW w:w="1800" w:type="dxa"/>
            <w:vAlign w:val="bottom"/>
            <w:tcBorders>
              <w:top w:val="single" w:sz="8" w:color="0000FF"/>
            </w:tcBorders>
            <w:gridSpan w:val="10"/>
          </w:tcPr>
          <w:p>
            <w:pPr>
              <w:spacing w:after="0"/>
              <w:rPr>
                <w:sz w:val="17"/>
                <w:szCs w:val="17"/>
                <w:color w:val="auto"/>
              </w:rPr>
            </w:pPr>
          </w:p>
        </w:tc>
        <w:tc>
          <w:tcPr>
            <w:tcW w:w="560" w:type="dxa"/>
            <w:vAlign w:val="bottom"/>
            <w:gridSpan w:val="16"/>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5"/>
          </w:tcPr>
          <w:p>
            <w:pPr>
              <w:spacing w:after="0"/>
              <w:rPr>
                <w:rFonts w:ascii="Arial" w:cs="Arial" w:eastAsia="Arial" w:hAnsi="Arial"/>
                <w:sz w:val="16"/>
                <w:szCs w:val="16"/>
                <w:color w:val="0000FF"/>
                <w:w w:val="91"/>
              </w:rPr>
            </w:pPr>
            <w:hyperlink r:id="rId30">
              <w:r>
                <w:rPr>
                  <w:rFonts w:ascii="Arial" w:cs="Arial" w:eastAsia="Arial" w:hAnsi="Arial"/>
                  <w:sz w:val="16"/>
                  <w:szCs w:val="16"/>
                  <w:color w:val="0000FF"/>
                  <w:w w:val="91"/>
                </w:rPr>
                <w:t>2021 Incentive Award Plan</w:t>
              </w:r>
            </w:hyperlink>
          </w:p>
        </w:tc>
        <w:tc>
          <w:tcPr>
            <w:tcW w:w="2880" w:type="dxa"/>
            <w:vAlign w:val="bottom"/>
            <w:gridSpan w:val="28"/>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rPr>
                <w:rFonts w:ascii="Arial" w:cs="Arial" w:eastAsia="Arial" w:hAnsi="Arial"/>
                <w:sz w:val="16"/>
                <w:szCs w:val="16"/>
                <w:color w:val="0000FF"/>
                <w:w w:val="89"/>
              </w:rPr>
            </w:pPr>
            <w:hyperlink r:id="rId31">
              <w:r>
                <w:rPr>
                  <w:rFonts w:ascii="Arial" w:cs="Arial" w:eastAsia="Arial" w:hAnsi="Arial"/>
                  <w:sz w:val="16"/>
                  <w:szCs w:val="16"/>
                  <w:color w:val="0000FF"/>
                  <w:w w:val="89"/>
                </w:rPr>
                <w:t>2021 Employee Stock Purchase Plan</w:t>
              </w:r>
            </w:hyperlink>
          </w:p>
        </w:tc>
        <w:tc>
          <w:tcPr>
            <w:tcW w:w="2260" w:type="dxa"/>
            <w:vAlign w:val="bottom"/>
            <w:gridSpan w:val="25"/>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rPr>
            </w:pPr>
            <w:hyperlink r:id="rId32">
              <w:r>
                <w:rPr>
                  <w:rFonts w:ascii="Arial" w:cs="Arial" w:eastAsia="Arial" w:hAnsi="Arial"/>
                  <w:sz w:val="16"/>
                  <w:szCs w:val="16"/>
                  <w:color w:val="0000FF"/>
                </w:rPr>
                <w:t>Amended and Restated Employment Agreement of Eric Schadt.</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0"/>
          </w:tcPr>
          <w:p>
            <w:pPr>
              <w:spacing w:after="0"/>
              <w:rPr>
                <w:rFonts w:ascii="Arial" w:cs="Arial" w:eastAsia="Arial" w:hAnsi="Arial"/>
                <w:sz w:val="16"/>
                <w:szCs w:val="16"/>
                <w:color w:val="0000FF"/>
              </w:rPr>
            </w:pPr>
            <w:hyperlink r:id="rId33">
              <w:r>
                <w:rPr>
                  <w:rFonts w:ascii="Arial" w:cs="Arial" w:eastAsia="Arial" w:hAnsi="Arial"/>
                  <w:sz w:val="16"/>
                  <w:szCs w:val="16"/>
                  <w:color w:val="0000FF"/>
                </w:rPr>
                <w:t>Employment Agreement of Isaac Ro.</w:t>
              </w:r>
            </w:hyperlink>
          </w:p>
        </w:tc>
        <w:tc>
          <w:tcPr>
            <w:tcW w:w="500" w:type="dxa"/>
            <w:vAlign w:val="bottom"/>
            <w:gridSpan w:val="13"/>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10"/>
          </w:tcPr>
          <w:p>
            <w:pPr>
              <w:spacing w:after="0"/>
              <w:rPr>
                <w:rFonts w:ascii="Arial" w:cs="Arial" w:eastAsia="Arial" w:hAnsi="Arial"/>
                <w:sz w:val="16"/>
                <w:szCs w:val="16"/>
                <w:color w:val="0000FF"/>
                <w:w w:val="93"/>
              </w:rPr>
            </w:pPr>
            <w:hyperlink r:id="rId34">
              <w:r>
                <w:rPr>
                  <w:rFonts w:ascii="Arial" w:cs="Arial" w:eastAsia="Arial" w:hAnsi="Arial"/>
                  <w:sz w:val="16"/>
                  <w:szCs w:val="16"/>
                  <w:color w:val="0000FF"/>
                  <w:w w:val="93"/>
                </w:rPr>
                <w:t>Employment Agreement of Dan Clark.</w:t>
              </w:r>
            </w:hyperlink>
          </w:p>
        </w:tc>
        <w:tc>
          <w:tcPr>
            <w:tcW w:w="2080" w:type="dxa"/>
            <w:vAlign w:val="bottom"/>
            <w:gridSpan w:val="23"/>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rPr>
            </w:pPr>
            <w:hyperlink r:id="rId35">
              <w:r>
                <w:rPr>
                  <w:rFonts w:ascii="Arial" w:cs="Arial" w:eastAsia="Arial" w:hAnsi="Arial"/>
                  <w:sz w:val="16"/>
                  <w:szCs w:val="16"/>
                  <w:color w:val="0000FF"/>
                </w:rPr>
                <w:t>Employment Agreement of James Coffin.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right w:val="single" w:sz="8" w:color="0000FF"/>
            </w:tcBorders>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3"/>
          </w:tcPr>
          <w:p>
            <w:pPr>
              <w:spacing w:after="0"/>
              <w:rPr>
                <w:rFonts w:ascii="Arial" w:cs="Arial" w:eastAsia="Arial" w:hAnsi="Arial"/>
                <w:sz w:val="16"/>
                <w:szCs w:val="16"/>
                <w:color w:val="0000FF"/>
              </w:rPr>
            </w:pPr>
            <w:hyperlink r:id="rId36">
              <w:r>
                <w:rPr>
                  <w:rFonts w:ascii="Arial" w:cs="Arial" w:eastAsia="Arial" w:hAnsi="Arial"/>
                  <w:sz w:val="16"/>
                  <w:szCs w:val="16"/>
                  <w:color w:val="0000FF"/>
                </w:rPr>
                <w:t>Employment Agreement of Anthony Prentice.</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1"/>
              </w:rPr>
            </w:pPr>
            <w:hyperlink r:id="rId37">
              <w:r>
                <w:rPr>
                  <w:rFonts w:ascii="Arial" w:cs="Arial" w:eastAsia="Arial" w:hAnsi="Arial"/>
                  <w:sz w:val="16"/>
                  <w:szCs w:val="16"/>
                  <w:color w:val="0000FF"/>
                  <w:w w:val="91"/>
                </w:rPr>
                <w:t>Employment Agreement of Kareem Saad.</w:t>
              </w:r>
            </w:hyperlink>
          </w:p>
        </w:tc>
        <w:tc>
          <w:tcPr>
            <w:tcW w:w="320" w:type="dxa"/>
            <w:vAlign w:val="bottom"/>
            <w:tcBorders>
              <w:top w:val="single" w:sz="8" w:color="0000FF"/>
            </w:tcBorders>
            <w:gridSpan w:val="2"/>
          </w:tcPr>
          <w:p>
            <w:pPr>
              <w:spacing w:after="0"/>
              <w:rPr>
                <w:sz w:val="17"/>
                <w:szCs w:val="17"/>
                <w:color w:val="auto"/>
              </w:rPr>
            </w:pPr>
          </w:p>
        </w:tc>
        <w:tc>
          <w:tcPr>
            <w:tcW w:w="1600" w:type="dxa"/>
            <w:vAlign w:val="bottom"/>
            <w:gridSpan w:val="19"/>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11"/>
          </w:tcPr>
          <w:p>
            <w:pPr>
              <w:spacing w:after="0"/>
              <w:rPr>
                <w:rFonts w:ascii="Arial" w:cs="Arial" w:eastAsia="Arial" w:hAnsi="Arial"/>
                <w:sz w:val="16"/>
                <w:szCs w:val="16"/>
                <w:color w:val="0000FF"/>
                <w:w w:val="92"/>
              </w:rPr>
            </w:pPr>
            <w:hyperlink r:id="rId38">
              <w:r>
                <w:rPr>
                  <w:rFonts w:ascii="Arial" w:cs="Arial" w:eastAsia="Arial" w:hAnsi="Arial"/>
                  <w:sz w:val="16"/>
                  <w:szCs w:val="16"/>
                  <w:color w:val="0000FF"/>
                  <w:w w:val="92"/>
                </w:rPr>
                <w:t>Employment Agreement of Karen White.</w:t>
              </w:r>
            </w:hyperlink>
          </w:p>
        </w:tc>
        <w:tc>
          <w:tcPr>
            <w:tcW w:w="1940" w:type="dxa"/>
            <w:vAlign w:val="bottom"/>
            <w:gridSpan w:val="22"/>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189" w:lineRule="exact"/>
        <w:rPr>
          <w:sz w:val="20"/>
          <w:szCs w:val="20"/>
          <w:color w:val="auto"/>
        </w:rPr>
      </w:pPr>
    </w:p>
    <w:p>
      <w:pPr>
        <w:ind w:left="800" w:right="4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39">
        <w:r>
          <w:rPr>
            <w:rFonts w:ascii="Arial" w:cs="Arial" w:eastAsia="Arial" w:hAnsi="Arial"/>
            <w:sz w:val="16"/>
            <w:szCs w:val="16"/>
            <w:u w:val="single" w:color="auto"/>
            <w:color w:val="0000FF"/>
          </w:rPr>
          <w:t>Sub-Sublease, dated as of June 6, 2017, by and between Icahn School</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of Medicine at Mount Sinai and the Company, as amended July 31,</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2019.</w:t>
        </w:r>
      </w:hyperlink>
    </w:p>
    <w:p>
      <w:pPr>
        <w:spacing w:after="0" w:line="11" w:lineRule="exact"/>
        <w:rPr>
          <w:rFonts w:ascii="Arial" w:cs="Arial" w:eastAsia="Arial" w:hAnsi="Arial"/>
          <w:sz w:val="16"/>
          <w:szCs w:val="16"/>
          <w:u w:val="single" w:color="auto"/>
          <w:color w:val="0000FF"/>
        </w:rPr>
      </w:pPr>
    </w:p>
    <w:p>
      <w:pPr>
        <w:ind w:left="800" w:right="80" w:hanging="8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40">
        <w:r>
          <w:rPr>
            <w:rFonts w:ascii="Arial" w:cs="Arial" w:eastAsia="Arial" w:hAnsi="Arial"/>
            <w:sz w:val="16"/>
            <w:szCs w:val="16"/>
            <w:u w:val="single" w:color="auto"/>
            <w:color w:val="0000FF"/>
          </w:rPr>
          <w:t>Sublease Agreement, dated as of November 8, 2019, by and between</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Marriott International, Inc. and the Company.</w:t>
        </w:r>
      </w:hyperlink>
    </w:p>
    <w:p>
      <w:pPr>
        <w:spacing w:after="0" w:line="10" w:lineRule="exact"/>
        <w:rPr>
          <w:sz w:val="20"/>
          <w:szCs w:val="20"/>
          <w:color w:val="auto"/>
        </w:rPr>
      </w:pPr>
    </w:p>
    <w:p>
      <w:pPr>
        <w:jc w:val="both"/>
        <w:ind w:left="800" w:right="16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41">
        <w:r>
          <w:rPr>
            <w:rFonts w:ascii="Arial" w:cs="Arial" w:eastAsia="Arial" w:hAnsi="Arial"/>
            <w:sz w:val="16"/>
            <w:szCs w:val="16"/>
            <w:u w:val="single" w:color="auto"/>
            <w:color w:val="0000FF"/>
          </w:rPr>
          <w:t>Sublease, dated as of June 1, 2017, by and between Icahn School of</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Medicine at Mount Sinai and the Company, as amended December</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22, 2017.</w:t>
        </w:r>
      </w:hyperlink>
    </w:p>
    <w:p>
      <w:pPr>
        <w:spacing w:after="0" w:line="11" w:lineRule="exact"/>
        <w:rPr>
          <w:rFonts w:ascii="Arial" w:cs="Arial" w:eastAsia="Arial" w:hAnsi="Arial"/>
          <w:sz w:val="16"/>
          <w:szCs w:val="16"/>
          <w:u w:val="single" w:color="auto"/>
          <w:color w:val="0000FF"/>
        </w:rPr>
      </w:pPr>
    </w:p>
    <w:p>
      <w:pPr>
        <w:ind w:left="800" w:right="40" w:hanging="8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42">
        <w:r>
          <w:rPr>
            <w:rFonts w:ascii="Arial" w:cs="Arial" w:eastAsia="Arial" w:hAnsi="Arial"/>
            <w:sz w:val="16"/>
            <w:szCs w:val="16"/>
            <w:u w:val="single" w:color="auto"/>
            <w:color w:val="0000FF"/>
          </w:rPr>
          <w:t>Sublease, dated as of April 23, 2019, by and between Icahn School of</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Medicine at Mount Sinai and the Company.</w:t>
        </w:r>
      </w:hyperlink>
    </w:p>
    <w:p>
      <w:pPr>
        <w:spacing w:after="0" w:line="10" w:lineRule="exact"/>
        <w:rPr>
          <w:sz w:val="20"/>
          <w:szCs w:val="20"/>
          <w:color w:val="auto"/>
        </w:rPr>
      </w:pPr>
    </w:p>
    <w:p>
      <w:pPr>
        <w:jc w:val="center"/>
        <w:ind w:right="260"/>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10.21*     </w:t>
      </w:r>
      <w:hyperlink r:id="rId43">
        <w:r>
          <w:rPr>
            <w:rFonts w:ascii="Arial" w:cs="Arial" w:eastAsia="Arial" w:hAnsi="Arial"/>
            <w:sz w:val="16"/>
            <w:szCs w:val="16"/>
            <w:u w:val="single" w:color="auto"/>
            <w:color w:val="0000FF"/>
          </w:rPr>
          <w:t>Lease Agreement, dated as of January 31, 2020, by and between 1</w:t>
        </w:r>
      </w:hyperlink>
      <w:r>
        <w:rPr>
          <w:rFonts w:ascii="Arial" w:cs="Arial" w:eastAsia="Arial" w:hAnsi="Arial"/>
          <w:sz w:val="16"/>
          <w:szCs w:val="16"/>
          <w:color w:val="auto"/>
        </w:rPr>
        <w:t xml:space="preserve"> </w:t>
      </w:r>
      <w:hyperlink r:id="rId43">
        <w:r>
          <w:rPr>
            <w:rFonts w:ascii="Arial" w:cs="Arial" w:eastAsia="Arial" w:hAnsi="Arial"/>
            <w:sz w:val="16"/>
            <w:szCs w:val="16"/>
            <w:u w:val="single" w:color="auto"/>
            <w:color w:val="0000FF"/>
          </w:rPr>
          <w:t>Commercial Street Associates, LLC and the Company.</w:t>
        </w:r>
      </w:hyperlink>
    </w:p>
    <w:p>
      <w:pPr>
        <w:spacing w:after="0" w:line="10" w:lineRule="exact"/>
        <w:rPr>
          <w:sz w:val="20"/>
          <w:szCs w:val="20"/>
          <w:color w:val="auto"/>
        </w:rPr>
      </w:pPr>
    </w:p>
    <w:p>
      <w:pPr>
        <w:jc w:val="both"/>
        <w:ind w:left="800" w:right="60" w:hanging="800"/>
        <w:spacing w:after="0" w:line="268" w:lineRule="auto"/>
        <w:tabs>
          <w:tab w:leader="none" w:pos="780" w:val="left"/>
        </w:tabs>
        <w:rPr>
          <w:rFonts w:ascii="Arial" w:cs="Arial" w:eastAsia="Arial" w:hAnsi="Arial"/>
          <w:sz w:val="14"/>
          <w:szCs w:val="14"/>
          <w:color w:val="0000FF"/>
        </w:rPr>
      </w:pPr>
      <w:r>
        <w:rPr>
          <w:rFonts w:ascii="Arial" w:cs="Arial" w:eastAsia="Arial" w:hAnsi="Arial"/>
          <w:sz w:val="16"/>
          <w:szCs w:val="16"/>
          <w:color w:val="auto"/>
        </w:rPr>
        <w:t>10.22*</w:t>
      </w:r>
      <w:r>
        <w:rPr>
          <w:sz w:val="20"/>
          <w:szCs w:val="20"/>
          <w:color w:val="auto"/>
        </w:rPr>
        <w:tab/>
      </w:r>
      <w:hyperlink r:id="rId44">
        <w:r>
          <w:rPr>
            <w:rFonts w:ascii="Arial" w:cs="Arial" w:eastAsia="Arial" w:hAnsi="Arial"/>
            <w:sz w:val="14"/>
            <w:szCs w:val="14"/>
            <w:u w:val="single" w:color="auto"/>
            <w:color w:val="0000FF"/>
          </w:rPr>
          <w:t>Master Services Agreement, dated as of April 2, 2018, by and among</w:t>
        </w:r>
      </w:hyperlink>
      <w:r>
        <w:rPr>
          <w:rFonts w:ascii="Arial" w:cs="Arial" w:eastAsia="Arial" w:hAnsi="Arial"/>
          <w:sz w:val="14"/>
          <w:szCs w:val="14"/>
          <w:u w:val="single" w:color="auto"/>
          <w:color w:val="0000FF"/>
        </w:rPr>
        <w:t xml:space="preserve"> </w:t>
      </w:r>
      <w:hyperlink r:id="rId44">
        <w:r>
          <w:rPr>
            <w:rFonts w:ascii="Arial" w:cs="Arial" w:eastAsia="Arial" w:hAnsi="Arial"/>
            <w:sz w:val="14"/>
            <w:szCs w:val="14"/>
            <w:u w:val="single" w:color="auto"/>
            <w:color w:val="0000FF"/>
          </w:rPr>
          <w:t>the Company, Icahn School of Medicine at Mount Sinai, The Mount</w:t>
        </w:r>
      </w:hyperlink>
      <w:r>
        <w:rPr>
          <w:rFonts w:ascii="Arial" w:cs="Arial" w:eastAsia="Arial" w:hAnsi="Arial"/>
          <w:sz w:val="14"/>
          <w:szCs w:val="14"/>
          <w:u w:val="single" w:color="auto"/>
          <w:color w:val="0000FF"/>
        </w:rPr>
        <w:t xml:space="preserve"> </w:t>
      </w:r>
      <w:hyperlink r:id="rId44">
        <w:r>
          <w:rPr>
            <w:rFonts w:ascii="Arial" w:cs="Arial" w:eastAsia="Arial" w:hAnsi="Arial"/>
            <w:sz w:val="14"/>
            <w:szCs w:val="14"/>
            <w:u w:val="single" w:color="auto"/>
            <w:color w:val="0000FF"/>
          </w:rPr>
          <w:t>Sinai Hospital, and the parties thereto, as amended July 31, 2019</w:t>
        </w:r>
        <w:r>
          <w:rPr>
            <w:rFonts w:ascii="Arial" w:cs="Arial" w:eastAsia="Arial" w:hAnsi="Arial"/>
            <w:sz w:val="14"/>
            <w:szCs w:val="14"/>
            <w:color w:val="000000"/>
          </w:rPr>
          <w:t>.</w:t>
        </w:r>
      </w:hyperlink>
    </w:p>
    <w:p>
      <w:pPr>
        <w:spacing w:after="0" w:line="1" w:lineRule="exact"/>
        <w:rPr>
          <w:rFonts w:ascii="Arial" w:cs="Arial" w:eastAsia="Arial" w:hAnsi="Arial"/>
          <w:sz w:val="14"/>
          <w:szCs w:val="14"/>
          <w:u w:val="single" w:color="auto"/>
          <w:color w:val="0000FF"/>
        </w:rPr>
      </w:pPr>
    </w:p>
    <w:p>
      <w:pPr>
        <w:ind w:left="800" w:right="6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45">
        <w:r>
          <w:rPr>
            <w:rFonts w:ascii="Arial" w:cs="Arial" w:eastAsia="Arial" w:hAnsi="Arial"/>
            <w:sz w:val="16"/>
            <w:szCs w:val="16"/>
            <w:u w:val="single" w:color="auto"/>
            <w:color w:val="0000FF"/>
          </w:rPr>
          <w:t>Master Services Agreement, dated as of May 10, 2018, by and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between the Company and Icahn School of Medicine at Mount Sinai,</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as amended July 31, 2019.</w:t>
        </w:r>
      </w:hyperlink>
    </w:p>
    <w:p>
      <w:pPr>
        <w:spacing w:after="0" w:line="11" w:lineRule="exact"/>
        <w:rPr>
          <w:rFonts w:ascii="Arial" w:cs="Arial" w:eastAsia="Arial" w:hAnsi="Arial"/>
          <w:sz w:val="16"/>
          <w:szCs w:val="16"/>
          <w:u w:val="single" w:color="auto"/>
          <w:color w:val="0000FF"/>
        </w:rPr>
      </w:pPr>
    </w:p>
    <w:p>
      <w:pPr>
        <w:ind w:left="800" w:right="12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46">
        <w:r>
          <w:rPr>
            <w:rFonts w:ascii="Arial" w:cs="Arial" w:eastAsia="Arial" w:hAnsi="Arial"/>
            <w:sz w:val="16"/>
            <w:szCs w:val="16"/>
            <w:u w:val="single" w:color="auto"/>
            <w:color w:val="0000FF"/>
          </w:rPr>
          <w:t>Data Structuring and Curation Agreement, dated as of August 1,</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2019, by and between Icahn School of Medicine at Mount Sinai and</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the Company.</w:t>
        </w:r>
      </w:hyperlink>
    </w:p>
    <w:p>
      <w:pPr>
        <w:spacing w:after="0" w:line="11" w:lineRule="exact"/>
        <w:rPr>
          <w:rFonts w:ascii="Arial" w:cs="Arial" w:eastAsia="Arial" w:hAnsi="Arial"/>
          <w:sz w:val="16"/>
          <w:szCs w:val="16"/>
          <w:u w:val="single" w:color="auto"/>
          <w:color w:val="0000FF"/>
        </w:rPr>
      </w:pPr>
    </w:p>
    <w:p>
      <w:pPr>
        <w:ind w:left="800" w:right="16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47">
        <w:r>
          <w:rPr>
            <w:rFonts w:ascii="Arial" w:cs="Arial" w:eastAsia="Arial" w:hAnsi="Arial"/>
            <w:sz w:val="16"/>
            <w:szCs w:val="16"/>
            <w:u w:val="single" w:color="auto"/>
            <w:color w:val="0000FF"/>
          </w:rPr>
          <w:t>BioMe Biospecimen and Data Access Agreement, dated as of July</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19, 2019, by and between Icahn School of Medicine at Mount Sinai</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and the Company.</w:t>
        </w:r>
      </w:hyperlink>
    </w:p>
    <w:p>
      <w:pPr>
        <w:spacing w:after="0" w:line="11" w:lineRule="exact"/>
        <w:rPr>
          <w:rFonts w:ascii="Arial" w:cs="Arial" w:eastAsia="Arial" w:hAnsi="Arial"/>
          <w:sz w:val="16"/>
          <w:szCs w:val="16"/>
          <w:u w:val="single" w:color="auto"/>
          <w:color w:val="0000FF"/>
        </w:rPr>
      </w:pPr>
    </w:p>
    <w:p>
      <w:pPr>
        <w:ind w:left="800" w:right="14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48">
        <w:r>
          <w:rPr>
            <w:rFonts w:ascii="Arial" w:cs="Arial" w:eastAsia="Arial" w:hAnsi="Arial"/>
            <w:sz w:val="16"/>
            <w:szCs w:val="16"/>
            <w:u w:val="single" w:color="auto"/>
            <w:color w:val="0000FF"/>
          </w:rPr>
          <w:t>Non-Exclusive Patent License Agreement, dated as of June 1, 2017,</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by and between the Company and Icahn School of Medicine at</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Mount Sinai.</w:t>
        </w:r>
      </w:hyperlink>
    </w:p>
    <w:p>
      <w:pPr>
        <w:spacing w:after="0" w:line="11" w:lineRule="exact"/>
        <w:rPr>
          <w:rFonts w:ascii="Arial" w:cs="Arial" w:eastAsia="Arial" w:hAnsi="Arial"/>
          <w:sz w:val="16"/>
          <w:szCs w:val="16"/>
          <w:u w:val="single" w:color="auto"/>
          <w:color w:val="0000FF"/>
        </w:rPr>
      </w:pPr>
    </w:p>
    <w:p>
      <w:pPr>
        <w:jc w:val="center"/>
        <w:ind w:right="260"/>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10.27*     </w:t>
      </w:r>
      <w:hyperlink r:id="rId49">
        <w:r>
          <w:rPr>
            <w:rFonts w:ascii="Arial" w:cs="Arial" w:eastAsia="Arial" w:hAnsi="Arial"/>
            <w:sz w:val="16"/>
            <w:szCs w:val="16"/>
            <w:u w:val="single" w:color="auto"/>
            <w:color w:val="0000FF"/>
          </w:rPr>
          <w:t>Supply Agreement, dated as of June 20, 2014, by and between the</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FF"/>
          </w:rPr>
          <w:t>Company and Illumina, Inc., and amendments thereto.</w:t>
        </w:r>
      </w:hyperlink>
    </w:p>
    <w:p>
      <w:pPr>
        <w:spacing w:after="0" w:line="10" w:lineRule="exact"/>
        <w:rPr>
          <w:sz w:val="20"/>
          <w:szCs w:val="20"/>
          <w:color w:val="auto"/>
        </w:rPr>
      </w:pPr>
    </w:p>
    <w:p>
      <w:pPr>
        <w:ind w:left="800" w:right="20" w:hanging="800"/>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50">
        <w:r>
          <w:rPr>
            <w:rFonts w:ascii="Arial" w:cs="Arial" w:eastAsia="Arial" w:hAnsi="Arial"/>
            <w:sz w:val="16"/>
            <w:szCs w:val="16"/>
            <w:u w:val="single" w:color="auto"/>
            <w:color w:val="0000FF"/>
          </w:rPr>
          <w:t>Mount Sinai Genomics, Inc. 2017 Equity Incentive Plan, as amended,</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and forms of equity agreements thereunder.</w:t>
        </w:r>
      </w:hyperlink>
    </w:p>
    <w:p>
      <w:pPr>
        <w:spacing w:after="0" w:line="9" w:lineRule="exact"/>
        <w:rPr>
          <w:sz w:val="20"/>
          <w:szCs w:val="20"/>
          <w:color w:val="auto"/>
        </w:rPr>
      </w:pPr>
    </w:p>
    <w:p>
      <w:pPr>
        <w:ind w:left="800" w:right="220" w:hanging="800"/>
        <w:spacing w:after="0" w:line="301"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10.29*</w:t>
      </w:r>
      <w:r>
        <w:rPr>
          <w:sz w:val="20"/>
          <w:szCs w:val="20"/>
          <w:color w:val="auto"/>
        </w:rPr>
        <w:tab/>
      </w:r>
      <w:hyperlink r:id="rId51">
        <w:r>
          <w:rPr>
            <w:rFonts w:ascii="Arial" w:cs="Arial" w:eastAsia="Arial" w:hAnsi="Arial"/>
            <w:sz w:val="14"/>
            <w:szCs w:val="14"/>
            <w:u w:val="single" w:color="auto"/>
            <w:color w:val="0000FF"/>
          </w:rPr>
          <w:t>Loan and Security Agreement, dated as of November 15, 2021,</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between Silicon Valley Bank, the Company and Sema4 OpCo, Inc.</w:t>
        </w:r>
      </w:hyperlink>
    </w:p>
    <w:p>
      <w:pPr>
        <w:spacing w:after="0" w:line="1" w:lineRule="exact"/>
        <w:rPr>
          <w:sz w:val="20"/>
          <w:szCs w:val="20"/>
          <w:color w:val="auto"/>
        </w:rPr>
      </w:pPr>
    </w:p>
    <w:p>
      <w:pPr>
        <w:ind w:left="800" w:right="260" w:hanging="800"/>
        <w:spacing w:after="0" w:line="281"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10.30*</w:t>
      </w:r>
      <w:r>
        <w:rPr>
          <w:sz w:val="20"/>
          <w:szCs w:val="20"/>
          <w:color w:val="auto"/>
        </w:rPr>
        <w:tab/>
      </w:r>
      <w:hyperlink r:id="rId52">
        <w:r>
          <w:rPr>
            <w:rFonts w:ascii="Arial" w:cs="Arial" w:eastAsia="Arial" w:hAnsi="Arial"/>
            <w:sz w:val="15"/>
            <w:szCs w:val="15"/>
            <w:u w:val="single" w:color="auto"/>
            <w:color w:val="0000FF"/>
          </w:rPr>
          <w:t>Form of Subscription Agreement, dated as of January 14, 2022 by</w:t>
        </w:r>
      </w:hyperlink>
      <w:r>
        <w:rPr>
          <w:rFonts w:ascii="Arial" w:cs="Arial" w:eastAsia="Arial" w:hAnsi="Arial"/>
          <w:sz w:val="15"/>
          <w:szCs w:val="15"/>
          <w:u w:val="single" w:color="auto"/>
          <w:color w:val="0000FF"/>
        </w:rPr>
        <w:t xml:space="preserve"> </w:t>
      </w:r>
      <w:hyperlink r:id="rId52">
        <w:r>
          <w:rPr>
            <w:rFonts w:ascii="Arial" w:cs="Arial" w:eastAsia="Arial" w:hAnsi="Arial"/>
            <w:sz w:val="15"/>
            <w:szCs w:val="15"/>
            <w:u w:val="single" w:color="auto"/>
            <w:color w:val="0000FF"/>
          </w:rPr>
          <w:t>and among the Company and the subscriber parties thereto.</w:t>
        </w:r>
      </w:hyperlink>
    </w:p>
    <w:p>
      <w:pPr>
        <w:spacing w:after="0" w:line="1" w:lineRule="exact"/>
        <w:rPr>
          <w:sz w:val="20"/>
          <w:szCs w:val="20"/>
          <w:color w:val="auto"/>
        </w:rPr>
      </w:pPr>
    </w:p>
    <w:p>
      <w:pPr>
        <w:ind w:left="800" w:right="260" w:hanging="800"/>
        <w:spacing w:after="0" w:line="243"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53">
        <w:r>
          <w:rPr>
            <w:rFonts w:ascii="Arial" w:cs="Arial" w:eastAsia="Arial" w:hAnsi="Arial"/>
            <w:sz w:val="16"/>
            <w:szCs w:val="16"/>
            <w:u w:val="single" w:color="auto"/>
            <w:color w:val="0000FF"/>
          </w:rPr>
          <w:t>Form of Shareholder Agreement, dated as of January 14, 2022, by</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and among the.Company and the stockholder parties identified</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therein.</w:t>
        </w:r>
      </w:hyperlink>
    </w:p>
    <w:p>
      <w:pPr>
        <w:spacing w:after="0" w:line="22" w:lineRule="exact"/>
        <w:rPr>
          <w:rFonts w:ascii="Arial" w:cs="Arial" w:eastAsia="Arial" w:hAnsi="Arial"/>
          <w:sz w:val="16"/>
          <w:szCs w:val="16"/>
          <w:u w:val="single" w:color="auto"/>
          <w:color w:val="0000FF"/>
        </w:rPr>
      </w:pPr>
    </w:p>
    <w:p>
      <w:pPr>
        <w:ind w:left="800" w:right="220" w:hanging="800"/>
        <w:spacing w:after="0" w:line="301"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10.32*</w:t>
      </w:r>
      <w:r>
        <w:rPr>
          <w:sz w:val="20"/>
          <w:szCs w:val="20"/>
          <w:color w:val="auto"/>
        </w:rPr>
        <w:tab/>
      </w:r>
      <w:hyperlink r:id="rId54">
        <w:r>
          <w:rPr>
            <w:rFonts w:ascii="Arial" w:cs="Arial" w:eastAsia="Arial" w:hAnsi="Arial"/>
            <w:sz w:val="14"/>
            <w:szCs w:val="14"/>
            <w:u w:val="single" w:color="auto"/>
            <w:color w:val="0000FF"/>
          </w:rPr>
          <w:t>Form of Support Agreement dated as of January 14, 2022 by and</w:t>
        </w:r>
      </w:hyperlink>
      <w:r>
        <w:rPr>
          <w:rFonts w:ascii="Arial" w:cs="Arial" w:eastAsia="Arial" w:hAnsi="Arial"/>
          <w:sz w:val="14"/>
          <w:szCs w:val="14"/>
          <w:u w:val="single" w:color="auto"/>
          <w:color w:val="0000FF"/>
        </w:rPr>
        <w:t xml:space="preserve"> </w:t>
      </w:r>
      <w:hyperlink r:id="rId54">
        <w:r>
          <w:rPr>
            <w:rFonts w:ascii="Arial" w:cs="Arial" w:eastAsia="Arial" w:hAnsi="Arial"/>
            <w:sz w:val="14"/>
            <w:szCs w:val="14"/>
            <w:u w:val="single" w:color="auto"/>
            <w:color w:val="0000FF"/>
          </w:rPr>
          <w:t>among the Company and the stockholder parties identified therein.</w:t>
        </w:r>
      </w:hyperlink>
    </w:p>
    <w:p>
      <w:pPr>
        <w:spacing w:after="0" w:line="1" w:lineRule="exact"/>
        <w:rPr>
          <w:sz w:val="20"/>
          <w:szCs w:val="20"/>
          <w:color w:val="auto"/>
        </w:rPr>
      </w:pPr>
    </w:p>
    <w:p>
      <w:pPr>
        <w:ind w:left="800" w:right="220" w:hanging="800"/>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55">
        <w:r>
          <w:rPr>
            <w:rFonts w:ascii="Arial" w:cs="Arial" w:eastAsia="Arial" w:hAnsi="Arial"/>
            <w:sz w:val="16"/>
            <w:szCs w:val="16"/>
            <w:u w:val="single" w:color="auto"/>
            <w:color w:val="0000FF"/>
          </w:rPr>
          <w:t>Form of Lock-Up Agreement, by and among the Company and the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stockholder parties identified therein.</w:t>
        </w:r>
      </w:hyperlink>
    </w:p>
    <w:p>
      <w:pPr>
        <w:spacing w:after="0" w:line="9"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10.34*</w:t>
      </w:r>
      <w:r>
        <w:rPr>
          <w:sz w:val="20"/>
          <w:szCs w:val="20"/>
          <w:color w:val="auto"/>
        </w:rPr>
        <w:tab/>
      </w:r>
      <w:hyperlink r:id="rId56">
        <w:r>
          <w:rPr>
            <w:rFonts w:ascii="Arial" w:cs="Arial" w:eastAsia="Arial" w:hAnsi="Arial"/>
            <w:sz w:val="14"/>
            <w:szCs w:val="14"/>
            <w:u w:val="single" w:color="auto"/>
            <w:color w:val="0000FF"/>
          </w:rPr>
          <w:t>Separation Agreement with James Coffin dated as of January 25,</w:t>
        </w:r>
      </w:hyperlink>
    </w:p>
    <w:p>
      <w:pPr>
        <w:spacing w:after="0" w:line="6" w:lineRule="exact"/>
        <w:rPr>
          <w:sz w:val="20"/>
          <w:szCs w:val="20"/>
          <w:color w:val="auto"/>
        </w:rPr>
      </w:pPr>
    </w:p>
    <w:p>
      <w:pPr>
        <w:ind w:left="800"/>
        <w:spacing w:after="0"/>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2022.</w:t>
        </w:r>
      </w:hyperlink>
    </w:p>
    <w:p>
      <w:pPr>
        <w:spacing w:after="0" w:line="32" w:lineRule="exact"/>
        <w:rPr>
          <w:sz w:val="20"/>
          <w:szCs w:val="20"/>
          <w:color w:val="auto"/>
        </w:rPr>
      </w:pPr>
    </w:p>
    <w:p>
      <w:pPr>
        <w:ind w:left="800" w:hanging="800"/>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10.35*</w:t>
      </w:r>
      <w:r>
        <w:rPr>
          <w:sz w:val="20"/>
          <w:szCs w:val="20"/>
          <w:color w:val="auto"/>
        </w:rPr>
        <w:tab/>
      </w:r>
      <w:hyperlink r:id="rId57">
        <w:r>
          <w:rPr>
            <w:rFonts w:ascii="Arial" w:cs="Arial" w:eastAsia="Arial" w:hAnsi="Arial"/>
            <w:sz w:val="16"/>
            <w:szCs w:val="16"/>
            <w:u w:val="single" w:color="auto"/>
            <w:color w:val="0000FF"/>
          </w:rPr>
          <w:t>Executive Chairman Agreement, dated as of January 17, 2022, by and</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between the Company and Jason Ryan.</w:t>
        </w:r>
      </w:hyperlink>
    </w:p>
    <w:p>
      <w:pPr>
        <w:spacing w:after="0" w:line="9" w:lineRule="exact"/>
        <w:rPr>
          <w:sz w:val="20"/>
          <w:szCs w:val="20"/>
          <w:color w:val="auto"/>
        </w:rPr>
      </w:pPr>
    </w:p>
    <w:p>
      <w:pPr>
        <w:ind w:left="40"/>
        <w:spacing w:after="0"/>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21.1*</w:t>
      </w:r>
      <w:r>
        <w:rPr>
          <w:sz w:val="20"/>
          <w:szCs w:val="20"/>
          <w:color w:val="auto"/>
        </w:rPr>
        <w:tab/>
      </w:r>
      <w:hyperlink r:id="rId58">
        <w:r>
          <w:rPr>
            <w:rFonts w:ascii="Arial" w:cs="Arial" w:eastAsia="Arial" w:hAnsi="Arial"/>
            <w:sz w:val="15"/>
            <w:szCs w:val="15"/>
            <w:u w:val="single" w:color="auto"/>
            <w:color w:val="0000FF"/>
          </w:rPr>
          <w:t>List of Subsidiaries</w:t>
        </w:r>
      </w:hyperlink>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S-8</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99.6</w:t>
            </w:r>
          </w:p>
        </w:tc>
        <w:tc>
          <w:tcPr>
            <w:tcW w:w="1160" w:type="dxa"/>
            <w:vAlign w:val="bottom"/>
          </w:tcPr>
          <w:p>
            <w:pPr>
              <w:jc w:val="right"/>
              <w:spacing w:after="0"/>
              <w:rPr>
                <w:sz w:val="20"/>
                <w:szCs w:val="20"/>
                <w:color w:val="auto"/>
              </w:rPr>
            </w:pPr>
            <w:r>
              <w:rPr>
                <w:rFonts w:ascii="Arial" w:cs="Arial" w:eastAsia="Arial" w:hAnsi="Arial"/>
                <w:sz w:val="16"/>
                <w:szCs w:val="16"/>
                <w:color w:val="auto"/>
              </w:rPr>
              <w:t>09/27/2021</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89"/>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160" w:type="dxa"/>
            <w:vAlign w:val="bottom"/>
          </w:tcPr>
          <w:p>
            <w:pPr>
              <w:jc w:val="right"/>
              <w:spacing w:after="0"/>
              <w:rPr>
                <w:sz w:val="20"/>
                <w:szCs w:val="20"/>
                <w:color w:val="auto"/>
              </w:rPr>
            </w:pPr>
            <w:r>
              <w:rPr>
                <w:rFonts w:ascii="Arial" w:cs="Arial" w:eastAsia="Arial" w:hAnsi="Arial"/>
                <w:sz w:val="16"/>
                <w:szCs w:val="16"/>
                <w:color w:val="auto"/>
              </w:rPr>
              <w:t>11/15/2021</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160" w:type="dxa"/>
            <w:vAlign w:val="bottom"/>
          </w:tcPr>
          <w:p>
            <w:pPr>
              <w:jc w:val="right"/>
              <w:spacing w:after="0"/>
              <w:rPr>
                <w:sz w:val="20"/>
                <w:szCs w:val="20"/>
                <w:color w:val="auto"/>
              </w:rPr>
            </w:pPr>
            <w:r>
              <w:rPr>
                <w:rFonts w:ascii="Arial" w:cs="Arial" w:eastAsia="Arial" w:hAnsi="Arial"/>
                <w:sz w:val="16"/>
                <w:szCs w:val="16"/>
                <w:color w:val="auto"/>
              </w:rPr>
              <w:t>01/18/2022</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160" w:type="dxa"/>
            <w:vAlign w:val="bottom"/>
          </w:tcPr>
          <w:p>
            <w:pPr>
              <w:jc w:val="right"/>
              <w:spacing w:after="0"/>
              <w:rPr>
                <w:sz w:val="20"/>
                <w:szCs w:val="20"/>
                <w:color w:val="auto"/>
              </w:rPr>
            </w:pPr>
            <w:r>
              <w:rPr>
                <w:rFonts w:ascii="Arial" w:cs="Arial" w:eastAsia="Arial" w:hAnsi="Arial"/>
                <w:sz w:val="16"/>
                <w:szCs w:val="16"/>
                <w:color w:val="auto"/>
              </w:rPr>
              <w:t>01/18/2022</w:t>
            </w:r>
          </w:p>
        </w:tc>
      </w:tr>
      <w:tr>
        <w:trPr>
          <w:trHeight w:val="58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160" w:type="dxa"/>
            <w:vAlign w:val="bottom"/>
          </w:tcPr>
          <w:p>
            <w:pPr>
              <w:jc w:val="right"/>
              <w:spacing w:after="0"/>
              <w:rPr>
                <w:sz w:val="20"/>
                <w:szCs w:val="20"/>
                <w:color w:val="auto"/>
              </w:rPr>
            </w:pPr>
            <w:r>
              <w:rPr>
                <w:rFonts w:ascii="Arial" w:cs="Arial" w:eastAsia="Arial" w:hAnsi="Arial"/>
                <w:sz w:val="16"/>
                <w:szCs w:val="16"/>
                <w:color w:val="auto"/>
              </w:rPr>
              <w:t>01/18/2022</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160" w:type="dxa"/>
            <w:vAlign w:val="bottom"/>
          </w:tcPr>
          <w:p>
            <w:pPr>
              <w:jc w:val="right"/>
              <w:spacing w:after="0"/>
              <w:rPr>
                <w:sz w:val="20"/>
                <w:szCs w:val="20"/>
                <w:color w:val="auto"/>
              </w:rPr>
            </w:pPr>
            <w:r>
              <w:rPr>
                <w:rFonts w:ascii="Arial" w:cs="Arial" w:eastAsia="Arial" w:hAnsi="Arial"/>
                <w:sz w:val="16"/>
                <w:szCs w:val="16"/>
                <w:color w:val="auto"/>
              </w:rPr>
              <w:t>01/18/2022</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160" w:type="dxa"/>
            <w:vAlign w:val="bottom"/>
          </w:tcPr>
          <w:p>
            <w:pPr>
              <w:jc w:val="right"/>
              <w:spacing w:after="0"/>
              <w:rPr>
                <w:sz w:val="20"/>
                <w:szCs w:val="20"/>
                <w:color w:val="auto"/>
              </w:rPr>
            </w:pPr>
            <w:r>
              <w:rPr>
                <w:rFonts w:ascii="Arial" w:cs="Arial" w:eastAsia="Arial" w:hAnsi="Arial"/>
                <w:sz w:val="16"/>
                <w:szCs w:val="16"/>
                <w:color w:val="auto"/>
              </w:rPr>
              <w:t>01/31/2022</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4"/>
              </w:rPr>
              <w:t>10-K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160" w:type="dxa"/>
            <w:vAlign w:val="bottom"/>
          </w:tcPr>
          <w:p>
            <w:pPr>
              <w:jc w:val="right"/>
              <w:spacing w:after="0"/>
              <w:rPr>
                <w:sz w:val="20"/>
                <w:szCs w:val="20"/>
                <w:color w:val="auto"/>
              </w:rPr>
            </w:pPr>
            <w:r>
              <w:rPr>
                <w:rFonts w:ascii="Arial" w:cs="Arial" w:eastAsia="Arial" w:hAnsi="Arial"/>
                <w:sz w:val="16"/>
                <w:szCs w:val="16"/>
                <w:color w:val="auto"/>
              </w:rPr>
              <w:t>03/14/2022</w:t>
            </w:r>
          </w:p>
        </w:tc>
      </w:tr>
      <w:tr>
        <w:trPr>
          <w:trHeight w:val="405"/>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4"/>
              </w:rPr>
              <w:t>10-K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160" w:type="dxa"/>
            <w:vAlign w:val="bottom"/>
          </w:tcPr>
          <w:p>
            <w:pPr>
              <w:jc w:val="right"/>
              <w:spacing w:after="0"/>
              <w:rPr>
                <w:sz w:val="20"/>
                <w:szCs w:val="20"/>
                <w:color w:val="auto"/>
              </w:rPr>
            </w:pPr>
            <w:r>
              <w:rPr>
                <w:rFonts w:ascii="Arial" w:cs="Arial" w:eastAsia="Arial" w:hAnsi="Arial"/>
                <w:sz w:val="16"/>
                <w:szCs w:val="16"/>
                <w:color w:val="auto"/>
              </w:rPr>
              <w:t>03/14/2022</w:t>
            </w:r>
          </w:p>
        </w:tc>
      </w:tr>
    </w:tbl>
    <w:p>
      <w:pPr>
        <w:sectPr>
          <w:pgSz w:w="11900" w:h="16838" w:orient="portrait"/>
          <w:cols w:equalWidth="0" w:num="2">
            <w:col w:w="5340" w:space="600"/>
            <w:col w:w="3939"/>
          </w:cols>
          <w:pgMar w:left="580" w:top="1440" w:right="1440" w:bottom="1440" w:gutter="0" w:footer="0" w:header="0"/>
        </w:sectPr>
      </w:pPr>
    </w:p>
    <w:bookmarkStart w:id="4" w:name="page5"/>
    <w:bookmarkEnd w:id="4"/>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760" w:type="dxa"/>
            <w:vAlign w:val="bottom"/>
          </w:tcPr>
          <w:p>
            <w:pPr>
              <w:jc w:val="center"/>
              <w:ind w:right="319"/>
              <w:spacing w:after="0"/>
              <w:rPr>
                <w:sz w:val="20"/>
                <w:szCs w:val="20"/>
                <w:color w:val="auto"/>
              </w:rPr>
            </w:pPr>
            <w:r>
              <w:rPr>
                <w:rFonts w:ascii="Arial" w:cs="Arial" w:eastAsia="Arial" w:hAnsi="Arial"/>
                <w:sz w:val="16"/>
                <w:szCs w:val="16"/>
                <w:color w:val="auto"/>
                <w:w w:val="96"/>
              </w:rPr>
              <w:t>23.1*</w:t>
            </w:r>
          </w:p>
        </w:tc>
        <w:tc>
          <w:tcPr>
            <w:tcW w:w="4820" w:type="dxa"/>
            <w:vAlign w:val="bottom"/>
            <w:gridSpan w:val="8"/>
          </w:tcPr>
          <w:p>
            <w:pPr>
              <w:spacing w:after="0"/>
              <w:rPr>
                <w:rFonts w:ascii="Arial" w:cs="Arial" w:eastAsia="Arial" w:hAnsi="Arial"/>
                <w:sz w:val="16"/>
                <w:szCs w:val="16"/>
                <w:color w:val="0000FF"/>
              </w:rPr>
            </w:pPr>
            <w:hyperlink r:id="rId59">
              <w:r>
                <w:rPr>
                  <w:rFonts w:ascii="Arial" w:cs="Arial" w:eastAsia="Arial" w:hAnsi="Arial"/>
                  <w:sz w:val="16"/>
                  <w:szCs w:val="16"/>
                  <w:color w:val="0000FF"/>
                </w:rPr>
                <w:t>Consent of WithumSmith+Brown, PC, independent registered</w:t>
              </w:r>
            </w:hyperlink>
          </w:p>
        </w:tc>
        <w:tc>
          <w:tcPr>
            <w:tcW w:w="1180" w:type="dxa"/>
            <w:vAlign w:val="bottom"/>
          </w:tcPr>
          <w:p>
            <w:pPr>
              <w:ind w:left="380"/>
              <w:spacing w:after="0"/>
              <w:rPr>
                <w:sz w:val="20"/>
                <w:szCs w:val="20"/>
                <w:color w:val="auto"/>
              </w:rPr>
            </w:pPr>
            <w:r>
              <w:rPr>
                <w:rFonts w:ascii="Arial" w:cs="Arial" w:eastAsia="Arial" w:hAnsi="Arial"/>
                <w:sz w:val="16"/>
                <w:szCs w:val="16"/>
                <w:color w:val="auto"/>
              </w:rPr>
              <w:t>S-1</w:t>
            </w: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23.1</w:t>
            </w:r>
          </w:p>
        </w:tc>
        <w:tc>
          <w:tcPr>
            <w:tcW w:w="2280" w:type="dxa"/>
            <w:vAlign w:val="bottom"/>
          </w:tcPr>
          <w:p>
            <w:pPr>
              <w:jc w:val="right"/>
              <w:ind w:right="1019"/>
              <w:spacing w:after="0"/>
              <w:rPr>
                <w:sz w:val="20"/>
                <w:szCs w:val="20"/>
                <w:color w:val="auto"/>
              </w:rPr>
            </w:pPr>
            <w:r>
              <w:rPr>
                <w:rFonts w:ascii="Arial" w:cs="Arial" w:eastAsia="Arial" w:hAnsi="Arial"/>
                <w:sz w:val="16"/>
                <w:szCs w:val="16"/>
                <w:color w:val="auto"/>
              </w:rPr>
              <w:t>08/04/2021</w:t>
            </w:r>
          </w:p>
        </w:tc>
      </w:tr>
      <w:tr>
        <w:trPr>
          <w:trHeight w:val="142"/>
        </w:trPr>
        <w:tc>
          <w:tcPr>
            <w:tcW w:w="76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59">
              <w:r>
                <w:rPr>
                  <w:rFonts w:ascii="Arial" w:cs="Arial" w:eastAsia="Arial" w:hAnsi="Arial"/>
                  <w:sz w:val="16"/>
                  <w:szCs w:val="16"/>
                  <w:color w:val="0000FF"/>
                  <w:w w:val="95"/>
                </w:rPr>
                <w:t>accounting firm for CMLS</w:t>
              </w:r>
            </w:hyperlink>
          </w:p>
        </w:tc>
        <w:tc>
          <w:tcPr>
            <w:tcW w:w="2280" w:type="dxa"/>
            <w:vAlign w:val="bottom"/>
            <w:tcBorders>
              <w:top w:val="single" w:sz="8" w:color="0000FF"/>
            </w:tcBorders>
            <w:gridSpan w:val="2"/>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96"/>
        </w:trPr>
        <w:tc>
          <w:tcPr>
            <w:tcW w:w="760" w:type="dxa"/>
            <w:vAlign w:val="bottom"/>
          </w:tcPr>
          <w:p>
            <w:pPr>
              <w:jc w:val="center"/>
              <w:ind w:right="319"/>
              <w:spacing w:after="0"/>
              <w:rPr>
                <w:sz w:val="20"/>
                <w:szCs w:val="20"/>
                <w:color w:val="auto"/>
              </w:rPr>
            </w:pPr>
            <w:r>
              <w:rPr>
                <w:rFonts w:ascii="Arial" w:cs="Arial" w:eastAsia="Arial" w:hAnsi="Arial"/>
                <w:sz w:val="16"/>
                <w:szCs w:val="16"/>
                <w:color w:val="auto"/>
                <w:w w:val="89"/>
              </w:rPr>
              <w:t>23.2</w:t>
            </w:r>
          </w:p>
        </w:tc>
        <w:tc>
          <w:tcPr>
            <w:tcW w:w="4820" w:type="dxa"/>
            <w:vAlign w:val="bottom"/>
            <w:gridSpan w:val="8"/>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Consent of Ernst &amp; Young LLP, independent registered accounting</w:t>
              </w:r>
            </w:hyperlink>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142"/>
        </w:trPr>
        <w:tc>
          <w:tcPr>
            <w:tcW w:w="760" w:type="dxa"/>
            <w:vAlign w:val="bottom"/>
          </w:tcPr>
          <w:p>
            <w:pPr>
              <w:spacing w:after="0"/>
              <w:rPr>
                <w:sz w:val="12"/>
                <w:szCs w:val="12"/>
                <w:color w:val="auto"/>
              </w:rPr>
            </w:pPr>
          </w:p>
        </w:tc>
        <w:tc>
          <w:tcPr>
            <w:tcW w:w="432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8">
              <w:r>
                <w:rPr>
                  <w:rFonts w:ascii="Arial" w:cs="Arial" w:eastAsia="Arial" w:hAnsi="Arial"/>
                  <w:sz w:val="16"/>
                  <w:szCs w:val="16"/>
                  <w:color w:val="0000FF"/>
                </w:rPr>
                <w:t>firm for Sema4 Holdings Corp.</w:t>
              </w:r>
            </w:hyperlink>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60" w:type="dxa"/>
            <w:vAlign w:val="bottom"/>
          </w:tcPr>
          <w:p>
            <w:pPr>
              <w:jc w:val="center"/>
              <w:ind w:right="319"/>
              <w:spacing w:after="0"/>
              <w:rPr>
                <w:sz w:val="20"/>
                <w:szCs w:val="20"/>
                <w:color w:val="auto"/>
              </w:rPr>
            </w:pPr>
            <w:r>
              <w:rPr>
                <w:rFonts w:ascii="Arial" w:cs="Arial" w:eastAsia="Arial" w:hAnsi="Arial"/>
                <w:sz w:val="16"/>
                <w:szCs w:val="16"/>
                <w:color w:val="auto"/>
                <w:w w:val="96"/>
              </w:rPr>
              <w:t>23.3*</w:t>
            </w:r>
          </w:p>
        </w:tc>
        <w:tc>
          <w:tcPr>
            <w:tcW w:w="4820" w:type="dxa"/>
            <w:vAlign w:val="bottom"/>
            <w:gridSpan w:val="8"/>
          </w:tcPr>
          <w:p>
            <w:pPr>
              <w:spacing w:after="0"/>
              <w:rPr>
                <w:rFonts w:ascii="Arial" w:cs="Arial" w:eastAsia="Arial" w:hAnsi="Arial"/>
                <w:sz w:val="16"/>
                <w:szCs w:val="16"/>
                <w:color w:val="0000FF"/>
              </w:rPr>
            </w:pPr>
            <w:hyperlink r:id="rId22">
              <w:r>
                <w:rPr>
                  <w:rFonts w:ascii="Arial" w:cs="Arial" w:eastAsia="Arial" w:hAnsi="Arial"/>
                  <w:sz w:val="16"/>
                  <w:szCs w:val="16"/>
                  <w:color w:val="0000FF"/>
                </w:rPr>
                <w:t>Consent of Fenwick &amp; West LLP (included as part of Exhibit 5.1)</w:t>
              </w:r>
            </w:hyperlink>
          </w:p>
        </w:tc>
        <w:tc>
          <w:tcPr>
            <w:tcW w:w="1180" w:type="dxa"/>
            <w:vAlign w:val="bottom"/>
          </w:tcPr>
          <w:p>
            <w:pPr>
              <w:ind w:left="380"/>
              <w:spacing w:after="0"/>
              <w:rPr>
                <w:sz w:val="20"/>
                <w:szCs w:val="20"/>
                <w:color w:val="auto"/>
              </w:rPr>
            </w:pPr>
            <w:r>
              <w:rPr>
                <w:rFonts w:ascii="Arial" w:cs="Arial" w:eastAsia="Arial" w:hAnsi="Arial"/>
                <w:sz w:val="16"/>
                <w:szCs w:val="16"/>
                <w:color w:val="auto"/>
              </w:rPr>
              <w:t>S-1</w:t>
            </w: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23.3</w:t>
            </w:r>
          </w:p>
        </w:tc>
        <w:tc>
          <w:tcPr>
            <w:tcW w:w="2280" w:type="dxa"/>
            <w:vAlign w:val="bottom"/>
          </w:tcPr>
          <w:p>
            <w:pPr>
              <w:jc w:val="right"/>
              <w:ind w:right="1019"/>
              <w:spacing w:after="0"/>
              <w:rPr>
                <w:sz w:val="20"/>
                <w:szCs w:val="20"/>
                <w:color w:val="auto"/>
              </w:rPr>
            </w:pPr>
            <w:r>
              <w:rPr>
                <w:rFonts w:ascii="Arial" w:cs="Arial" w:eastAsia="Arial" w:hAnsi="Arial"/>
                <w:sz w:val="16"/>
                <w:szCs w:val="16"/>
                <w:color w:val="auto"/>
              </w:rPr>
              <w:t>08/04/2021</w:t>
            </w: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60" w:type="dxa"/>
            <w:vAlign w:val="bottom"/>
          </w:tcPr>
          <w:p>
            <w:pPr>
              <w:jc w:val="center"/>
              <w:ind w:right="319"/>
              <w:spacing w:after="0"/>
              <w:rPr>
                <w:sz w:val="20"/>
                <w:szCs w:val="20"/>
                <w:color w:val="auto"/>
              </w:rPr>
            </w:pPr>
            <w:r>
              <w:rPr>
                <w:rFonts w:ascii="Arial" w:cs="Arial" w:eastAsia="Arial" w:hAnsi="Arial"/>
                <w:sz w:val="16"/>
                <w:szCs w:val="16"/>
                <w:color w:val="auto"/>
                <w:w w:val="89"/>
              </w:rPr>
              <w:t>24.1</w:t>
            </w:r>
          </w:p>
        </w:tc>
        <w:tc>
          <w:tcPr>
            <w:tcW w:w="4820" w:type="dxa"/>
            <w:vAlign w:val="bottom"/>
            <w:gridSpan w:val="8"/>
          </w:tcPr>
          <w:p>
            <w:pPr>
              <w:spacing w:after="0"/>
              <w:rPr>
                <w:rFonts w:ascii="Arial" w:cs="Arial" w:eastAsia="Arial" w:hAnsi="Arial"/>
                <w:sz w:val="16"/>
                <w:szCs w:val="16"/>
                <w:color w:val="0000FF"/>
                <w:w w:val="99"/>
              </w:rPr>
            </w:pPr>
            <w:hyperlink w:anchor="page5">
              <w:r>
                <w:rPr>
                  <w:rFonts w:ascii="Arial" w:cs="Arial" w:eastAsia="Arial" w:hAnsi="Arial"/>
                  <w:sz w:val="16"/>
                  <w:szCs w:val="16"/>
                  <w:color w:val="0000FF"/>
                  <w:w w:val="99"/>
                </w:rPr>
                <w:t>Power of Attorney (included in the signature page to this registration</w:t>
              </w:r>
            </w:hyperlink>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142"/>
        </w:trPr>
        <w:tc>
          <w:tcPr>
            <w:tcW w:w="760" w:type="dxa"/>
            <w:vAlign w:val="bottom"/>
          </w:tcPr>
          <w:p>
            <w:pPr>
              <w:spacing w:after="0"/>
              <w:rPr>
                <w:sz w:val="12"/>
                <w:szCs w:val="12"/>
                <w:color w:val="auto"/>
              </w:rPr>
            </w:pPr>
          </w:p>
        </w:tc>
        <w:tc>
          <w:tcPr>
            <w:tcW w:w="44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
              <w:r>
                <w:rPr>
                  <w:rFonts w:ascii="Arial" w:cs="Arial" w:eastAsia="Arial" w:hAnsi="Arial"/>
                  <w:sz w:val="16"/>
                  <w:szCs w:val="16"/>
                  <w:color w:val="0000FF"/>
                </w:rPr>
                <w:t>statement).</w:t>
              </w:r>
            </w:hyperlink>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340" w:hanging="332"/>
        <w:spacing w:after="0" w:line="241" w:lineRule="auto"/>
        <w:tabs>
          <w:tab w:leader="none" w:pos="277" w:val="left"/>
        </w:tabs>
        <w:numPr>
          <w:ilvl w:val="0"/>
          <w:numId w:val="1"/>
        </w:numPr>
        <w:rPr>
          <w:rFonts w:ascii="Arial" w:cs="Arial" w:eastAsia="Arial" w:hAnsi="Arial"/>
          <w:sz w:val="14"/>
          <w:szCs w:val="14"/>
          <w:color w:val="auto"/>
        </w:rPr>
      </w:pPr>
      <w:r>
        <w:rPr>
          <w:rFonts w:ascii="Arial" w:cs="Arial" w:eastAsia="Arial" w:hAnsi="Arial"/>
          <w:sz w:val="14"/>
          <w:szCs w:val="14"/>
          <w:color w:val="auto"/>
        </w:rPr>
        <w:t>Certain schedules and exhibits to this Exhibit have been omitted pursuant to Item 601(a)(5) or Item 601(b)(10)(iv), as applicable, of Regulation S-K. The Registrant agrees to furnish supplemental copies of all omitted exhibits and schedules to the Securities and Exchange Commission upon its request.</w:t>
      </w:r>
    </w:p>
    <w:p>
      <w:pPr>
        <w:spacing w:after="0" w:line="1" w:lineRule="exact"/>
        <w:rPr>
          <w:sz w:val="20"/>
          <w:szCs w:val="20"/>
          <w:color w:val="auto"/>
        </w:rPr>
      </w:pPr>
    </w:p>
    <w:p>
      <w:pPr>
        <w:ind w:right="6960" w:firstLine="8"/>
        <w:spacing w:after="0" w:line="255" w:lineRule="auto"/>
        <w:tabs>
          <w:tab w:leader="none" w:pos="252" w:val="left"/>
        </w:tabs>
        <w:numPr>
          <w:ilvl w:val="0"/>
          <w:numId w:val="2"/>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Previously filed.</w:t>
      </w:r>
    </w:p>
    <w:p>
      <w:pPr>
        <w:sectPr>
          <w:pgSz w:w="11900" w:h="16838" w:orient="portrait"/>
          <w:cols w:equalWidth="0" w:num="1">
            <w:col w:w="10700"/>
          </w:cols>
          <w:pgMar w:left="320" w:top="1440" w:right="87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post-effective amendment to registration statement on Form S-1 to be signed on its behalf by the undersigned, thereunto duly authorized, in the City of Stamford, State of Connecticut, on the 14th day of March, 2022.</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259"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Eric Schadt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Eric Schadt, Daniel Clark and Joshua Ruch,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to registration statement on Form S-1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20"/>
                <w:szCs w:val="20"/>
                <w:color w:val="auto"/>
              </w:rPr>
            </w:pPr>
          </w:p>
        </w:tc>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Schadt</w:t>
            </w:r>
          </w:p>
        </w:tc>
        <w:tc>
          <w:tcPr>
            <w:tcW w:w="100" w:type="dxa"/>
            <w:vAlign w:val="bottom"/>
          </w:tcPr>
          <w:p>
            <w:pPr>
              <w:spacing w:after="0"/>
              <w:rPr>
                <w:sz w:val="20"/>
                <w:szCs w:val="20"/>
                <w:color w:val="auto"/>
              </w:rPr>
            </w:pPr>
          </w:p>
        </w:tc>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Eric Schadt</w:t>
            </w:r>
          </w:p>
        </w:tc>
        <w:tc>
          <w:tcPr>
            <w:tcW w:w="100" w:type="dxa"/>
            <w:vAlign w:val="bottom"/>
          </w:tcPr>
          <w:p>
            <w:pPr>
              <w:spacing w:after="0"/>
              <w:rPr>
                <w:sz w:val="8"/>
                <w:szCs w:val="8"/>
                <w:color w:val="auto"/>
              </w:rPr>
            </w:pPr>
          </w:p>
        </w:tc>
        <w:tc>
          <w:tcPr>
            <w:tcW w:w="536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Isaac Ro</w:t>
            </w:r>
          </w:p>
        </w:tc>
        <w:tc>
          <w:tcPr>
            <w:tcW w:w="100" w:type="dxa"/>
            <w:vAlign w:val="bottom"/>
          </w:tcPr>
          <w:p>
            <w:pPr>
              <w:spacing w:after="0"/>
              <w:rPr>
                <w:sz w:val="24"/>
                <w:szCs w:val="24"/>
                <w:color w:val="auto"/>
              </w:rPr>
            </w:pPr>
          </w:p>
        </w:tc>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7"/>
              </w:rPr>
              <w:t>Isaac Ro</w:t>
            </w:r>
          </w:p>
        </w:tc>
        <w:tc>
          <w:tcPr>
            <w:tcW w:w="100" w:type="dxa"/>
            <w:vAlign w:val="bottom"/>
          </w:tcPr>
          <w:p>
            <w:pPr>
              <w:spacing w:after="0"/>
              <w:rPr>
                <w:sz w:val="8"/>
                <w:szCs w:val="8"/>
                <w:color w:val="auto"/>
              </w:rPr>
            </w:pPr>
          </w:p>
        </w:tc>
        <w:tc>
          <w:tcPr>
            <w:tcW w:w="536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7"/>
              </w:rPr>
              <w:t>(Principal Financial Officer)</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Shawn Assad</w:t>
            </w:r>
          </w:p>
        </w:tc>
        <w:tc>
          <w:tcPr>
            <w:tcW w:w="100" w:type="dxa"/>
            <w:vAlign w:val="bottom"/>
          </w:tcPr>
          <w:p>
            <w:pPr>
              <w:spacing w:after="0"/>
              <w:rPr>
                <w:sz w:val="24"/>
                <w:szCs w:val="24"/>
                <w:color w:val="auto"/>
              </w:rPr>
            </w:pPr>
          </w:p>
        </w:tc>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9"/>
              </w:rPr>
              <w:t>Shawn Assad</w:t>
            </w:r>
          </w:p>
        </w:tc>
        <w:tc>
          <w:tcPr>
            <w:tcW w:w="100" w:type="dxa"/>
            <w:vAlign w:val="bottom"/>
          </w:tcPr>
          <w:p>
            <w:pPr>
              <w:spacing w:after="0"/>
              <w:rPr>
                <w:sz w:val="8"/>
                <w:szCs w:val="8"/>
                <w:color w:val="auto"/>
              </w:rPr>
            </w:pPr>
          </w:p>
        </w:tc>
        <w:tc>
          <w:tcPr>
            <w:tcW w:w="536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Executive Chairman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6"/>
              </w:rPr>
              <w:t>Jason Ryan</w:t>
            </w:r>
          </w:p>
        </w:tc>
        <w:tc>
          <w:tcPr>
            <w:tcW w:w="100" w:type="dxa"/>
            <w:vAlign w:val="bottom"/>
          </w:tcPr>
          <w:p>
            <w:pPr>
              <w:spacing w:after="0"/>
              <w:rPr>
                <w:sz w:val="8"/>
                <w:szCs w:val="8"/>
                <w:color w:val="auto"/>
              </w:rPr>
            </w:pPr>
          </w:p>
        </w:tc>
        <w:tc>
          <w:tcPr>
            <w:tcW w:w="536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7"/>
              </w:rPr>
              <w:t>Joshua Ruch</w:t>
            </w:r>
          </w:p>
        </w:tc>
        <w:tc>
          <w:tcPr>
            <w:tcW w:w="100" w:type="dxa"/>
            <w:vAlign w:val="bottom"/>
          </w:tcPr>
          <w:p>
            <w:pPr>
              <w:spacing w:after="0"/>
              <w:rPr>
                <w:sz w:val="8"/>
                <w:szCs w:val="8"/>
                <w:color w:val="auto"/>
              </w:rPr>
            </w:pPr>
          </w:p>
        </w:tc>
        <w:tc>
          <w:tcPr>
            <w:tcW w:w="536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9"/>
              </w:rPr>
              <w:t>Dennis Charney</w:t>
            </w:r>
          </w:p>
        </w:tc>
        <w:tc>
          <w:tcPr>
            <w:tcW w:w="100" w:type="dxa"/>
            <w:vAlign w:val="bottom"/>
          </w:tcPr>
          <w:p>
            <w:pPr>
              <w:spacing w:after="0"/>
              <w:rPr>
                <w:sz w:val="8"/>
                <w:szCs w:val="8"/>
                <w:color w:val="auto"/>
              </w:rPr>
            </w:pPr>
          </w:p>
        </w:tc>
        <w:tc>
          <w:tcPr>
            <w:tcW w:w="536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1"/>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4"/>
              </w:rPr>
              <w:t>Eli D. Casdin</w:t>
            </w:r>
          </w:p>
        </w:tc>
        <w:tc>
          <w:tcPr>
            <w:tcW w:w="100" w:type="dxa"/>
            <w:vAlign w:val="bottom"/>
          </w:tcPr>
          <w:p>
            <w:pPr>
              <w:spacing w:after="0"/>
              <w:rPr>
                <w:sz w:val="8"/>
                <w:szCs w:val="8"/>
                <w:color w:val="auto"/>
              </w:rPr>
            </w:pPr>
          </w:p>
        </w:tc>
        <w:tc>
          <w:tcPr>
            <w:tcW w:w="536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1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4"/>
              </w:rPr>
              <w:t>Emily Leproust</w:t>
            </w:r>
          </w:p>
        </w:tc>
        <w:tc>
          <w:tcPr>
            <w:tcW w:w="100" w:type="dxa"/>
            <w:vAlign w:val="bottom"/>
          </w:tcPr>
          <w:p>
            <w:pPr>
              <w:spacing w:after="0"/>
              <w:rPr>
                <w:sz w:val="8"/>
                <w:szCs w:val="8"/>
                <w:color w:val="auto"/>
              </w:rPr>
            </w:pPr>
          </w:p>
        </w:tc>
        <w:tc>
          <w:tcPr>
            <w:tcW w:w="5360" w:type="dxa"/>
            <w:vAlign w:val="bottom"/>
            <w:gridSpan w:val="2"/>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211" w:lineRule="exact"/>
        <w:rPr>
          <w:sz w:val="20"/>
          <w:szCs w:val="20"/>
          <w:color w:val="auto"/>
        </w:rPr>
      </w:pPr>
    </w:p>
    <w:p>
      <w:pPr>
        <w:jc w:val="center"/>
        <w:ind w:right="1740"/>
        <w:spacing w:after="0"/>
        <w:rPr>
          <w:sz w:val="20"/>
          <w:szCs w:val="20"/>
          <w:color w:val="auto"/>
        </w:rPr>
      </w:pPr>
      <w:r>
        <w:rPr>
          <w:rFonts w:ascii="Arial" w:cs="Arial" w:eastAsia="Arial" w:hAnsi="Arial"/>
          <w:sz w:val="16"/>
          <w:szCs w:val="16"/>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2202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3"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Keith Meister</w:t>
      </w:r>
    </w:p>
    <w:p>
      <w:pPr>
        <w:spacing w:after="0" w:line="131"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02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Michael Pellini</w:t>
      </w:r>
    </w:p>
    <w:p>
      <w:pPr>
        <w:spacing w:after="0" w:line="131"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02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Nat Turner</w:t>
      </w:r>
    </w:p>
    <w:p>
      <w:pPr>
        <w:spacing w:after="0" w:line="131"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02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jc w:val="center"/>
        <w:ind w:right="1740"/>
        <w:spacing w:after="0"/>
        <w:rPr>
          <w:sz w:val="20"/>
          <w:szCs w:val="20"/>
          <w:color w:val="auto"/>
        </w:rPr>
      </w:pPr>
      <w:r>
        <w:rPr>
          <w:rFonts w:ascii="Arial" w:cs="Arial" w:eastAsia="Arial" w:hAnsi="Arial"/>
          <w:sz w:val="16"/>
          <w:szCs w:val="16"/>
          <w:color w:val="auto"/>
        </w:rPr>
        <w:t>Rachel Sherman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*By /s/ Dan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02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Dan Clark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14, 2022</w:t>
      </w:r>
    </w:p>
    <w:p>
      <w:pPr>
        <w:spacing w:after="0" w:line="200" w:lineRule="exact"/>
        <w:rPr>
          <w:sz w:val="20"/>
          <w:szCs w:val="20"/>
          <w:color w:val="auto"/>
        </w:rPr>
      </w:pPr>
    </w:p>
    <w:p>
      <w:pPr>
        <w:spacing w:after="0" w:line="210"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14, 2022</w:t>
      </w:r>
    </w:p>
    <w:p>
      <w:pPr>
        <w:spacing w:after="0" w:line="200" w:lineRule="exact"/>
        <w:rPr>
          <w:sz w:val="20"/>
          <w:szCs w:val="20"/>
          <w:color w:val="auto"/>
        </w:rPr>
      </w:pPr>
    </w:p>
    <w:p>
      <w:pPr>
        <w:spacing w:after="0" w:line="210"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14, 2022</w:t>
      </w:r>
    </w:p>
    <w:p>
      <w:pPr>
        <w:spacing w:after="0" w:line="200" w:lineRule="exact"/>
        <w:rPr>
          <w:sz w:val="20"/>
          <w:szCs w:val="20"/>
          <w:color w:val="auto"/>
        </w:rPr>
      </w:pPr>
    </w:p>
    <w:p>
      <w:pPr>
        <w:spacing w:after="0" w:line="210"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2">
            <w:col w:w="5180" w:space="720"/>
            <w:col w:w="4740"/>
          </w:cols>
          <w:pgMar w:left="340" w:top="1440" w:right="9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We consent to the use in this Registration Statement No. 333-258467 on Form S-1 of our report dated March 14, 2022 with respect to the consolidated financial statements of Sema4 Holdings Corp., included in the Prospectus Supplement of Sema4 Holdings Corp. dated March 14, 2022, which is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Ernst &amp; Young LLP</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New York, New York</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14,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60" Type="http://schemas.openxmlformats.org/officeDocument/2006/relationships/image" Target="media/image9.png"/><Relationship Id="rId61" Type="http://schemas.openxmlformats.org/officeDocument/2006/relationships/image" Target="media/image10.png"/><Relationship Id="rId62" Type="http://schemas.openxmlformats.org/officeDocument/2006/relationships/image" Target="media/image11.png"/><Relationship Id="rId63" Type="http://schemas.openxmlformats.org/officeDocument/2006/relationships/image" Target="media/image12.png"/><Relationship Id="rId64" Type="http://schemas.openxmlformats.org/officeDocument/2006/relationships/image" Target="media/image13.png"/><Relationship Id="rId65" Type="http://schemas.openxmlformats.org/officeDocument/2006/relationships/image" Target="media/image14.png"/><Relationship Id="rId16" Type="http://schemas.openxmlformats.org/officeDocument/2006/relationships/hyperlink" Target="https://www.sec.gov/Archives/edgar/data/1818331/000162828021013404/sema4proxy.htm#i8b8880c1ddfa423593153735d1fc233d_1878" TargetMode="External"/><Relationship Id="rId17" Type="http://schemas.openxmlformats.org/officeDocument/2006/relationships/hyperlink" Target="https://www.sec.gov/Archives/edgar/data/0001818331/000181833122000010/exhibit21-mergeragreement2.htm" TargetMode="External"/><Relationship Id="rId18" Type="http://schemas.openxmlformats.org/officeDocument/2006/relationships/hyperlink" Target="https://www.sec.gov/Archives/edgar/data/1818331/000162828021014760/exhibit31-super8xk.htm" TargetMode="External"/><Relationship Id="rId19" Type="http://schemas.openxmlformats.org/officeDocument/2006/relationships/hyperlink" Target="https://www.sec.gov/Archives/edgar/data/1818331/000162828021014760/exhibit32-super8xk.htm" TargetMode="External"/><Relationship Id="rId20" Type="http://schemas.openxmlformats.org/officeDocument/2006/relationships/hyperlink" Target="https://www.sec.gov/Archives/edgar/data/1818331/000121390020023383/fs12020a1ex4-3_cmlifesci.htm" TargetMode="External"/><Relationship Id="rId21" Type="http://schemas.openxmlformats.org/officeDocument/2006/relationships/hyperlink" Target="https://www.sec.gov/Archives/edgar/data/1818331/000121390020025454/ea126481ex10-1_cmlife.htm" TargetMode="External"/><Relationship Id="rId22" Type="http://schemas.openxmlformats.org/officeDocument/2006/relationships/hyperlink" Target="https://www.sec.gov/Archives/edgar/data/1818331/000162828021015606/exhibit51-resalesx1.htm" TargetMode="External"/><Relationship Id="rId23" Type="http://schemas.openxmlformats.org/officeDocument/2006/relationships/hyperlink" Target="https://www.sec.gov/Archives/edgar/data/1818331/000162828021014760/exhibit104-super8xk.htm" TargetMode="External"/><Relationship Id="rId24" Type="http://schemas.openxmlformats.org/officeDocument/2006/relationships/hyperlink" Target="https://www.sec.gov/Archives/edgar/data/1818331/000121390021008253/ea135116ex10-1_cmlife.htm" TargetMode="External"/><Relationship Id="rId25" Type="http://schemas.openxmlformats.org/officeDocument/2006/relationships/hyperlink" Target="https://www.sec.gov/Archives/edgar/data/1818331/000162828021014760/exhibit102-super8xk.htm" TargetMode="External"/><Relationship Id="rId26" Type="http://schemas.openxmlformats.org/officeDocument/2006/relationships/hyperlink" Target="https://www.sec.gov/Archives/edgar/data/1818331/000121390021008253/ea135116ex10-2_cmlife.htm" TargetMode="External"/><Relationship Id="rId27" Type="http://schemas.openxmlformats.org/officeDocument/2006/relationships/hyperlink" Target="https://www.sec.gov/Archives/edgar/data/1818331/000162828021014760/exhibit106-super8xk.htm" TargetMode="External"/><Relationship Id="rId28" Type="http://schemas.openxmlformats.org/officeDocument/2006/relationships/hyperlink" Target="https://www.sec.gov/Archives/edgar/data/1818331/000162828021014760/exhibit107-super8xk.htm" TargetMode="External"/><Relationship Id="rId29" Type="http://schemas.openxmlformats.org/officeDocument/2006/relationships/hyperlink" Target="https://www.sec.gov/Archives/edgar/data/1818331/000162828021014760/exhibit108-super8xk.htm" TargetMode="External"/><Relationship Id="rId30" Type="http://schemas.openxmlformats.org/officeDocument/2006/relationships/hyperlink" Target="https://www.sec.gov/Archives/edgar/data/1818331/000162828021014760/exhibit105-super8xk.htm" TargetMode="External"/><Relationship Id="rId31" Type="http://schemas.openxmlformats.org/officeDocument/2006/relationships/hyperlink" Target="https://www.sec.gov/Archives/edgar/data/1818331/000162828021014760/exhibit109-super8xk.htm" TargetMode="External"/><Relationship Id="rId32" Type="http://schemas.openxmlformats.org/officeDocument/2006/relationships/hyperlink" Target="https://www.sec.gov/Archives/edgar/data/1818331/000162828021014760/exhibit1010-super8xk.htm" TargetMode="External"/><Relationship Id="rId33" Type="http://schemas.openxmlformats.org/officeDocument/2006/relationships/hyperlink" Target="https://www.sec.gov/Archives/edgar/data/1818331/000162828021014760/exhibit1011-super8xk.htm" TargetMode="External"/><Relationship Id="rId34" Type="http://schemas.openxmlformats.org/officeDocument/2006/relationships/hyperlink" Target="https://www.sec.gov/Archives/edgar/data/1818331/000162828021014760/exhibit1012-super8xk.htm" TargetMode="External"/><Relationship Id="rId35" Type="http://schemas.openxmlformats.org/officeDocument/2006/relationships/hyperlink" Target="https://www.sec.gov/Archives/edgar/data/1818331/000162828021014760/exhibit1013-super8xk.htm" TargetMode="External"/><Relationship Id="rId36" Type="http://schemas.openxmlformats.org/officeDocument/2006/relationships/hyperlink" Target="https://www.sec.gov/Archives/edgar/data/1818331/000162828021014760/exhibit1014-super8xk.htm" TargetMode="External"/><Relationship Id="rId37" Type="http://schemas.openxmlformats.org/officeDocument/2006/relationships/hyperlink" Target="https://www.sec.gov/Archives/edgar/data/1818331/000162828021014760/exhibit1015-super8xk.htm" TargetMode="External"/><Relationship Id="rId38" Type="http://schemas.openxmlformats.org/officeDocument/2006/relationships/hyperlink" Target="https://www.sec.gov/Archives/edgar/data/1818331/000162828021014760/exhibit1016-super8xk.htm" TargetMode="External"/><Relationship Id="rId39" Type="http://schemas.openxmlformats.org/officeDocument/2006/relationships/hyperlink" Target="https://www.sec.gov/Archives/edgar/data/1818331/000162828021014760/exhibit1017-super8xk.htm" TargetMode="External"/><Relationship Id="rId40" Type="http://schemas.openxmlformats.org/officeDocument/2006/relationships/hyperlink" Target="https://www.sec.gov/Archives/edgar/data/1818331/000162828021014760/exhibit1018-super8xk.htm" TargetMode="External"/><Relationship Id="rId41" Type="http://schemas.openxmlformats.org/officeDocument/2006/relationships/hyperlink" Target="https://www.sec.gov/Archives/edgar/data/1818331/000162828021014760/exhibit1019-super8xk.htm" TargetMode="External"/><Relationship Id="rId42" Type="http://schemas.openxmlformats.org/officeDocument/2006/relationships/hyperlink" Target="https://www.sec.gov/Archives/edgar/data/1818331/000162828021014760/exhibit1020-super8xk.htm" TargetMode="External"/><Relationship Id="rId43" Type="http://schemas.openxmlformats.org/officeDocument/2006/relationships/hyperlink" Target="https://www.sec.gov/Archives/edgar/data/1818331/000162828021014760/exhibit1021-super8xk.htm" TargetMode="External"/><Relationship Id="rId44" Type="http://schemas.openxmlformats.org/officeDocument/2006/relationships/hyperlink" Target="https://www.sec.gov/Archives/edgar/data/1818331/000162828021014760/exhibit1022-super8xk.htm" TargetMode="External"/><Relationship Id="rId45" Type="http://schemas.openxmlformats.org/officeDocument/2006/relationships/hyperlink" Target="https://www.sec.gov/Archives/edgar/data/1818331/000162828021014760/exhibit1023-super8xk.htm" TargetMode="External"/><Relationship Id="rId46" Type="http://schemas.openxmlformats.org/officeDocument/2006/relationships/hyperlink" Target="https://www.sec.gov/Archives/edgar/data/1818331/000162828021014760/exhibit1024-super8xk.htm" TargetMode="External"/><Relationship Id="rId47" Type="http://schemas.openxmlformats.org/officeDocument/2006/relationships/hyperlink" Target="https://www.sec.gov/Archives/edgar/data/1818331/000162828021014760/exhibit1025-super8xk.htm" TargetMode="External"/><Relationship Id="rId48" Type="http://schemas.openxmlformats.org/officeDocument/2006/relationships/hyperlink" Target="https://www.sec.gov/Archives/edgar/data/1818331/000162828021014760/exhibit1026-super8xk.htm" TargetMode="External"/><Relationship Id="rId49" Type="http://schemas.openxmlformats.org/officeDocument/2006/relationships/hyperlink" Target="https://www.sec.gov/Archives/edgar/data/1818331/000162828021014760/exhibit1027-super8xk.htm" TargetMode="External"/><Relationship Id="rId50" Type="http://schemas.openxmlformats.org/officeDocument/2006/relationships/hyperlink" Target="https://www.sec.gov/Archives/edgar/data/1818331/000162828021019193/exhibit996-sx8.htm" TargetMode="External"/><Relationship Id="rId51" Type="http://schemas.openxmlformats.org/officeDocument/2006/relationships/hyperlink" Target="https://www.sec.gov/Archives/edgar/data/0001818331/000181833121000012/sema4-svbxxloanandsecurity.htm" TargetMode="External"/><Relationship Id="rId52" Type="http://schemas.openxmlformats.org/officeDocument/2006/relationships/hyperlink" Target="https://www.sec.gov/Archives/edgar/data/0001818331/000121390021008253/ea135116ex10-1_cmlife.htm" TargetMode="External"/><Relationship Id="rId53" Type="http://schemas.openxmlformats.org/officeDocument/2006/relationships/hyperlink" Target="https://www.sec.gov/Archives/edgar/data/1818331/000181833122000010/exhibit102-formofsharehold.htm" TargetMode="External"/><Relationship Id="rId54" Type="http://schemas.openxmlformats.org/officeDocument/2006/relationships/hyperlink" Target="https://www.sec.gov/Archives/edgar/data/1818331/000181833122000010/exhibit103-formofstockhold.htm" TargetMode="External"/><Relationship Id="rId55" Type="http://schemas.openxmlformats.org/officeDocument/2006/relationships/hyperlink" Target="https://www.sec.gov/Archives/edgar/data/1818331/000181833122000010/exhibit104-formofpipeinves.htm" TargetMode="External"/><Relationship Id="rId56" Type="http://schemas.openxmlformats.org/officeDocument/2006/relationships/hyperlink" Target="https://www.sec.gov/Archives/edgar/data/1818331/000181833122000022/sema4-separationagreement.htm" TargetMode="External"/><Relationship Id="rId57" Type="http://schemas.openxmlformats.org/officeDocument/2006/relationships/hyperlink" Target="https://www.sec.gov/Archives/edgar/data/0001818331/000181833122000037/fw_15470948x3xsema4-execut.htm" TargetMode="External"/><Relationship Id="rId58" Type="http://schemas.openxmlformats.org/officeDocument/2006/relationships/hyperlink" Target="https://www.sec.gov/Archives/edgar/data/0001818331/000181833122000037/sema4-10xkfy2021xex211subs.htm" TargetMode="External"/><Relationship Id="rId59" Type="http://schemas.openxmlformats.org/officeDocument/2006/relationships/hyperlink" Target="https://www.sec.gov/Archives/edgar/data/1818331/000162828021015606/exhibit231-resale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2022-03-14T16:14:03Z</dcterms:created>
  <dcterms:modified xsi:type="dcterms:W3CDTF">2022-03-14T16:14:03Z</dcterms:modified>
</cp:coreProperties>
</file>